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26AE" w14:textId="77777777" w:rsidR="00CE475B" w:rsidRDefault="00E04D33" w:rsidP="005D448A">
      <w:pPr>
        <w:tabs>
          <w:tab w:val="center" w:pos="4680"/>
        </w:tabs>
        <w:jc w:val="both"/>
      </w:pPr>
      <w:bookmarkStart w:id="0" w:name="_GoBack"/>
      <w:bookmarkEnd w:id="0"/>
      <w:r>
        <w:rPr>
          <w:b/>
          <w:sz w:val="28"/>
        </w:rPr>
        <w:t xml:space="preserve"> </w:t>
      </w:r>
      <w:r w:rsidR="00CE475B">
        <w:rPr>
          <w:b/>
          <w:sz w:val="28"/>
        </w:rPr>
        <w:tab/>
        <w:t>Instructions Regarding Section 1983 Employment Claims</w:t>
      </w:r>
    </w:p>
    <w:p w14:paraId="00229058" w14:textId="77777777" w:rsidR="00E54E59" w:rsidRDefault="00E54E59" w:rsidP="005D448A">
      <w:pPr>
        <w:jc w:val="both"/>
        <w:sectPr w:rsidR="00E54E59" w:rsidSect="005D448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lnNumType w:countBy="1" w:distance="576"/>
          <w:cols w:space="720"/>
          <w:docGrid w:linePitch="326"/>
        </w:sectPr>
      </w:pPr>
    </w:p>
    <w:p w14:paraId="49083D1C" w14:textId="77777777" w:rsidR="00CE475B" w:rsidRDefault="00CE475B" w:rsidP="005D448A">
      <w:pPr>
        <w:jc w:val="both"/>
      </w:pPr>
    </w:p>
    <w:p w14:paraId="5C1D3D67" w14:textId="77777777" w:rsidR="00CE475B" w:rsidRDefault="00CE475B" w:rsidP="005D448A">
      <w:pPr>
        <w:jc w:val="both"/>
      </w:pPr>
    </w:p>
    <w:p w14:paraId="68C985A9" w14:textId="77777777" w:rsidR="00CE475B" w:rsidRDefault="00CE475B" w:rsidP="005D448A">
      <w:pPr>
        <w:jc w:val="both"/>
        <w:rPr>
          <w:b/>
          <w:sz w:val="28"/>
        </w:rPr>
      </w:pPr>
    </w:p>
    <w:p w14:paraId="16199E28" w14:textId="77777777" w:rsidR="00CE475B" w:rsidRDefault="00CE475B" w:rsidP="005D448A">
      <w:pPr>
        <w:tabs>
          <w:tab w:val="center" w:pos="4680"/>
        </w:tabs>
        <w:jc w:val="both"/>
      </w:pPr>
      <w:r>
        <w:rPr>
          <w:b/>
          <w:sz w:val="28"/>
        </w:rPr>
        <w:tab/>
        <w:t>Numbering of Section 1983 Employment Instructions</w:t>
      </w:r>
    </w:p>
    <w:p w14:paraId="6FD51E60" w14:textId="77777777" w:rsidR="00CE475B" w:rsidRDefault="00CE475B" w:rsidP="005D448A">
      <w:pPr>
        <w:jc w:val="both"/>
      </w:pPr>
      <w:r>
        <w:tab/>
      </w:r>
      <w:r>
        <w:tab/>
      </w:r>
      <w:r>
        <w:tab/>
      </w:r>
      <w:r>
        <w:tab/>
      </w:r>
      <w:r>
        <w:tab/>
      </w:r>
      <w:r>
        <w:tab/>
      </w:r>
    </w:p>
    <w:p w14:paraId="5DFB2B67" w14:textId="77777777" w:rsidR="00CE475B" w:rsidRDefault="00CE475B" w:rsidP="005D448A">
      <w:pPr>
        <w:ind w:left="720" w:hanging="720"/>
        <w:jc w:val="both"/>
      </w:pPr>
      <w:r>
        <w:t>7.0</w:t>
      </w:r>
      <w:r>
        <w:tab/>
        <w:t>Section 1983 Employment Discrimination</w:t>
      </w:r>
    </w:p>
    <w:p w14:paraId="07BD093B" w14:textId="77777777" w:rsidR="00CE475B" w:rsidRDefault="00CE475B" w:rsidP="005D448A">
      <w:pPr>
        <w:jc w:val="both"/>
      </w:pPr>
    </w:p>
    <w:p w14:paraId="7A17C4BE" w14:textId="77777777" w:rsidR="00CE475B" w:rsidRDefault="00CE475B" w:rsidP="005D448A">
      <w:pPr>
        <w:ind w:left="720" w:hanging="720"/>
        <w:jc w:val="both"/>
      </w:pPr>
      <w:r>
        <w:t>7.1</w:t>
      </w:r>
      <w:r>
        <w:tab/>
        <w:t>Section 1983 Employment Discrimination – Mixed Motive</w:t>
      </w:r>
    </w:p>
    <w:p w14:paraId="7CE3A295" w14:textId="77777777" w:rsidR="00CE475B" w:rsidRDefault="00CE475B" w:rsidP="005D448A">
      <w:pPr>
        <w:jc w:val="both"/>
      </w:pPr>
    </w:p>
    <w:p w14:paraId="43E12E2E" w14:textId="77777777" w:rsidR="00CE475B" w:rsidRDefault="00CE475B" w:rsidP="005D448A">
      <w:pPr>
        <w:ind w:left="720" w:hanging="720"/>
        <w:jc w:val="both"/>
      </w:pPr>
      <w:r>
        <w:t>7.2</w:t>
      </w:r>
      <w:r>
        <w:tab/>
        <w:t>Section 1983 Employment Discrimination – Pretext</w:t>
      </w:r>
    </w:p>
    <w:p w14:paraId="30B584E3" w14:textId="77777777" w:rsidR="00CE475B" w:rsidRDefault="00CE475B" w:rsidP="005D448A">
      <w:pPr>
        <w:jc w:val="both"/>
      </w:pPr>
    </w:p>
    <w:p w14:paraId="3EB7BAB4" w14:textId="77777777" w:rsidR="00CE475B" w:rsidRDefault="00CE475B" w:rsidP="005D448A">
      <w:pPr>
        <w:ind w:left="720" w:hanging="720"/>
        <w:jc w:val="both"/>
      </w:pPr>
      <w:r>
        <w:t>7.3</w:t>
      </w:r>
      <w:r>
        <w:tab/>
        <w:t>Section 1983 Employment Discrimination – Harassment</w:t>
      </w:r>
    </w:p>
    <w:p w14:paraId="298254BF" w14:textId="77777777" w:rsidR="00CE475B" w:rsidRDefault="00CE475B" w:rsidP="005D448A">
      <w:pPr>
        <w:jc w:val="both"/>
      </w:pPr>
    </w:p>
    <w:p w14:paraId="07F9F690" w14:textId="77777777" w:rsidR="00CE475B" w:rsidRDefault="00CE475B" w:rsidP="005D448A">
      <w:pPr>
        <w:ind w:left="720" w:hanging="720"/>
        <w:jc w:val="both"/>
      </w:pPr>
      <w:r>
        <w:t>7.4</w:t>
      </w:r>
      <w:r>
        <w:tab/>
        <w:t>Section 1983 Employment – Retaliation – First Amendment</w:t>
      </w:r>
    </w:p>
    <w:p w14:paraId="1B749741" w14:textId="77777777" w:rsidR="00CE475B" w:rsidRDefault="00CE475B" w:rsidP="005D448A">
      <w:pPr>
        <w:jc w:val="both"/>
      </w:pPr>
    </w:p>
    <w:p w14:paraId="62DB6124" w14:textId="77777777" w:rsidR="00CE475B" w:rsidRDefault="00CE475B" w:rsidP="005D448A">
      <w:pPr>
        <w:ind w:left="720" w:hanging="720"/>
        <w:jc w:val="both"/>
      </w:pPr>
      <w:r>
        <w:t>7.5</w:t>
      </w:r>
      <w:r>
        <w:tab/>
        <w:t>Section 1983 – Employment – Damages</w:t>
      </w:r>
    </w:p>
    <w:p w14:paraId="152A9BB1" w14:textId="77777777" w:rsidR="00036ABB" w:rsidRDefault="00036ABB" w:rsidP="005D448A">
      <w:pPr>
        <w:jc w:val="both"/>
      </w:pPr>
    </w:p>
    <w:p w14:paraId="1EA38136" w14:textId="77777777" w:rsidR="00036ABB" w:rsidRPr="00036ABB" w:rsidRDefault="00036ABB" w:rsidP="00036ABB"/>
    <w:p w14:paraId="01A0B908" w14:textId="77777777" w:rsidR="00036ABB" w:rsidRPr="00036ABB" w:rsidRDefault="00036ABB" w:rsidP="00036ABB"/>
    <w:p w14:paraId="0DE7152B" w14:textId="77777777" w:rsidR="00036ABB" w:rsidRPr="00036ABB" w:rsidRDefault="00036ABB" w:rsidP="00036ABB"/>
    <w:p w14:paraId="7523BB01" w14:textId="77777777" w:rsidR="00036ABB" w:rsidRPr="00036ABB" w:rsidRDefault="00036ABB" w:rsidP="00036ABB"/>
    <w:p w14:paraId="76CA1D64" w14:textId="77777777" w:rsidR="00036ABB" w:rsidRPr="00036ABB" w:rsidRDefault="00036ABB" w:rsidP="00036ABB"/>
    <w:p w14:paraId="42D68FDF" w14:textId="77777777" w:rsidR="00036ABB" w:rsidRPr="00036ABB" w:rsidRDefault="00036ABB" w:rsidP="00036ABB"/>
    <w:p w14:paraId="3C5A324E" w14:textId="77777777" w:rsidR="00036ABB" w:rsidRPr="00036ABB" w:rsidRDefault="00036ABB" w:rsidP="00036ABB"/>
    <w:p w14:paraId="6B48C16F" w14:textId="77777777" w:rsidR="00036ABB" w:rsidRPr="00036ABB" w:rsidRDefault="00036ABB" w:rsidP="00036ABB"/>
    <w:p w14:paraId="6131BD21" w14:textId="77777777" w:rsidR="00036ABB" w:rsidRPr="00036ABB" w:rsidRDefault="00036ABB" w:rsidP="00036ABB"/>
    <w:p w14:paraId="4C3173EE" w14:textId="77777777" w:rsidR="00036ABB" w:rsidRPr="00036ABB" w:rsidRDefault="00036ABB" w:rsidP="00036ABB"/>
    <w:p w14:paraId="20393C3E" w14:textId="77777777" w:rsidR="00036ABB" w:rsidRDefault="00036ABB" w:rsidP="005D448A">
      <w:pPr>
        <w:jc w:val="both"/>
      </w:pPr>
    </w:p>
    <w:p w14:paraId="4EC8D4A3" w14:textId="77777777" w:rsidR="00036ABB" w:rsidRPr="00036ABB" w:rsidRDefault="00036ABB" w:rsidP="00036ABB"/>
    <w:p w14:paraId="09926150" w14:textId="77777777" w:rsidR="00036ABB" w:rsidRDefault="00036ABB" w:rsidP="005D448A">
      <w:pPr>
        <w:jc w:val="both"/>
      </w:pPr>
    </w:p>
    <w:p w14:paraId="4FABE359" w14:textId="77777777" w:rsidR="00036ABB" w:rsidRDefault="00036ABB" w:rsidP="005D448A">
      <w:pPr>
        <w:jc w:val="both"/>
      </w:pPr>
    </w:p>
    <w:p w14:paraId="103DAA65" w14:textId="77777777" w:rsidR="00036ABB" w:rsidRDefault="00036ABB" w:rsidP="00036ABB">
      <w:pPr>
        <w:tabs>
          <w:tab w:val="left" w:pos="8563"/>
        </w:tabs>
        <w:jc w:val="both"/>
      </w:pPr>
      <w:r>
        <w:tab/>
      </w:r>
    </w:p>
    <w:p w14:paraId="28BEAF19" w14:textId="77777777"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14:paraId="365013B8" w14:textId="77777777" w:rsidR="00E54E59" w:rsidRDefault="00E54E59" w:rsidP="005D448A">
      <w:pPr>
        <w:jc w:val="both"/>
        <w:rPr>
          <w:b/>
          <w:sz w:val="28"/>
        </w:rPr>
      </w:pPr>
    </w:p>
    <w:p w14:paraId="3911582E" w14:textId="77777777" w:rsidR="00E54E59" w:rsidRDefault="00E54E59" w:rsidP="005D448A">
      <w:pPr>
        <w:jc w:val="both"/>
        <w:rPr>
          <w:b/>
          <w:sz w:val="28"/>
        </w:rPr>
        <w:sectPr w:rsidR="00E54E59" w:rsidSect="005D448A">
          <w:headerReference w:type="default" r:id="rId12"/>
          <w:type w:val="continuous"/>
          <w:pgSz w:w="12240" w:h="15840"/>
          <w:pgMar w:top="1440" w:right="1440" w:bottom="1440" w:left="1440" w:header="1440" w:footer="1440" w:gutter="0"/>
          <w:lnNumType w:countBy="1" w:distance="576"/>
          <w:cols w:space="720"/>
          <w:docGrid w:linePitch="326"/>
        </w:sectPr>
      </w:pPr>
    </w:p>
    <w:p w14:paraId="6970AA7C" w14:textId="77777777" w:rsidR="00CE475B" w:rsidRDefault="00CE475B" w:rsidP="005D448A">
      <w:pPr>
        <w:jc w:val="both"/>
      </w:pPr>
      <w:r>
        <w:rPr>
          <w:b/>
          <w:sz w:val="28"/>
        </w:rPr>
        <w:t>Comment</w:t>
      </w:r>
    </w:p>
    <w:p w14:paraId="224945B8" w14:textId="77777777" w:rsidR="00CE475B" w:rsidRDefault="00CE475B" w:rsidP="005D448A">
      <w:pPr>
        <w:jc w:val="both"/>
      </w:pPr>
    </w:p>
    <w:p w14:paraId="7004622E" w14:textId="77777777"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2"/>
      </w:r>
      <w:r>
        <w:t xml:space="preserve">  Instruction 7.4 addresses First Amendment retaliation claims.  Comment 7.5 concerns damages.</w:t>
      </w:r>
    </w:p>
    <w:p w14:paraId="733783B5" w14:textId="77777777" w:rsidR="00CE475B" w:rsidRDefault="00CE475B" w:rsidP="005D448A">
      <w:pPr>
        <w:jc w:val="both"/>
      </w:pPr>
    </w:p>
    <w:p w14:paraId="33C4A07B" w14:textId="77777777"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14:paraId="194D4D8D" w14:textId="77777777" w:rsidR="00CE475B" w:rsidRDefault="00CE475B" w:rsidP="005D448A">
      <w:pPr>
        <w:jc w:val="both"/>
      </w:pPr>
    </w:p>
    <w:p w14:paraId="45A4DCE9" w14:textId="77777777"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3"/>
      </w:r>
      <w:r>
        <w:t xml:space="preserve">  By contrast, Section 1983 applies only to defendants who acted under color of state law.</w:t>
      </w:r>
      <w:r>
        <w:rPr>
          <w:rStyle w:val="FootnoteReference"/>
        </w:rPr>
        <w:footnoteReference w:id="4"/>
      </w:r>
      <w:r w:rsidR="00E04D33">
        <w:t xml:space="preserve"> </w:t>
      </w:r>
      <w:r>
        <w:rPr>
          <w:i/>
        </w:rPr>
        <w:t>See, e.g.,</w:t>
      </w:r>
      <w:r w:rsidR="00E04D33">
        <w:rPr>
          <w:i/>
        </w:rPr>
        <w:t xml:space="preserve"> </w:t>
      </w:r>
      <w:r w:rsidR="00E04D33" w:rsidRPr="00E04D33">
        <w:rPr>
          <w:i/>
        </w:rPr>
        <w:t>Borrell v. Bloomsburg Univ.</w:t>
      </w:r>
      <w:r w:rsidR="00E04D33" w:rsidRPr="00E04D33">
        <w:t>, 870 F.3d 154 (3d Cir. 2017) (holding that a private hospital was not a state actor despite creating a training program for nurses in partnership with a public university);</w:t>
      </w:r>
      <w:r w:rsidR="00E04D33">
        <w:t xml:space="preserve"> </w:t>
      </w:r>
      <w:r>
        <w:rPr>
          <w:i/>
        </w:rPr>
        <w:t>Krynicky v. University of Pittsburgh</w:t>
      </w:r>
      <w:r>
        <w:t xml:space="preserve">, 742 F.2d 94, 103 (3d Cir. 1984) </w:t>
      </w:r>
      <w:r>
        <w:lastRenderedPageBreak/>
        <w:t xml:space="preserve">(holding that University of Pittsburgh and Temple University acted under color of state law); </w:t>
      </w:r>
      <w:r>
        <w:rPr>
          <w:i/>
        </w:rPr>
        <w:t xml:space="preserve">see also supra </w:t>
      </w:r>
      <w:r>
        <w:t>Comment 4.4.</w:t>
      </w:r>
    </w:p>
    <w:p w14:paraId="60BBA372" w14:textId="77777777" w:rsidR="00CE475B" w:rsidRDefault="00CE475B" w:rsidP="005D448A">
      <w:pPr>
        <w:jc w:val="both"/>
      </w:pPr>
    </w:p>
    <w:p w14:paraId="197A2D39" w14:textId="77777777"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5"/>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14:paraId="7F25B141" w14:textId="77777777" w:rsidR="00CE475B" w:rsidRDefault="00CE475B" w:rsidP="005D448A">
      <w:pPr>
        <w:jc w:val="both"/>
      </w:pPr>
    </w:p>
    <w:p w14:paraId="640E0ABD" w14:textId="77777777"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6"/>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14:paraId="09BEE5E1" w14:textId="77777777" w:rsidR="00CE475B" w:rsidRDefault="00CE475B" w:rsidP="005D448A">
      <w:pPr>
        <w:jc w:val="both"/>
      </w:pPr>
    </w:p>
    <w:p w14:paraId="7B85ADD2" w14:textId="77777777"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7"/>
      </w:r>
      <w:r>
        <w:t xml:space="preserve">  </w:t>
      </w:r>
      <w:r>
        <w:rPr>
          <w:i/>
        </w:rPr>
        <w:t>See</w:t>
      </w:r>
      <w:r>
        <w:t xml:space="preserve"> </w:t>
      </w:r>
      <w:r>
        <w:rPr>
          <w:i/>
        </w:rPr>
        <w:t>Bonenberger v. Plymouth Tp.</w:t>
      </w:r>
      <w:r>
        <w:t xml:space="preserve">, 132 F.3d 20, 23 (3d Cir. 1997) (“There is simply no </w:t>
      </w:r>
      <w:r>
        <w:lastRenderedPageBreak/>
        <w:t xml:space="preserve">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14:paraId="526A3D43" w14:textId="77777777" w:rsidR="008D2026" w:rsidRDefault="008D2026" w:rsidP="005D448A">
      <w:pPr>
        <w:jc w:val="both"/>
      </w:pPr>
    </w:p>
    <w:p w14:paraId="50BD0370" w14:textId="77777777"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8"/>
      </w:r>
      <w:r>
        <w:t xml:space="preserve">  </w:t>
      </w:r>
      <w:r>
        <w:rPr>
          <w:i/>
        </w:rPr>
        <w:t>See supra</w:t>
      </w:r>
      <w:r>
        <w:t xml:space="preserve"> Comment 4.7.2; </w:t>
      </w:r>
      <w:r>
        <w:rPr>
          <w:i/>
        </w:rPr>
        <w:t>see also</w:t>
      </w:r>
      <w:r>
        <w:t xml:space="preserve"> Comment 4.7.1 (concerning absolute immunity).</w:t>
      </w:r>
    </w:p>
    <w:p w14:paraId="7E39C031" w14:textId="77777777" w:rsidR="00594F9C" w:rsidRDefault="00594F9C" w:rsidP="005D448A">
      <w:pPr>
        <w:jc w:val="both"/>
      </w:pPr>
    </w:p>
    <w:p w14:paraId="088F1635" w14:textId="77777777"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respondeat superior liability.  </w:t>
      </w:r>
      <w:r>
        <w:rPr>
          <w:i/>
        </w:rPr>
        <w:t>See supra</w:t>
      </w:r>
      <w:r>
        <w:t xml:space="preserve"> Comments 5.1.3 - 5.1.5.</w:t>
      </w:r>
    </w:p>
    <w:p w14:paraId="7453B336" w14:textId="77777777" w:rsidR="00CE475B" w:rsidRDefault="00CE475B" w:rsidP="005D448A">
      <w:pPr>
        <w:jc w:val="both"/>
      </w:pPr>
    </w:p>
    <w:p w14:paraId="4A0F1527" w14:textId="77777777"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9"/>
      </w:r>
      <w:r>
        <w:t xml:space="preserve">  By contrast, Title VII authorizes claims against state governments.  </w:t>
      </w:r>
      <w:r>
        <w:rPr>
          <w:i/>
        </w:rPr>
        <w:t>See</w:t>
      </w:r>
      <w:r>
        <w:t xml:space="preserve"> </w:t>
      </w:r>
      <w:r>
        <w:rPr>
          <w:i/>
        </w:rPr>
        <w:t>Fitzpatrick v. Bitzer</w:t>
      </w:r>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10"/>
      </w:r>
    </w:p>
    <w:p w14:paraId="3FAB60CB" w14:textId="77777777" w:rsidR="00CE475B" w:rsidRDefault="00CE475B" w:rsidP="005D448A">
      <w:pPr>
        <w:jc w:val="both"/>
      </w:pPr>
    </w:p>
    <w:p w14:paraId="2CAD2D9B" w14:textId="77777777" w:rsidR="00CE475B" w:rsidRDefault="00CE475B" w:rsidP="005D448A">
      <w:pPr>
        <w:jc w:val="both"/>
      </w:pPr>
      <w:r>
        <w:lastRenderedPageBreak/>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130 F.3d 568, 573 (3d Cir. 1997) (“In Title VII actions, failure to exhaust administrative remedies is an affirmative defense in the nature of statute of limitations.”).  There is no such exhaustion requirement for a Section 1983 employment discrimination claim.</w:t>
      </w:r>
      <w:r>
        <w:rPr>
          <w:rStyle w:val="FootnoteReference"/>
        </w:rPr>
        <w:footnoteReference w:id="11"/>
      </w:r>
    </w:p>
    <w:p w14:paraId="0ABB4F54" w14:textId="77777777" w:rsidR="00CE475B" w:rsidRDefault="00CE475B" w:rsidP="005D448A">
      <w:pPr>
        <w:jc w:val="both"/>
      </w:pPr>
    </w:p>
    <w:p w14:paraId="4EDF0FF3" w14:textId="77777777"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14:paraId="5E73AD39" w14:textId="77777777" w:rsidR="00CE475B" w:rsidRDefault="00CE475B" w:rsidP="005D448A">
      <w:pPr>
        <w:jc w:val="both"/>
      </w:pPr>
    </w:p>
    <w:p w14:paraId="16C95CA5" w14:textId="77777777"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14:paraId="45F3DFDC" w14:textId="77777777" w:rsidR="00CE475B" w:rsidRDefault="00CE475B" w:rsidP="005D448A">
      <w:pPr>
        <w:jc w:val="both"/>
      </w:pPr>
    </w:p>
    <w:p w14:paraId="37DFE46C" w14:textId="77777777"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2"/>
      </w:r>
      <w:r>
        <w:t xml:space="preserve">  Although </w:t>
      </w:r>
      <w:r>
        <w:rPr>
          <w:i/>
        </w:rPr>
        <w:t>Bradley</w:t>
      </w:r>
      <w:r>
        <w:t xml:space="preserve"> </w:t>
      </w:r>
      <w:r>
        <w:lastRenderedPageBreak/>
        <w:t>predated the Civil Rights Act of 1991,</w:t>
      </w:r>
      <w:r>
        <w:rPr>
          <w:rStyle w:val="FootnoteReference"/>
        </w:rPr>
        <w:footnoteReference w:id="13"/>
      </w:r>
      <w:r>
        <w:t xml:space="preserve"> district courts within the Third Circuit have continued to 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14:paraId="234AD37C" w14:textId="77777777" w:rsidR="004235D8" w:rsidRDefault="004235D8" w:rsidP="005D448A">
      <w:pPr>
        <w:jc w:val="both"/>
      </w:pPr>
    </w:p>
    <w:p w14:paraId="08A00422" w14:textId="77777777" w:rsidR="004235D8" w:rsidRPr="004235D8" w:rsidRDefault="004235D8" w:rsidP="004235D8">
      <w:pPr>
        <w:ind w:firstLine="720"/>
        <w:jc w:val="both"/>
      </w:pPr>
      <w:r w:rsidRPr="004235D8">
        <w:t xml:space="preserve">On the other hand, section 1983 cannot be used to vindicate the statutory rights created by Title VII, because to do so “would thwart Congress’s carefully crafted administrative scheme.” </w:t>
      </w:r>
      <w:r w:rsidRPr="004235D8">
        <w:rPr>
          <w:i/>
        </w:rPr>
        <w:t>Williams v. Pennsylvania Human Relations Comm’n</w:t>
      </w:r>
      <w:r w:rsidRPr="004235D8">
        <w:t>, 870 F.3d 294, 299 (3d Cir. 2017) (reaching same result under the American with Disabilities Act as well).</w:t>
      </w:r>
    </w:p>
    <w:p w14:paraId="7DCB35C9" w14:textId="77777777" w:rsidR="004235D8" w:rsidRDefault="004235D8" w:rsidP="005D448A">
      <w:pPr>
        <w:jc w:val="both"/>
      </w:pPr>
    </w:p>
    <w:p w14:paraId="183223F6" w14:textId="77777777" w:rsidR="00345814" w:rsidRDefault="00CE475B" w:rsidP="005D448A">
      <w:pPr>
        <w:jc w:val="both"/>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Gierlinger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p>
    <w:p w14:paraId="42341A53" w14:textId="77777777" w:rsidR="00345814" w:rsidRDefault="00345814" w:rsidP="005D448A">
      <w:pPr>
        <w:jc w:val="both"/>
      </w:pPr>
    </w:p>
    <w:p w14:paraId="0914CD61" w14:textId="6BB260AC" w:rsidR="00A402EC" w:rsidRPr="00A402EC" w:rsidRDefault="00A402EC" w:rsidP="00A402EC">
      <w:pPr>
        <w:ind w:firstLine="720"/>
        <w:jc w:val="both"/>
      </w:pPr>
      <w:r w:rsidRPr="00A402EC">
        <w:rPr>
          <w:u w:val="single"/>
        </w:rPr>
        <w:t>Sexual orientation and transgender status may be treated differently under Title VII and Section 1983.</w:t>
      </w:r>
      <w:r w:rsidRPr="00A402EC">
        <w:t xml:space="preserve"> Section 1983 permits a plaintiff to sue for intentional discrimination on account of sex (among other equal protection violations). In </w:t>
      </w:r>
      <w:r w:rsidRPr="00A402EC">
        <w:rPr>
          <w:i/>
        </w:rPr>
        <w:t>Bostock v. Clayton County</w:t>
      </w:r>
      <w:r w:rsidRPr="00A402EC">
        <w:t xml:space="preserve">, 140 S. Ct. 1731 (2020), the Supreme Court held that discrimination on the ground of sexual orientation or transgender status constituted sex discrimination under Title VII. The Court relied on the “ordinary public meaning of the statute’s language at the time of the law’s adoption.” </w:t>
      </w:r>
      <w:r w:rsidRPr="00A402EC">
        <w:rPr>
          <w:i/>
        </w:rPr>
        <w:t>Id</w:t>
      </w:r>
      <w:r w:rsidRPr="00A402EC">
        <w:t>. at 1741. It did not address whether that rule would apply under the Equal Protection Clause, which does not use the word “sex.” The dissent warned that, despite important differences between Title VII and the 14</w:t>
      </w:r>
      <w:r w:rsidRPr="00A402EC">
        <w:rPr>
          <w:vertAlign w:val="superscript"/>
        </w:rPr>
        <w:t>th</w:t>
      </w:r>
      <w:r w:rsidRPr="00A402EC">
        <w:t xml:space="preserve"> Amendment, the decision might “exert a gravitational pull in constitutional cases,” and by “equating discrimination because of sexual orientation or gender identity with discrimination </w:t>
      </w:r>
      <w:r w:rsidRPr="00A402EC">
        <w:lastRenderedPageBreak/>
        <w:t>because of sex, the Court</w:t>
      </w:r>
      <w:r w:rsidR="00114F49">
        <w:t>’</w:t>
      </w:r>
      <w:r w:rsidRPr="00A402EC">
        <w:t xml:space="preserve">s decision will be cited as a ground for subjecting all three forms of discrimination to the same exacting standard of review”). </w:t>
      </w:r>
      <w:r w:rsidRPr="00A402EC">
        <w:rPr>
          <w:i/>
        </w:rPr>
        <w:t>Bostock</w:t>
      </w:r>
      <w:r w:rsidRPr="00A402EC">
        <w:t>, 140 S. Ct. at 1783 (Alito, J., dissenting).</w:t>
      </w:r>
    </w:p>
    <w:p w14:paraId="77DB4B04" w14:textId="11D20C72" w:rsidR="00E54E59" w:rsidRDefault="00CE475B" w:rsidP="005D448A">
      <w:pPr>
        <w:jc w:val="both"/>
        <w:sectPr w:rsidR="00E54E59" w:rsidSect="005D448A">
          <w:headerReference w:type="default" r:id="rId13"/>
          <w:type w:val="continuous"/>
          <w:pgSz w:w="12240" w:h="15840"/>
          <w:pgMar w:top="1440" w:right="1440" w:bottom="1440" w:left="1440" w:header="1440" w:footer="1440" w:gutter="0"/>
          <w:lnNumType w:countBy="1" w:distance="576"/>
          <w:cols w:space="720"/>
          <w:docGrid w:linePitch="326"/>
        </w:sectPr>
      </w:pPr>
      <w:r>
        <w:br w:type="page"/>
      </w:r>
    </w:p>
    <w:p w14:paraId="32D9C0FB" w14:textId="77777777" w:rsidR="0068193B" w:rsidRDefault="00CE475B" w:rsidP="005D448A">
      <w:pPr>
        <w:jc w:val="both"/>
        <w:rPr>
          <w:b/>
          <w:sz w:val="28"/>
        </w:rPr>
      </w:pPr>
      <w:r>
        <w:rPr>
          <w:b/>
          <w:sz w:val="28"/>
        </w:rPr>
        <w:lastRenderedPageBreak/>
        <w:t>7.1</w:t>
      </w:r>
      <w:r>
        <w:rPr>
          <w:b/>
          <w:sz w:val="28"/>
        </w:rPr>
        <w:tab/>
        <w:t>Section 1983 Employment Discrimination – Mixed Motive</w:t>
      </w:r>
    </w:p>
    <w:p w14:paraId="66CD1FA5" w14:textId="77777777" w:rsidR="00E54E59" w:rsidRDefault="00E54E59" w:rsidP="005D448A">
      <w:pPr>
        <w:jc w:val="both"/>
        <w:rPr>
          <w:b/>
          <w:sz w:val="28"/>
        </w:rPr>
      </w:pPr>
    </w:p>
    <w:p w14:paraId="6643DB33" w14:textId="77777777" w:rsidR="00CE475B" w:rsidRDefault="00CE475B" w:rsidP="005D448A">
      <w:pPr>
        <w:jc w:val="both"/>
      </w:pPr>
      <w:r>
        <w:rPr>
          <w:b/>
          <w:sz w:val="28"/>
        </w:rPr>
        <w:t>Model</w:t>
      </w:r>
    </w:p>
    <w:p w14:paraId="543D20B2" w14:textId="77777777" w:rsidR="00CE475B" w:rsidRDefault="00CE475B" w:rsidP="005D448A">
      <w:pPr>
        <w:jc w:val="both"/>
      </w:pPr>
    </w:p>
    <w:p w14:paraId="481C3F74"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7EBB2977" w14:textId="77777777" w:rsidR="00CE475B" w:rsidRDefault="00CE475B" w:rsidP="005D448A">
      <w:pPr>
        <w:jc w:val="both"/>
      </w:pPr>
    </w:p>
    <w:p w14:paraId="6D32C2BF" w14:textId="77777777"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14:paraId="4F6617CA" w14:textId="77777777" w:rsidR="00CE475B" w:rsidRDefault="00CE475B" w:rsidP="005D448A">
      <w:pPr>
        <w:jc w:val="both"/>
      </w:pPr>
    </w:p>
    <w:p w14:paraId="1AAB8AB5" w14:textId="77777777" w:rsidR="00CE475B" w:rsidRDefault="00CE475B" w:rsidP="005D448A">
      <w:pPr>
        <w:jc w:val="both"/>
      </w:pPr>
      <w:r>
        <w:tab/>
        <w:t>To prevail on this claim, [plaintiff] must prove both of the following by a preponderance of the evidence:</w:t>
      </w:r>
    </w:p>
    <w:p w14:paraId="41F511ED" w14:textId="77777777" w:rsidR="00CE475B" w:rsidRDefault="00CE475B" w:rsidP="005D448A">
      <w:pPr>
        <w:jc w:val="both"/>
      </w:pPr>
    </w:p>
    <w:p w14:paraId="71BD9892"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4"/>
      </w:r>
      <w:r>
        <w:t xml:space="preserve"> and</w:t>
      </w:r>
    </w:p>
    <w:p w14:paraId="11931353" w14:textId="77777777" w:rsidR="00CE475B" w:rsidRDefault="00CE475B" w:rsidP="005D448A">
      <w:pPr>
        <w:jc w:val="both"/>
      </w:pPr>
    </w:p>
    <w:p w14:paraId="52591B69" w14:textId="77777777" w:rsidR="00CE475B" w:rsidRDefault="00CE475B" w:rsidP="005D448A">
      <w:pPr>
        <w:ind w:left="720"/>
        <w:jc w:val="both"/>
      </w:pPr>
      <w:r>
        <w:t>Second: [Plaintiff’s] [protected status] was a motivating factor in [defendant's] decision.</w:t>
      </w:r>
    </w:p>
    <w:p w14:paraId="3F7D7731" w14:textId="77777777" w:rsidR="00CE475B" w:rsidRDefault="00CE475B" w:rsidP="005D448A">
      <w:pPr>
        <w:jc w:val="both"/>
      </w:pPr>
    </w:p>
    <w:p w14:paraId="4B5269CB" w14:textId="77777777"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14:paraId="33B1662A" w14:textId="77777777" w:rsidR="00CE475B" w:rsidRDefault="00CE475B" w:rsidP="005D448A">
      <w:pPr>
        <w:jc w:val="both"/>
      </w:pPr>
    </w:p>
    <w:p w14:paraId="37A935CC" w14:textId="77777777"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14:paraId="71819318" w14:textId="77777777" w:rsidR="00CE475B" w:rsidRDefault="00CE475B" w:rsidP="005D448A">
      <w:pPr>
        <w:jc w:val="both"/>
      </w:pPr>
    </w:p>
    <w:p w14:paraId="12F50492" w14:textId="77777777" w:rsidR="00CE475B" w:rsidRDefault="00CE475B" w:rsidP="005D448A">
      <w:pPr>
        <w:jc w:val="both"/>
      </w:pPr>
      <w:r>
        <w:lastRenderedPageBreak/>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14:paraId="5CBD0A76" w14:textId="77777777" w:rsidR="00CE475B" w:rsidRDefault="00CE475B" w:rsidP="005D448A">
      <w:pPr>
        <w:jc w:val="both"/>
      </w:pPr>
    </w:p>
    <w:p w14:paraId="5B473E43" w14:textId="77777777" w:rsidR="00CE475B" w:rsidRDefault="00CE475B" w:rsidP="005D448A">
      <w:pPr>
        <w:jc w:val="both"/>
        <w:rPr>
          <w:b/>
        </w:rPr>
      </w:pPr>
      <w:r>
        <w:rPr>
          <w:b/>
        </w:rPr>
        <w:t>[For use where defendant sets forth a “same decision” affirmative defense:</w:t>
      </w:r>
      <w:r>
        <w:rPr>
          <w:rStyle w:val="FootnoteReference"/>
          <w:b/>
        </w:rPr>
        <w:footnoteReference w:id="15"/>
      </w:r>
    </w:p>
    <w:p w14:paraId="572C71AC" w14:textId="77777777" w:rsidR="00CE475B" w:rsidRDefault="00CE475B" w:rsidP="005D448A">
      <w:pPr>
        <w:jc w:val="both"/>
      </w:pPr>
      <w:r>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14:paraId="5F11AB73" w14:textId="77777777" w:rsidR="00CE475B" w:rsidRDefault="00CE475B" w:rsidP="005D448A">
      <w:pPr>
        <w:jc w:val="both"/>
      </w:pPr>
    </w:p>
    <w:p w14:paraId="43EB3E0F" w14:textId="77777777" w:rsidR="00CE475B" w:rsidRDefault="00CE475B" w:rsidP="005D448A">
      <w:pPr>
        <w:jc w:val="both"/>
      </w:pPr>
      <w:r>
        <w:rPr>
          <w:b/>
          <w:sz w:val="28"/>
        </w:rPr>
        <w:t>Comment</w:t>
      </w:r>
    </w:p>
    <w:p w14:paraId="32B892C7" w14:textId="77777777" w:rsidR="00CE475B" w:rsidRDefault="00CE475B" w:rsidP="005D448A">
      <w:pPr>
        <w:jc w:val="both"/>
      </w:pPr>
    </w:p>
    <w:p w14:paraId="6DE3A126" w14:textId="77777777"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6"/>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14:paraId="50AA2C3C" w14:textId="77777777" w:rsidR="00FC08AD" w:rsidRPr="00FC08AD" w:rsidRDefault="00FC08AD" w:rsidP="00FC08AD">
      <w:pPr>
        <w:jc w:val="both"/>
      </w:pPr>
    </w:p>
    <w:p w14:paraId="2B6FD656" w14:textId="77777777" w:rsidR="00FC08AD" w:rsidRPr="00FC08AD" w:rsidRDefault="00FC08AD" w:rsidP="00FC08AD">
      <w:pPr>
        <w:ind w:firstLine="720"/>
        <w:jc w:val="both"/>
      </w:pPr>
      <w:r w:rsidRPr="00FC08AD">
        <w:lastRenderedPageBreak/>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the criteria that should guide that decision.  For discussions of the treatment of analogous questions under other statutes, see Comments 5.1.1 (Title VII), 6.1.1 (Section 1981), and 9.1.1 (ADA).</w:t>
      </w:r>
    </w:p>
    <w:p w14:paraId="7C7E613A" w14:textId="77777777" w:rsidR="00CE475B" w:rsidRDefault="00CE475B" w:rsidP="005D448A">
      <w:pPr>
        <w:jc w:val="both"/>
      </w:pPr>
    </w:p>
    <w:p w14:paraId="1764F2EC" w14:textId="3935C227"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1" w:name="fiveonesevennassar"/>
      <w:bookmarkEnd w:id="1"/>
      <w:r>
        <w:rPr>
          <w:i/>
        </w:rPr>
        <w:t>Nassar</w:t>
      </w:r>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r>
        <w:rPr>
          <w:i/>
        </w:rPr>
        <w:t>Nassar</w:t>
      </w:r>
      <w:r>
        <w:t xml:space="preserve"> is discussed fully in Comment 5.1.7).</w:t>
      </w:r>
      <w:r w:rsidR="00212A87">
        <w:t xml:space="preserve"> </w:t>
      </w:r>
      <w:r w:rsidR="00A139E4" w:rsidRPr="003943A0">
        <w:rPr>
          <w:szCs w:val="24"/>
        </w:rPr>
        <w:t xml:space="preserve">More recently, the Supreme Court rejected any lower causation standard for claims brought under Section 1981. </w:t>
      </w:r>
      <w:r w:rsidR="00A139E4" w:rsidRPr="003943A0">
        <w:rPr>
          <w:i/>
          <w:szCs w:val="24"/>
        </w:rPr>
        <w:t>Comcast Corp. v. Nat’l Ass’n of African American-Owned Media</w:t>
      </w:r>
      <w:r w:rsidR="00A139E4" w:rsidRPr="003943A0">
        <w:rPr>
          <w:szCs w:val="24"/>
        </w:rPr>
        <w:t xml:space="preserve">, 140 S. Ct. 1009 (2020). Viewing but-for causation as the default principle for tort suits, presumably adopted by Congress when it enacted a statute without indicating the contrary, the Court saw no reason to depart from that baseline with respect to Section 1981. Accordingly, “[t]o prevail, a plaintiff must initially plead and ultimately prove that, but for race, it would not have suffered the loss of a legally protected right.” </w:t>
      </w:r>
      <w:r w:rsidR="00A139E4" w:rsidRPr="003943A0">
        <w:rPr>
          <w:i/>
          <w:szCs w:val="24"/>
        </w:rPr>
        <w:t>Id</w:t>
      </w:r>
      <w:r w:rsidR="00A139E4" w:rsidRPr="003943A0">
        <w:rPr>
          <w:szCs w:val="24"/>
        </w:rPr>
        <w:t>. at 1019.</w:t>
      </w:r>
    </w:p>
    <w:p w14:paraId="16C7FD29" w14:textId="77777777" w:rsidR="00CE475B" w:rsidRDefault="00CE475B" w:rsidP="005D448A">
      <w:pPr>
        <w:jc w:val="both"/>
        <w:rPr>
          <w:u w:val="single"/>
        </w:rPr>
      </w:pPr>
    </w:p>
    <w:p w14:paraId="1147D4EE" w14:textId="5A462C79" w:rsidR="00CE475B" w:rsidRDefault="00CE475B" w:rsidP="00DD259E">
      <w:pPr>
        <w:jc w:val="both"/>
      </w:pPr>
      <w:r>
        <w:tab/>
        <w:t xml:space="preserve">The decisions in </w:t>
      </w:r>
      <w:r>
        <w:rPr>
          <w:i/>
        </w:rPr>
        <w:t>Gross</w:t>
      </w:r>
      <w:r w:rsidR="003943A0">
        <w:rPr>
          <w:i/>
        </w:rPr>
        <w:t>,</w:t>
      </w:r>
      <w:r>
        <w:t xml:space="preserve"> </w:t>
      </w:r>
      <w:r>
        <w:rPr>
          <w:i/>
        </w:rPr>
        <w:t>Nassar</w:t>
      </w:r>
      <w:r w:rsidR="003943A0">
        <w:rPr>
          <w:i/>
        </w:rPr>
        <w:t>,</w:t>
      </w:r>
      <w:r>
        <w:t xml:space="preserve"> </w:t>
      </w:r>
      <w:r w:rsidR="003943A0">
        <w:t xml:space="preserve">and </w:t>
      </w:r>
      <w:r w:rsidR="003943A0" w:rsidRPr="003943A0">
        <w:rPr>
          <w:i/>
          <w:iCs/>
        </w:rPr>
        <w:t>Comcast</w:t>
      </w:r>
      <w:r w:rsidR="003943A0">
        <w:t xml:space="preserve"> </w:t>
      </w:r>
      <w:r>
        <w:t xml:space="preserve">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sidR="00DD259E" w:rsidRPr="005A3223">
        <w:rPr>
          <w:rFonts w:ascii="Century Schoolbook" w:hAnsi="Century Schoolbook"/>
          <w:i/>
          <w:szCs w:val="24"/>
        </w:rPr>
        <w:t xml:space="preserve">see also </w:t>
      </w:r>
      <w:r w:rsidR="00DD259E" w:rsidRPr="00DD259E">
        <w:rPr>
          <w:i/>
          <w:szCs w:val="24"/>
        </w:rPr>
        <w:t>Dep’t of Homeland Sec. v. Regents of the Univ. of California</w:t>
      </w:r>
      <w:r w:rsidR="00DD259E" w:rsidRPr="00DD259E">
        <w:rPr>
          <w:szCs w:val="24"/>
        </w:rPr>
        <w:t>, 140 S. Ct. 1891, 1915 (2020) (plurality opinion) (addressing an equal protection claim under the Fifth Amendment and stating, “to plead animus, a plaintiff must raise a plausible inference that an ‘invidious discriminatory purpose was a motivating factor’ in the relevant decision”).</w:t>
      </w:r>
    </w:p>
    <w:p w14:paraId="0BC0696F" w14:textId="77777777" w:rsidR="00CE475B" w:rsidRDefault="00CE475B" w:rsidP="005D448A">
      <w:pPr>
        <w:jc w:val="both"/>
      </w:pPr>
    </w:p>
    <w:p w14:paraId="6F9978ED" w14:textId="77777777" w:rsidR="00CE475B" w:rsidRDefault="00CE475B" w:rsidP="005D448A">
      <w:pPr>
        <w:jc w:val="both"/>
      </w:pPr>
      <w:r>
        <w:lastRenderedPageBreak/>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6DC0FF60" w14:textId="77777777" w:rsidR="00FC3113" w:rsidRDefault="00FC3113" w:rsidP="005D448A">
      <w:pPr>
        <w:jc w:val="both"/>
      </w:pPr>
    </w:p>
    <w:p w14:paraId="2011F9A4" w14:textId="77777777" w:rsidR="00CE475B" w:rsidRDefault="00CE475B" w:rsidP="005D448A">
      <w:pPr>
        <w:jc w:val="both"/>
      </w:pPr>
      <w:r>
        <w:rPr>
          <w:i/>
        </w:rPr>
        <w:t>Animus of Employee Who Was Not the Ultimate Decisionmaker</w:t>
      </w:r>
    </w:p>
    <w:p w14:paraId="6CA2D47A" w14:textId="77777777" w:rsidR="00CE475B" w:rsidRDefault="00CE475B" w:rsidP="005D448A">
      <w:pPr>
        <w:jc w:val="both"/>
      </w:pPr>
    </w:p>
    <w:p w14:paraId="488D6239" w14:textId="1D2FE793" w:rsidR="005E7864" w:rsidRDefault="00CE475B" w:rsidP="005D448A">
      <w:pPr>
        <w:jc w:val="both"/>
      </w:pPr>
      <w:r>
        <w:tab/>
        <w:t xml:space="preserve">For a discussion of the Court’s treatment in </w:t>
      </w:r>
      <w:r>
        <w:rPr>
          <w:i/>
        </w:rPr>
        <w:t>Staub v. Proctor Hosp.</w:t>
      </w:r>
      <w:r>
        <w:t xml:space="preserve">, 131 S. Ct. 1186 (2011), of the animus of an employee who was not the ultimate decisionmaker, see Comment 5.1.7.  </w:t>
      </w:r>
      <w:r>
        <w:rPr>
          <w:i/>
        </w:rPr>
        <w:t>Staub</w:t>
      </w:r>
      <w:r>
        <w:t xml:space="preserve"> concerned a statute that used the term “motivating factor,” and it is unclear whether the ruling in </w:t>
      </w:r>
      <w:r>
        <w:rPr>
          <w:i/>
        </w:rPr>
        <w:t>Staub</w:t>
      </w:r>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14:paraId="72FDF9F9" w14:textId="77777777" w:rsidR="0020013B" w:rsidRDefault="0020013B" w:rsidP="005D448A">
      <w:pPr>
        <w:tabs>
          <w:tab w:val="center" w:pos="4680"/>
        </w:tabs>
        <w:jc w:val="both"/>
        <w:sectPr w:rsidR="0020013B" w:rsidSect="005D448A">
          <w:headerReference w:type="default" r:id="rId14"/>
          <w:type w:val="continuous"/>
          <w:pgSz w:w="12240" w:h="15840"/>
          <w:pgMar w:top="1440" w:right="1440" w:bottom="1440" w:left="1440" w:header="1440" w:footer="1440" w:gutter="0"/>
          <w:lnNumType w:countBy="1" w:distance="576"/>
          <w:cols w:space="720"/>
          <w:docGrid w:linePitch="326"/>
        </w:sectPr>
      </w:pPr>
    </w:p>
    <w:p w14:paraId="146BBA6C" w14:textId="77777777" w:rsidR="00CE475B" w:rsidRDefault="00CE475B" w:rsidP="005D448A">
      <w:pPr>
        <w:tabs>
          <w:tab w:val="center" w:pos="4680"/>
        </w:tabs>
        <w:jc w:val="both"/>
        <w:rPr>
          <w:b/>
          <w:sz w:val="28"/>
        </w:rPr>
      </w:pPr>
      <w:r>
        <w:br w:type="page"/>
      </w:r>
      <w:r>
        <w:rPr>
          <w:b/>
          <w:sz w:val="28"/>
        </w:rPr>
        <w:lastRenderedPageBreak/>
        <w:t>7.2</w:t>
      </w:r>
      <w:r>
        <w:rPr>
          <w:b/>
          <w:sz w:val="28"/>
        </w:rPr>
        <w:tab/>
        <w:t>Section 1983 Employment Discrimination – Pretext</w:t>
      </w:r>
    </w:p>
    <w:p w14:paraId="03DB898B" w14:textId="77777777" w:rsidR="0068193B" w:rsidRDefault="0068193B" w:rsidP="005D448A">
      <w:pPr>
        <w:jc w:val="both"/>
        <w:rPr>
          <w:b/>
          <w:sz w:val="28"/>
        </w:rPr>
      </w:pPr>
    </w:p>
    <w:p w14:paraId="183857D7" w14:textId="77777777" w:rsidR="00CE475B" w:rsidRDefault="00CE475B" w:rsidP="005D448A">
      <w:pPr>
        <w:jc w:val="both"/>
      </w:pPr>
      <w:r>
        <w:rPr>
          <w:b/>
          <w:sz w:val="28"/>
        </w:rPr>
        <w:t>Model</w:t>
      </w:r>
    </w:p>
    <w:p w14:paraId="448E8B60" w14:textId="77777777" w:rsidR="00CE475B" w:rsidRDefault="00CE475B" w:rsidP="005D448A">
      <w:pPr>
        <w:jc w:val="both"/>
      </w:pPr>
    </w:p>
    <w:p w14:paraId="2B85CB87"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46DDB1DD" w14:textId="77777777" w:rsidR="00CE475B" w:rsidRDefault="00CE475B" w:rsidP="005D448A">
      <w:pPr>
        <w:jc w:val="both"/>
      </w:pPr>
    </w:p>
    <w:p w14:paraId="41FD517D" w14:textId="77777777"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2E2BF8F6" w14:textId="77777777" w:rsidR="00CE475B" w:rsidRDefault="00CE475B" w:rsidP="005D448A">
      <w:pPr>
        <w:jc w:val="both"/>
      </w:pPr>
    </w:p>
    <w:p w14:paraId="67FAB2F5" w14:textId="77777777" w:rsidR="00CE475B" w:rsidRDefault="00CE475B" w:rsidP="005D448A">
      <w:pPr>
        <w:jc w:val="both"/>
      </w:pPr>
      <w:r>
        <w:tab/>
        <w:t>To prevail on this claim, [plaintiff] must prove both of the following by a preponderance of the evidence:</w:t>
      </w:r>
    </w:p>
    <w:p w14:paraId="17B046AF" w14:textId="77777777" w:rsidR="00CE475B" w:rsidRDefault="00CE475B" w:rsidP="005D448A">
      <w:pPr>
        <w:jc w:val="both"/>
      </w:pPr>
    </w:p>
    <w:p w14:paraId="60946DB5"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7"/>
      </w:r>
      <w:r>
        <w:t xml:space="preserve"> and</w:t>
      </w:r>
    </w:p>
    <w:p w14:paraId="39419331" w14:textId="77777777" w:rsidR="00CE475B" w:rsidRDefault="00CE475B" w:rsidP="005D448A">
      <w:pPr>
        <w:jc w:val="both"/>
      </w:pPr>
    </w:p>
    <w:p w14:paraId="23B8A1DC" w14:textId="77777777" w:rsidR="00CE475B" w:rsidRDefault="00CE475B" w:rsidP="005D448A">
      <w:pPr>
        <w:ind w:left="720"/>
        <w:jc w:val="both"/>
      </w:pPr>
      <w:r>
        <w:t>Second:  [Plaintiff’s] [protected status] was a determinative factor in [defendant's] decision.</w:t>
      </w:r>
    </w:p>
    <w:p w14:paraId="7D262D57" w14:textId="77777777" w:rsidR="00CE475B" w:rsidRDefault="00CE475B" w:rsidP="005D448A">
      <w:pPr>
        <w:jc w:val="both"/>
      </w:pPr>
    </w:p>
    <w:p w14:paraId="3CA65A31" w14:textId="77777777" w:rsidR="00CE475B" w:rsidRDefault="00CE475B" w:rsidP="005D448A">
      <w:pPr>
        <w:jc w:val="both"/>
      </w:pPr>
    </w:p>
    <w:p w14:paraId="54DEDFBE" w14:textId="77777777"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53A62FB" w14:textId="77777777" w:rsidR="00CE475B" w:rsidRDefault="00CE475B" w:rsidP="005D448A">
      <w:pPr>
        <w:jc w:val="both"/>
      </w:pPr>
    </w:p>
    <w:p w14:paraId="2BF3DA54" w14:textId="77777777" w:rsidR="00CE475B" w:rsidRDefault="00CE475B" w:rsidP="005D448A">
      <w:pPr>
        <w:jc w:val="both"/>
      </w:pPr>
      <w:r>
        <w:tab/>
      </w:r>
      <w:r w:rsidR="003913F2" w:rsidRPr="003913F2">
        <w:t>You should weigh all the evidence received in the case in deciding whether [defendant] intentionally discriminated against [plaintiff].</w:t>
      </w:r>
      <w:r w:rsidR="003913F2">
        <w:t xml:space="preserve"> </w:t>
      </w:r>
      <w:r>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w:t>
      </w:r>
      <w:r w:rsidR="003913F2">
        <w:t>.</w:t>
      </w:r>
      <w:r>
        <w:t>]</w:t>
      </w:r>
    </w:p>
    <w:p w14:paraId="450B8342" w14:textId="77777777" w:rsidR="00CE475B" w:rsidRDefault="00CE475B" w:rsidP="005D448A">
      <w:pPr>
        <w:jc w:val="both"/>
      </w:pPr>
    </w:p>
    <w:p w14:paraId="65B76466" w14:textId="77777777" w:rsidR="00CE475B" w:rsidRDefault="00CE475B" w:rsidP="005D448A">
      <w:pPr>
        <w:jc w:val="both"/>
      </w:pPr>
      <w:r>
        <w:tab/>
        <w:t>[Defendant] has given a nondiscriminatory reason for its [describe defendant’s action].</w:t>
      </w:r>
      <w:r w:rsidR="003913F2">
        <w:t xml:space="preserve">  </w:t>
      </w:r>
      <w:r w:rsidR="003913F2" w:rsidRPr="003913F2">
        <w:t>If you believe [defendant’s] stated reason and if you find that the [adverse employment action] would have occurred because of defendant’s stated reason regardless of [plaintiff’s] [protected status], then you must find for [defendant].</w:t>
      </w:r>
      <w:r w:rsidR="003913F2">
        <w:t xml:space="preserve"> </w:t>
      </w:r>
      <w:r>
        <w:t xml:space="preserve">If you disbelieve [defendant’s] </w:t>
      </w:r>
      <w:r w:rsidR="003913F2">
        <w:t>stated reason</w:t>
      </w:r>
      <w:r>
        <w:t xml:space="preserve"> for its conduct, then you may, but need not, find that [plaintiff] has proved intentional discrimination.  In determining whether [defendant's] stated reason for its actions was a pretext, or excuse, for discrimination, you may not question defendant's </w:t>
      </w:r>
      <w:r w:rsidRPr="00F41670">
        <w:t>managerial</w:t>
      </w:r>
      <w:r>
        <w:t xml:space="preserve"> judgment.  You cannot find intentional discrimination simply because you disagree with the </w:t>
      </w:r>
      <w:r w:rsidR="00F41670" w:rsidRPr="00F41670">
        <w:t>managerial</w:t>
      </w:r>
      <w:r w:rsidR="00F41670">
        <w:t xml:space="preserve"> </w:t>
      </w:r>
      <w:r>
        <w:t>judgment of [defendant] or believe it is harsh or unreasonable.  You are not to consider [defendant's] wisdom.  However, you may consider whether</w:t>
      </w:r>
      <w:r w:rsidR="003913F2">
        <w:t xml:space="preserve"> [plaintiff] has proven that</w:t>
      </w:r>
      <w:r w:rsidR="00F41670">
        <w:t xml:space="preserve"> </w:t>
      </w:r>
      <w:r>
        <w:t>[defendant's] reason is merely a cover-up for discrimination.</w:t>
      </w:r>
    </w:p>
    <w:p w14:paraId="47938CB3" w14:textId="77777777" w:rsidR="003913F2" w:rsidRDefault="003913F2" w:rsidP="005D448A">
      <w:pPr>
        <w:jc w:val="both"/>
      </w:pPr>
    </w:p>
    <w:p w14:paraId="02897B3C" w14:textId="77777777"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14:paraId="6F4955DB" w14:textId="77777777" w:rsidR="00CE475B" w:rsidRDefault="00CE475B" w:rsidP="005D448A">
      <w:pPr>
        <w:jc w:val="both"/>
      </w:pPr>
    </w:p>
    <w:p w14:paraId="6B6FA114" w14:textId="77777777" w:rsidR="00CE475B" w:rsidRDefault="00CE475B" w:rsidP="005D448A">
      <w:pPr>
        <w:jc w:val="both"/>
      </w:pPr>
      <w:r>
        <w:rPr>
          <w:b/>
          <w:sz w:val="28"/>
        </w:rPr>
        <w:t>Comment</w:t>
      </w:r>
    </w:p>
    <w:p w14:paraId="34836A09" w14:textId="77777777" w:rsidR="00CE475B" w:rsidRDefault="00CE475B" w:rsidP="005D448A">
      <w:pPr>
        <w:jc w:val="both"/>
      </w:pPr>
    </w:p>
    <w:p w14:paraId="3087B928" w14:textId="1D65FDAA"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sidR="00EA3A17" w:rsidRPr="00EA3A17">
        <w:rPr>
          <w:i/>
          <w:iCs/>
        </w:rPr>
        <w:t>Starnes v. Butler County Ct. of Com. Pleas, 50th Jud. Dist</w:t>
      </w:r>
      <w:r w:rsidR="00EA3A17" w:rsidRPr="00EA3A17">
        <w:t xml:space="preserve">., 971 F.3d 416, 426 (3d Cir. 2020) (“We analyze Starnes’s § 1983 equal protection claim using the </w:t>
      </w:r>
      <w:r w:rsidR="00EA3A17" w:rsidRPr="00EA3A17">
        <w:rPr>
          <w:i/>
          <w:iCs/>
        </w:rPr>
        <w:t>McDonnell Douglas</w:t>
      </w:r>
      <w:r w:rsidR="00EA3A17" w:rsidRPr="00EA3A17">
        <w:t xml:space="preserve"> framework that applies in Title VII cases.”); </w:t>
      </w:r>
      <w:r>
        <w:rPr>
          <w:i/>
        </w:rPr>
        <w:t>Stewart v. Rutgers, The State University</w:t>
      </w:r>
      <w:r>
        <w:t xml:space="preserve">, 120 F.3d 426, 432 (3d Cir. 1997) (“Our application of the </w:t>
      </w:r>
      <w:r>
        <w:rPr>
          <w:i/>
        </w:rPr>
        <w:t xml:space="preserve">McDonnell Douglas-Burdine </w:t>
      </w:r>
      <w:r>
        <w:t>framework is applicable to Stewart's allegation of racial discrimination under 42 U.S.C. §§ 1981 and 1983.”</w:t>
      </w:r>
      <w:r w:rsidR="007767DF">
        <w:t>)</w:t>
      </w:r>
      <w:r>
        <w:t>.</w:t>
      </w:r>
    </w:p>
    <w:p w14:paraId="61D6FDDC" w14:textId="77777777" w:rsidR="00CE475B" w:rsidRDefault="00CE475B" w:rsidP="005D448A">
      <w:pPr>
        <w:jc w:val="both"/>
      </w:pPr>
    </w:p>
    <w:p w14:paraId="0FD5C1F5" w14:textId="77777777"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14:paraId="167E9019" w14:textId="77777777" w:rsidR="00FC08AD" w:rsidRPr="00FC08AD" w:rsidRDefault="00FC08AD" w:rsidP="00FC08AD">
      <w:pPr>
        <w:jc w:val="both"/>
      </w:pPr>
    </w:p>
    <w:p w14:paraId="106ADC7C" w14:textId="77777777"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14:paraId="6E994CDF" w14:textId="77777777" w:rsidR="00CE475B" w:rsidRDefault="00CE475B" w:rsidP="005D448A">
      <w:pPr>
        <w:jc w:val="both"/>
      </w:pPr>
    </w:p>
    <w:p w14:paraId="0A270053" w14:textId="77777777" w:rsidR="00083F00" w:rsidRDefault="00CE475B" w:rsidP="005D448A">
      <w:pPr>
        <w:jc w:val="both"/>
        <w:sectPr w:rsidR="00083F00" w:rsidSect="005D448A">
          <w:headerReference w:type="default" r:id="rId15"/>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w:t>
      </w:r>
      <w:r>
        <w:lastRenderedPageBreak/>
        <w:t xml:space="preserve">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154426A1" w14:textId="77777777" w:rsidR="0068193B" w:rsidRDefault="00CE475B" w:rsidP="005D448A">
      <w:pPr>
        <w:jc w:val="both"/>
        <w:rPr>
          <w:b/>
          <w:i/>
        </w:rPr>
      </w:pPr>
      <w:r>
        <w:br w:type="page"/>
      </w:r>
      <w:r>
        <w:rPr>
          <w:b/>
          <w:sz w:val="28"/>
        </w:rPr>
        <w:lastRenderedPageBreak/>
        <w:t>7.3</w:t>
      </w:r>
      <w:r>
        <w:rPr>
          <w:b/>
          <w:sz w:val="28"/>
        </w:rPr>
        <w:tab/>
        <w:t>Section 1983 Employment Discrimination – Harassment</w:t>
      </w:r>
    </w:p>
    <w:p w14:paraId="728AA3FC" w14:textId="77777777" w:rsidR="0068193B" w:rsidRDefault="0068193B" w:rsidP="005D448A">
      <w:pPr>
        <w:jc w:val="both"/>
        <w:rPr>
          <w:b/>
          <w:i/>
        </w:rPr>
      </w:pPr>
    </w:p>
    <w:p w14:paraId="4BC1EEE9" w14:textId="77777777" w:rsidR="00CE475B" w:rsidRDefault="00CE475B" w:rsidP="005D448A">
      <w:pPr>
        <w:jc w:val="both"/>
      </w:pPr>
      <w:r>
        <w:rPr>
          <w:b/>
          <w:i/>
        </w:rPr>
        <w:t>No Instruction</w:t>
      </w:r>
    </w:p>
    <w:p w14:paraId="69F73DEE" w14:textId="77777777" w:rsidR="00CE475B" w:rsidRDefault="00CE475B" w:rsidP="005D448A">
      <w:pPr>
        <w:jc w:val="both"/>
      </w:pPr>
    </w:p>
    <w:p w14:paraId="4D0FB2C5" w14:textId="77777777" w:rsidR="00CE475B" w:rsidRDefault="00CE475B" w:rsidP="005D448A">
      <w:pPr>
        <w:jc w:val="both"/>
      </w:pPr>
    </w:p>
    <w:p w14:paraId="6E4A0B34" w14:textId="77777777" w:rsidR="00CE475B" w:rsidRDefault="00CE475B" w:rsidP="005D448A">
      <w:pPr>
        <w:jc w:val="both"/>
        <w:rPr>
          <w:sz w:val="28"/>
        </w:rPr>
      </w:pPr>
      <w:r>
        <w:rPr>
          <w:b/>
          <w:sz w:val="28"/>
        </w:rPr>
        <w:t>Comment</w:t>
      </w:r>
    </w:p>
    <w:p w14:paraId="299CA95A" w14:textId="77777777" w:rsidR="00CE475B" w:rsidRDefault="00CE475B" w:rsidP="005D448A">
      <w:pPr>
        <w:jc w:val="both"/>
      </w:pPr>
    </w:p>
    <w:p w14:paraId="7A19A50D" w14:textId="77777777"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14:paraId="44DDEF3D" w14:textId="77777777" w:rsidR="00CE475B" w:rsidRDefault="00CE475B" w:rsidP="005D448A">
      <w:pPr>
        <w:jc w:val="both"/>
      </w:pPr>
    </w:p>
    <w:p w14:paraId="112FD965" w14:textId="77777777"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xml:space="preserve">, 477 U.S. 57, 64 (1986) (stating in Title VII case that “[w]ithout question, when a supervisor sexually harasses a subordinate because of the subordinate's sex, that supervisor ‘discriminate[s]’ on the basis of sex”); </w:t>
      </w:r>
      <w:r>
        <w:rPr>
          <w:i/>
        </w:rPr>
        <w:t>Azzaro v. County of Allegheny</w:t>
      </w:r>
      <w:r>
        <w:t>, 110 F.3d 968, 978 (3d Cir. 1997) (en banc) (in assessing retaliation claim, explaining that “[t]he harassment [reported by the plaintiff] was a form of gender discrimination since Fusaro presumably would not have behaved in the same manner toward a supplicant male spouse of a female employee.”).</w:t>
      </w:r>
      <w:r>
        <w:rPr>
          <w:rStyle w:val="FootnoteReference"/>
        </w:rPr>
        <w:footnoteReference w:id="18"/>
      </w:r>
    </w:p>
    <w:p w14:paraId="73B3B02F" w14:textId="77777777" w:rsidR="00CE475B" w:rsidRDefault="00CE475B" w:rsidP="005D448A">
      <w:pPr>
        <w:jc w:val="both"/>
      </w:pPr>
    </w:p>
    <w:p w14:paraId="4F7AF9A1" w14:textId="77777777"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r>
        <w:rPr>
          <w:i/>
        </w:rPr>
        <w:t>Bonenberger v. Plymouth Twp.</w:t>
      </w:r>
      <w:r>
        <w:t xml:space="preserve">, 132 F.3d 20, 24 (3d Cir. 1997) (“Under these circumstances La Penta's role within the departmental structure afforded him sufficient authority over Bonenberger to satisfy the color of law requirement of section </w:t>
      </w:r>
      <w:r>
        <w:lastRenderedPageBreak/>
        <w:t>1983.”).</w:t>
      </w:r>
      <w:r>
        <w:rPr>
          <w:rStyle w:val="FootnoteReference"/>
        </w:rPr>
        <w:footnoteReference w:id="19"/>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r>
        <w:rPr>
          <w:i/>
        </w:rPr>
        <w:t>Bonenberger</w:t>
      </w:r>
      <w:r>
        <w:t>, 132 F.3d at 23.</w:t>
      </w:r>
    </w:p>
    <w:p w14:paraId="3BC76763" w14:textId="77777777" w:rsidR="00136001" w:rsidRDefault="00136001" w:rsidP="005D448A">
      <w:pPr>
        <w:jc w:val="both"/>
      </w:pPr>
    </w:p>
    <w:p w14:paraId="6BD608E5" w14:textId="00D92985"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w:t>
      </w:r>
      <w:r w:rsidRPr="00144E4F">
        <w:t xml:space="preserve">.  </w:t>
      </w:r>
      <w:r w:rsidRPr="00144E4F">
        <w:rPr>
          <w:i/>
        </w:rPr>
        <w:t>See, e.g.,</w:t>
      </w:r>
      <w:bookmarkStart w:id="2" w:name="_Hlk100575187"/>
      <w:r w:rsidR="00944739" w:rsidRPr="00144E4F">
        <w:rPr>
          <w:i/>
        </w:rPr>
        <w:t xml:space="preserve"> </w:t>
      </w:r>
      <w:r w:rsidR="00944739" w:rsidRPr="00144E4F">
        <w:rPr>
          <w:i/>
          <w:iCs/>
          <w:szCs w:val="24"/>
          <w:shd w:val="clear" w:color="auto" w:fill="FFFFFF" w:themeFill="background1"/>
        </w:rPr>
        <w:t>Starnes v. Butler County Ct. of Com. Pleas, 50th Jud. Dist</w:t>
      </w:r>
      <w:r w:rsidR="00944739" w:rsidRPr="00144E4F">
        <w:rPr>
          <w:szCs w:val="24"/>
          <w:shd w:val="clear" w:color="auto" w:fill="FFFFFF" w:themeFill="background1"/>
        </w:rPr>
        <w:t xml:space="preserve">., 971 F.3d 416, 426-27 (3d Cir. 2020) </w:t>
      </w:r>
      <w:bookmarkEnd w:id="2"/>
      <w:r w:rsidR="00944739" w:rsidRPr="00144E4F">
        <w:rPr>
          <w:szCs w:val="24"/>
          <w:shd w:val="clear" w:color="auto" w:fill="FFFFFF" w:themeFill="background1"/>
        </w:rPr>
        <w:t xml:space="preserve">(relying on Title VII cases and holding that “Starnes stated plausible claims for sex discrimination in violation of the Equal Protection Clause because of quid pro quo sexual harassment”); </w:t>
      </w:r>
      <w:r w:rsidRPr="00144E4F">
        <w:rPr>
          <w:i/>
        </w:rPr>
        <w:t>Robinson v. City of Pittsburgh</w:t>
      </w:r>
      <w:r w:rsidRPr="00144E4F">
        <w:t xml:space="preserve">, 120 F.3d 1286, 1296-99 &amp; n.14 (3d Cir. 1997) (discussing merits of Title VII quid pro quo claim at length and briefly stating in footnote that “our discussion in this section applies equally to” a Section 1983 quid pro quo claim by the plaintiff), </w:t>
      </w:r>
      <w:r w:rsidRPr="00144E4F">
        <w:rPr>
          <w:i/>
        </w:rPr>
        <w:t>abrogated on other grounds by Burlington Northern &amp; Santa Fe Ry. Co. v</w:t>
      </w:r>
      <w:r>
        <w:rPr>
          <w:i/>
        </w:rPr>
        <w:t>. White</w:t>
      </w:r>
      <w:r>
        <w:t>, 548 U.S. 53 (2006).  The instruction for such a Section 1983 claim would probably be quite similar, in most respects, to Instruction 5.1.3.</w:t>
      </w:r>
      <w:r>
        <w:rPr>
          <w:rStyle w:val="FootnoteReference"/>
        </w:rPr>
        <w:footnoteReference w:id="20"/>
      </w:r>
    </w:p>
    <w:p w14:paraId="0D20216C" w14:textId="77777777" w:rsidR="00CE475B" w:rsidRDefault="00CE475B" w:rsidP="005D448A">
      <w:pPr>
        <w:jc w:val="both"/>
      </w:pPr>
    </w:p>
    <w:p w14:paraId="24AED2D3" w14:textId="77777777" w:rsidR="00CE475B" w:rsidRDefault="00CE475B" w:rsidP="005D448A">
      <w:pPr>
        <w:jc w:val="both"/>
      </w:pPr>
      <w:r>
        <w:tab/>
        <w:t xml:space="preserve">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w:t>
      </w:r>
      <w:r>
        <w:lastRenderedPageBreak/>
        <w:t>action</w:t>
      </w:r>
      <w:r>
        <w:rPr>
          <w:rStyle w:val="FootnoteReference"/>
        </w:rPr>
        <w:footnoteReference w:id="21"/>
      </w:r>
      <w:r>
        <w:t xml:space="preserve"> against the plaintiff, that evidence should also establish that the defendant acted under color of state law.</w:t>
      </w:r>
      <w:r>
        <w:rPr>
          <w:rStyle w:val="FootnoteReference"/>
        </w:rPr>
        <w:footnoteReference w:id="22"/>
      </w:r>
    </w:p>
    <w:p w14:paraId="61DAB108" w14:textId="77777777" w:rsidR="00CE475B" w:rsidRDefault="00CE475B" w:rsidP="005D448A">
      <w:pPr>
        <w:jc w:val="both"/>
      </w:pPr>
    </w:p>
    <w:p w14:paraId="1DC66B95" w14:textId="77777777" w:rsidR="00CE475B" w:rsidRDefault="00CE475B" w:rsidP="005D448A">
      <w:pPr>
        <w:jc w:val="both"/>
      </w:pPr>
      <w:r>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3"/>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respondeat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14:paraId="6019E747" w14:textId="77777777" w:rsidR="00CE475B" w:rsidRDefault="00CE475B" w:rsidP="005D448A">
      <w:pPr>
        <w:jc w:val="both"/>
      </w:pPr>
    </w:p>
    <w:p w14:paraId="5CCA78D1" w14:textId="77777777" w:rsidR="00CE475B" w:rsidRDefault="00CE475B" w:rsidP="005D448A">
      <w:pPr>
        <w:ind w:left="720"/>
        <w:jc w:val="both"/>
      </w:pPr>
      <w:r>
        <w:t xml:space="preserve">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w:t>
      </w:r>
      <w:r>
        <w:lastRenderedPageBreak/>
        <w:t>VII elements, and although the judge's decision here may be affected by certain findings of the jury, they are ultimately a decision of the court.</w:t>
      </w:r>
    </w:p>
    <w:p w14:paraId="5E89C496" w14:textId="77777777" w:rsidR="00CE475B" w:rsidRDefault="00CE475B" w:rsidP="005D448A">
      <w:pPr>
        <w:jc w:val="both"/>
      </w:pPr>
    </w:p>
    <w:p w14:paraId="6647A673" w14:textId="631B3E99"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sidR="00CE5B3A">
        <w:t>.</w:t>
      </w:r>
      <w:r>
        <w:rPr>
          <w:rStyle w:val="FootnoteReference"/>
        </w:rPr>
        <w:footnoteReference w:id="24"/>
      </w:r>
      <w:r>
        <w:t xml:space="preserve"> </w:t>
      </w:r>
    </w:p>
    <w:p w14:paraId="273D57C3" w14:textId="77777777" w:rsidR="00DC617C" w:rsidRDefault="00DC617C" w:rsidP="005D448A">
      <w:pPr>
        <w:jc w:val="both"/>
      </w:pPr>
    </w:p>
    <w:p w14:paraId="33488BF8" w14:textId="77777777" w:rsidR="00DC617C" w:rsidRPr="00DC617C" w:rsidRDefault="00DC617C" w:rsidP="00DC617C">
      <w:pPr>
        <w:shd w:val="clear" w:color="auto" w:fill="FFFFFF" w:themeFill="background1"/>
        <w:ind w:firstLine="720"/>
        <w:jc w:val="both"/>
      </w:pPr>
      <w:r w:rsidRPr="00DC617C">
        <w:t xml:space="preserve">More recently, in </w:t>
      </w:r>
      <w:r w:rsidRPr="00DC617C">
        <w:rPr>
          <w:i/>
          <w:iCs/>
        </w:rPr>
        <w:t>Starnes v. Butler County Ct. of Com. Pleas, 50th Jud. Dist</w:t>
      </w:r>
      <w:r w:rsidRPr="00DC617C">
        <w:t xml:space="preserve">., 971 F.3d 416, 428 (3d Cir. 2020), the defendant argued for qualified immunity, contending that the Court of Appeals had not “previously held that a hostile work environment in cognizable under § 1983.” The Court of Appeals rejected qualified immunity because “we have been clear that § 1983 shares the elements for discrimination purposes as a Title VII action.” </w:t>
      </w:r>
      <w:r w:rsidRPr="00DC617C">
        <w:rPr>
          <w:i/>
          <w:iCs/>
        </w:rPr>
        <w:t>Starnes</w:t>
      </w:r>
      <w:r w:rsidRPr="00DC617C">
        <w:t xml:space="preserve"> did not cite </w:t>
      </w:r>
      <w:r w:rsidRPr="00DC617C">
        <w:rPr>
          <w:i/>
          <w:iCs/>
        </w:rPr>
        <w:t>Andrews</w:t>
      </w:r>
      <w:r w:rsidRPr="00DC617C">
        <w:t>. Instead, it relied on the pre-</w:t>
      </w:r>
      <w:r w:rsidRPr="00DC617C">
        <w:rPr>
          <w:i/>
          <w:iCs/>
        </w:rPr>
        <w:t>Andrews</w:t>
      </w:r>
      <w:r w:rsidRPr="00DC617C">
        <w:t xml:space="preserve"> decision in </w:t>
      </w:r>
      <w:r w:rsidRPr="00DC617C">
        <w:rPr>
          <w:i/>
          <w:iCs/>
        </w:rPr>
        <w:t>Lewis</w:t>
      </w:r>
      <w:r w:rsidRPr="00DC617C">
        <w:t>. 971 F.3d at 928 (</w:t>
      </w:r>
      <w:r w:rsidRPr="00DC617C">
        <w:rPr>
          <w:i/>
          <w:iCs/>
        </w:rPr>
        <w:t>citing Lewis v. University of Pittsburgh</w:t>
      </w:r>
      <w:r w:rsidRPr="00DC617C">
        <w:t>, 725 F.2d 910, 915 n.5 (3d Cir. 1983)).</w:t>
      </w:r>
    </w:p>
    <w:p w14:paraId="65C9828F" w14:textId="77777777" w:rsidR="00CE475B" w:rsidRDefault="00CE475B" w:rsidP="005D448A">
      <w:pPr>
        <w:jc w:val="both"/>
      </w:pPr>
    </w:p>
    <w:p w14:paraId="7EA2A0A8" w14:textId="77777777"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5"/>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6"/>
      </w:r>
    </w:p>
    <w:p w14:paraId="3FFA3EC6" w14:textId="77777777" w:rsidR="0023730D" w:rsidRDefault="0023730D" w:rsidP="005D448A">
      <w:pPr>
        <w:jc w:val="both"/>
      </w:pPr>
    </w:p>
    <w:p w14:paraId="7E470193" w14:textId="77777777"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7"/>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question of what level of action or indifference suffices to show intent to discriminate on the part of the supervisor or the municipality.</w:t>
      </w:r>
    </w:p>
    <w:p w14:paraId="051467D5" w14:textId="77777777" w:rsidR="00CE475B" w:rsidRDefault="00CE475B" w:rsidP="005D448A">
      <w:pPr>
        <w:jc w:val="both"/>
      </w:pPr>
    </w:p>
    <w:p w14:paraId="7ADFFA91" w14:textId="77777777"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14:paraId="7D9C829C" w14:textId="77777777" w:rsidR="00CE475B" w:rsidRDefault="00CE475B" w:rsidP="005D448A">
      <w:pPr>
        <w:jc w:val="both"/>
      </w:pPr>
    </w:p>
    <w:p w14:paraId="784B9746" w14:textId="77777777" w:rsidR="00CE475B" w:rsidRDefault="00CE475B" w:rsidP="005D448A">
      <w:pPr>
        <w:ind w:left="720"/>
        <w:jc w:val="both"/>
      </w:pPr>
      <w:r>
        <w:t>There is evidence that Liciardello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14:paraId="06F75B55" w14:textId="77777777" w:rsidR="00CE475B" w:rsidRDefault="00CE475B" w:rsidP="005D448A">
      <w:pPr>
        <w:jc w:val="both"/>
      </w:pPr>
    </w:p>
    <w:p w14:paraId="5A778BF1" w14:textId="77777777" w:rsidR="00CE475B" w:rsidRDefault="00CE475B" w:rsidP="005D448A">
      <w:pPr>
        <w:jc w:val="both"/>
      </w:pPr>
      <w:r>
        <w:rPr>
          <w:i/>
        </w:rPr>
        <w:t>Andrews</w:t>
      </w:r>
      <w:r>
        <w:t>, 895 F.2d at 1479.</w:t>
      </w:r>
    </w:p>
    <w:p w14:paraId="37408201" w14:textId="77777777" w:rsidR="00CE475B" w:rsidRDefault="00CE475B" w:rsidP="005D448A">
      <w:pPr>
        <w:jc w:val="both"/>
      </w:pPr>
    </w:p>
    <w:p w14:paraId="40C837F4" w14:textId="77777777" w:rsidR="0078295F" w:rsidRDefault="00CE475B" w:rsidP="005D448A">
      <w:pPr>
        <w:jc w:val="both"/>
        <w:sectPr w:rsidR="0078295F" w:rsidSect="005D448A">
          <w:headerReference w:type="default" r:id="rId16"/>
          <w:type w:val="continuous"/>
          <w:pgSz w:w="12240" w:h="15840"/>
          <w:pgMar w:top="1440" w:right="1440" w:bottom="1440" w:left="1440" w:header="1440" w:footer="1440" w:gutter="0"/>
          <w:lnNumType w:countBy="1" w:distance="576"/>
          <w:cols w:space="720"/>
          <w:docGrid w:linePitch="326"/>
        </w:sectPr>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8"/>
      </w:r>
      <w:r>
        <w:t xml:space="preserve"> </w:t>
      </w:r>
    </w:p>
    <w:p w14:paraId="5C177271" w14:textId="77777777"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14:paraId="0A8E3AFC" w14:textId="77777777" w:rsidR="00CE475B" w:rsidRDefault="00CE475B" w:rsidP="005D448A">
      <w:pPr>
        <w:jc w:val="both"/>
      </w:pPr>
      <w:r>
        <w:rPr>
          <w:b/>
          <w:sz w:val="28"/>
        </w:rPr>
        <w:t>Model</w:t>
      </w:r>
    </w:p>
    <w:p w14:paraId="0D799889" w14:textId="77777777" w:rsidR="00CE475B" w:rsidRDefault="00CE475B" w:rsidP="005D448A">
      <w:pPr>
        <w:jc w:val="both"/>
      </w:pPr>
    </w:p>
    <w:p w14:paraId="0CDD8216" w14:textId="77777777"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9"/>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30"/>
      </w:r>
    </w:p>
    <w:p w14:paraId="28D42FF4" w14:textId="77777777" w:rsidR="00CE475B" w:rsidRDefault="00CE475B" w:rsidP="005D448A">
      <w:pPr>
        <w:jc w:val="both"/>
      </w:pPr>
      <w:r>
        <w:lastRenderedPageBreak/>
        <w:tab/>
        <w:t>It is my duty to instruct you on whether [plaintiff] engaged in activity that was protected by the First Amendment.  In this case, I instruct you that the following activity was protected by the First Amendment:</w:t>
      </w:r>
    </w:p>
    <w:p w14:paraId="6F4072B0" w14:textId="77777777" w:rsidR="00CE475B" w:rsidRDefault="00CE475B" w:rsidP="005D448A">
      <w:pPr>
        <w:jc w:val="both"/>
      </w:pPr>
    </w:p>
    <w:p w14:paraId="167CBBFB" w14:textId="77777777" w:rsidR="00CE475B" w:rsidRDefault="00CE475B" w:rsidP="001E4F95">
      <w:pPr>
        <w:ind w:left="720"/>
        <w:jc w:val="both"/>
      </w:pPr>
      <w:r>
        <w:t xml:space="preserve">[Describe specifically the plaintiff’s protected activity].  In </w:t>
      </w:r>
      <w:r w:rsidR="001E4F95">
        <w:t xml:space="preserve">the rest of this instruction, I </w:t>
      </w:r>
      <w:r>
        <w:t>will refer to these events as “[plaintiff’s] protected activity.”</w:t>
      </w:r>
    </w:p>
    <w:p w14:paraId="4A445158" w14:textId="77777777" w:rsidR="00CE475B" w:rsidRDefault="00CE475B" w:rsidP="005D448A">
      <w:pPr>
        <w:jc w:val="both"/>
      </w:pPr>
    </w:p>
    <w:p w14:paraId="39F1698C" w14:textId="77777777" w:rsidR="00CE475B" w:rsidRDefault="00CE475B" w:rsidP="005D448A">
      <w:pPr>
        <w:jc w:val="both"/>
      </w:pPr>
      <w:r>
        <w:tab/>
        <w:t>In order for [plaintiff] to recover on this claim against [defendant], [plaintiff] must prove both of the following by a preponderance of the evidence:</w:t>
      </w:r>
    </w:p>
    <w:p w14:paraId="7D6AEBC2" w14:textId="77777777" w:rsidR="00CE475B" w:rsidRDefault="00CE475B" w:rsidP="005D448A">
      <w:pPr>
        <w:jc w:val="both"/>
      </w:pPr>
    </w:p>
    <w:p w14:paraId="09E371C2" w14:textId="77777777" w:rsidR="00CE475B" w:rsidRDefault="00CE475B" w:rsidP="005D448A">
      <w:pPr>
        <w:ind w:left="720"/>
        <w:jc w:val="both"/>
      </w:pPr>
      <w:r>
        <w:t xml:space="preserve"> First: [Defendant] [failed to promote] [terminated] [constructively discharged]</w:t>
      </w:r>
      <w:r>
        <w:rPr>
          <w:rStyle w:val="FootnoteReference"/>
        </w:rPr>
        <w:footnoteReference w:id="31"/>
      </w:r>
      <w:r>
        <w:t xml:space="preserve"> [plaintiff]; and</w:t>
      </w:r>
    </w:p>
    <w:p w14:paraId="758FD1C0" w14:textId="77777777" w:rsidR="00FB4C26" w:rsidRDefault="00FB4C26" w:rsidP="005D448A">
      <w:pPr>
        <w:ind w:left="720"/>
        <w:jc w:val="both"/>
      </w:pPr>
    </w:p>
    <w:p w14:paraId="296EAE62" w14:textId="77777777" w:rsidR="00CE475B" w:rsidRDefault="00CE475B" w:rsidP="005D448A">
      <w:pPr>
        <w:ind w:left="720"/>
        <w:jc w:val="both"/>
      </w:pPr>
      <w:r>
        <w:t>Second: [Plaintiff’s] protected activity was a motivating factor in [defendant's] decision.</w:t>
      </w:r>
    </w:p>
    <w:p w14:paraId="1624B45B" w14:textId="77777777" w:rsidR="00CE475B" w:rsidRDefault="00CE475B" w:rsidP="005D448A">
      <w:pPr>
        <w:jc w:val="both"/>
      </w:pPr>
    </w:p>
    <w:p w14:paraId="1927B6DE" w14:textId="77777777"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14:paraId="239F11C8" w14:textId="77777777" w:rsidR="00CE475B" w:rsidRDefault="00CE475B" w:rsidP="005D448A">
      <w:pPr>
        <w:jc w:val="both"/>
      </w:pPr>
    </w:p>
    <w:p w14:paraId="2879E2CD" w14:textId="77777777" w:rsidR="00CE475B" w:rsidRDefault="00CE475B" w:rsidP="005D448A">
      <w:pPr>
        <w:jc w:val="both"/>
        <w:rPr>
          <w:b/>
        </w:rPr>
      </w:pPr>
      <w:r>
        <w:rPr>
          <w:b/>
        </w:rPr>
        <w:t>[For use where defendant sets forth a “same decision” affirmative defense:</w:t>
      </w:r>
      <w:r>
        <w:rPr>
          <w:rStyle w:val="FootnoteReference"/>
          <w:b/>
        </w:rPr>
        <w:footnoteReference w:id="32"/>
      </w:r>
    </w:p>
    <w:p w14:paraId="66FE8E57" w14:textId="77777777" w:rsidR="00CE475B" w:rsidRDefault="00CE475B" w:rsidP="005D448A">
      <w:pPr>
        <w:jc w:val="both"/>
      </w:pPr>
    </w:p>
    <w:p w14:paraId="4EA77E77" w14:textId="77777777"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14:paraId="0AAB736D" w14:textId="77777777" w:rsidR="00CE475B" w:rsidRDefault="00CE475B" w:rsidP="005D448A">
      <w:pPr>
        <w:jc w:val="both"/>
      </w:pPr>
    </w:p>
    <w:p w14:paraId="6E77C80E" w14:textId="77777777" w:rsidR="00CE475B" w:rsidRDefault="00CE475B" w:rsidP="005D448A">
      <w:pPr>
        <w:jc w:val="both"/>
      </w:pPr>
    </w:p>
    <w:p w14:paraId="0442A86B" w14:textId="77777777" w:rsidR="00CE475B" w:rsidRDefault="00CE475B" w:rsidP="005D448A">
      <w:pPr>
        <w:jc w:val="both"/>
      </w:pPr>
      <w:r>
        <w:rPr>
          <w:b/>
          <w:sz w:val="28"/>
        </w:rPr>
        <w:t>Comment</w:t>
      </w:r>
    </w:p>
    <w:p w14:paraId="0C43B092" w14:textId="77777777" w:rsidR="00CE475B" w:rsidRDefault="00CE475B" w:rsidP="005D448A">
      <w:pPr>
        <w:jc w:val="both"/>
      </w:pPr>
    </w:p>
    <w:p w14:paraId="1BD97E26" w14:textId="5839F471"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abrogated on other grounds by Borough of Duryea v. Guarnieri</w:t>
      </w:r>
      <w:r>
        <w:t>, 131 S. Ct. 2488 (2011).</w:t>
      </w:r>
      <w:r>
        <w:rPr>
          <w:rStyle w:val="FootnoteReference"/>
        </w:rPr>
        <w:footnoteReference w:id="33"/>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4"/>
      </w:r>
      <w:r>
        <w:t xml:space="preserve">  “Second, the employee must show that the protected activity ‘was a substantial factor in the alleged retaliatory action.</w:t>
      </w:r>
      <w:r w:rsidR="0062320B">
        <w:t>’ ”</w:t>
      </w:r>
      <w:r>
        <w:t xml:space="preserve">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r w:rsidR="005D6F4B" w:rsidRPr="00922C4F">
        <w:rPr>
          <w:rStyle w:val="FootnoteReference"/>
        </w:rPr>
        <w:footnoteReference w:id="35"/>
      </w:r>
    </w:p>
    <w:p w14:paraId="01C9389F" w14:textId="77777777" w:rsidR="00CE475B" w:rsidRDefault="00CE475B" w:rsidP="005D448A">
      <w:pPr>
        <w:jc w:val="both"/>
      </w:pPr>
    </w:p>
    <w:p w14:paraId="1F8DE3CF" w14:textId="77777777"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See, e.g., Zelinski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14:paraId="216950F3" w14:textId="77777777" w:rsidR="00CE475B" w:rsidRDefault="00CE475B" w:rsidP="005D448A">
      <w:pPr>
        <w:pStyle w:val="ListParagra"/>
      </w:pPr>
    </w:p>
    <w:p w14:paraId="60532F1A" w14:textId="77777777"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abrogated on other grounds by Borough of Duryea v. Guarnieri</w:t>
      </w:r>
      <w:r>
        <w:t xml:space="preserve">, 131 S. Ct. 2488 (2011). On other occasions, however, it used distinct tests for each.  </w:t>
      </w:r>
      <w:r>
        <w:rPr>
          <w:i/>
        </w:rPr>
        <w:t>See</w:t>
      </w:r>
      <w:r>
        <w:t xml:space="preserve"> </w:t>
      </w:r>
      <w:r>
        <w:rPr>
          <w:i/>
        </w:rPr>
        <w:t>Azzaro v. County of Allegheny</w:t>
      </w:r>
      <w:r>
        <w:t xml:space="preserve">, 110 F.3d 968, 973-75 (3d Cir. 1997) (en banc).  In </w:t>
      </w:r>
      <w:r>
        <w:rPr>
          <w:i/>
        </w:rPr>
        <w:t>University of Texas Southwestern Medical Center v. Nassar</w:t>
      </w:r>
      <w:r>
        <w:t xml:space="preserve">, 133 S. Ct. 2517 (2013), the Court  rejected the motivating-factor standard for claims under Title VII’s retaliation provision. </w:t>
      </w:r>
      <w:r>
        <w:rPr>
          <w:i/>
        </w:rPr>
        <w:t>Nassar</w:t>
      </w:r>
      <w:r>
        <w:t xml:space="preserve">, however, did not disturb the standard used for First Amendment retaliation claims. As a result, the causation standard for </w:t>
      </w:r>
      <w:r>
        <w:lastRenderedPageBreak/>
        <w:t xml:space="preserve">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14:paraId="7242D474" w14:textId="77777777" w:rsidR="00E846D1" w:rsidRDefault="00E846D1"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14:paraId="08DD6872" w14:textId="65B4C42F"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w:t>
      </w:r>
      <w:r w:rsidR="0062320B">
        <w:t xml:space="preserve"> </w:t>
      </w:r>
      <w:r>
        <w:t>“the interest of the State, as an employer, in promoting the efficiency of the public services it performs through its employees.”</w:t>
      </w:r>
      <w:r w:rsidR="0062320B">
        <w:t xml:space="preserve"> </w:t>
      </w:r>
      <w:r>
        <w:t>’</w:t>
      </w:r>
      <w:r w:rsidR="0062320B">
        <w:t xml:space="preserve"> </w:t>
      </w:r>
      <w:r>
        <w:t xml:space="preserve">” </w:t>
      </w:r>
      <w:r>
        <w:rPr>
          <w:i/>
        </w:rPr>
        <w:t>Waters v. Churchill</w:t>
      </w:r>
      <w:r>
        <w:t xml:space="preserve">, 511 U.S. 661, 668 (1994) (plurality opinion) (quoting </w:t>
      </w:r>
      <w:r>
        <w:rPr>
          <w:i/>
        </w:rPr>
        <w:t>Connick v. Myers</w:t>
      </w:r>
      <w:r>
        <w:t xml:space="preserve">, 461 U.S. 138, 142 (1983) (quoting </w:t>
      </w:r>
      <w:r>
        <w:rPr>
          <w:i/>
        </w:rPr>
        <w:t>Pickering v. Board of Ed. of Township High School Dist. 205, Will Cty.</w:t>
      </w:r>
      <w:r>
        <w:t>, 391 U.S. 563, 568 (1968))).</w:t>
      </w:r>
      <w:r>
        <w:rPr>
          <w:rStyle w:val="FootnoteReference"/>
        </w:rPr>
        <w:footnoteReference w:id="36"/>
      </w:r>
    </w:p>
    <w:p w14:paraId="30FC8C18" w14:textId="77777777"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754C6" w14:textId="77777777"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7"/>
      </w:r>
      <w:r>
        <w:t xml:space="preserve"> must not be made pursuant to the plaintiff’s job responsibilities</w:t>
      </w:r>
      <w:r>
        <w:rPr>
          <w:rStyle w:val="FootnoteReference"/>
        </w:rPr>
        <w:footnoteReference w:id="38"/>
      </w:r>
      <w:r>
        <w:t xml:space="preserve"> as a government </w:t>
      </w:r>
      <w:r>
        <w:lastRenderedPageBreak/>
        <w:t xml:space="preserve">employee:  A closely divided Court held in </w:t>
      </w:r>
      <w:r>
        <w:rPr>
          <w:i/>
        </w:rPr>
        <w:t>Garcetti v. Ceballos</w:t>
      </w:r>
      <w:r>
        <w:t xml:space="preserve">, 126 S. Ct. 1951 (2006), that  “when public employees make statements pursuant to their official duties, the employees are not speaking as citizens for First Amendment purposes, and the Constitution does not insulate their communications from employer discipline.”  </w:t>
      </w:r>
      <w:r>
        <w:rPr>
          <w:i/>
        </w:rPr>
        <w:t>Id.</w:t>
      </w:r>
      <w:r>
        <w:t xml:space="preserve"> at 1960.</w:t>
      </w:r>
      <w:r>
        <w:rPr>
          <w:rStyle w:val="FootnoteReference"/>
        </w:rPr>
        <w:footnoteReference w:id="39"/>
      </w:r>
      <w:r>
        <w:t xml:space="preserve">   The Court of Appeals has since held </w:t>
      </w:r>
      <w:r>
        <w:lastRenderedPageBreak/>
        <w:t xml:space="preserve">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Reilly v. 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14:paraId="3F9C2AE3" w14:textId="77777777"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62313" w14:textId="1BF07B88"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r w:rsidRPr="00A3164E">
        <w:rPr>
          <w:i/>
        </w:rPr>
        <w:t>Garcetti</w:t>
      </w:r>
      <w:r w:rsidRPr="00A3164E">
        <w:t xml:space="preserve"> “precludes First Amendment protection for speech that ‘owes its existence to a public employee's professional responsibilities,</w:t>
      </w:r>
      <w:r w:rsidR="0062320B">
        <w:t>’ ”</w:t>
      </w:r>
      <w:r w:rsidRPr="00A3164E">
        <w:t xml:space="preserve">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w:t>
      </w:r>
      <w:r w:rsidR="007E1DB6">
        <w:t>’</w:t>
      </w:r>
      <w:r w:rsidRPr="00A3164E">
        <w:t xml:space="preserve">s duties—might narrow the range of employee speech left unprotected by </w:t>
      </w:r>
      <w:r w:rsidRPr="00A3164E">
        <w:rPr>
          <w:i/>
        </w:rPr>
        <w:t>Garcetti</w:t>
      </w:r>
      <w:r w:rsidRPr="00A3164E">
        <w:t xml:space="preserve">. </w:t>
      </w:r>
      <w:r w:rsidRPr="00A3164E">
        <w:rPr>
          <w:i/>
        </w:rPr>
        <w:t>Id</w:t>
      </w:r>
      <w:r w:rsidR="0062320B">
        <w:t>.</w:t>
      </w:r>
      <w:r w:rsidRPr="00A3164E">
        <w:t xml:space="preserve"> at 990.</w:t>
      </w:r>
      <w:r w:rsidR="00E846D1">
        <w:t xml:space="preserve"> </w:t>
      </w:r>
      <w:r w:rsidRPr="00A3164E">
        <w:rPr>
          <w:i/>
        </w:rPr>
        <w:t>See also</w:t>
      </w:r>
      <w:r w:rsidR="00E36CEB">
        <w:rPr>
          <w:i/>
        </w:rPr>
        <w:t xml:space="preserve"> J</w:t>
      </w:r>
      <w:r w:rsidR="00E36CEB" w:rsidRPr="00E36CEB">
        <w:rPr>
          <w:i/>
          <w:szCs w:val="24"/>
        </w:rPr>
        <w:t>avitz v. Cty. of Luzerne</w:t>
      </w:r>
      <w:r w:rsidR="00E36CEB" w:rsidRPr="00E36CEB">
        <w:rPr>
          <w:szCs w:val="24"/>
        </w:rPr>
        <w:t>, 940 F.3d 858 (3d Cir. 2019) (holding that the Director of Human Resources was speaking as a citizen, not as an employee, when she reported that she was the victim of a crime committed by another public employee because speaking to the District Attorney was not part of her primary job duties, nor was reporting a crime within her ordinary job duties, even though her job gave her easier access to the District Attorney and an ethics code encouraged the reporting of wrongdoing);</w:t>
      </w:r>
      <w:r w:rsidR="00400CA4">
        <w:rPr>
          <w:szCs w:val="24"/>
        </w:rPr>
        <w:t xml:space="preserve"> </w:t>
      </w:r>
      <w:r w:rsidR="007E1DB6" w:rsidRPr="007E1DB6">
        <w:rPr>
          <w:i/>
        </w:rPr>
        <w:t>Bradley v. W. Chester Univ. of Pennsylvania State Sys. of Higher Educ</w:t>
      </w:r>
      <w:r w:rsidR="007E1DB6" w:rsidRPr="007E1DB6">
        <w:t>., 880 F.3d 643, 652-53 (3d Cir. 2018)</w:t>
      </w:r>
      <w:r w:rsidR="00013CB6">
        <w:t xml:space="preserve"> </w:t>
      </w:r>
      <w:r w:rsidR="007E1DB6" w:rsidRPr="007E1DB6">
        <w:t>(holding that the Director of Budget and Financial Planning at the West Chester University of Pennsylvania claimed was speaking as an employee when she voiced  concerns to the Enrollment Management Committee about the accuracy and legitimacy of a budget document, but not deciding whether an employee who bypasses the ordinary chain of command is therefore outside the employee’s ordinary job responsibilities, because Bradley was not speaking outside her chain of command);</w:t>
      </w:r>
      <w:r w:rsidR="007E1DB6">
        <w:rPr>
          <w:u w:val="single"/>
        </w:rPr>
        <w:t xml:space="preserve"> </w:t>
      </w:r>
      <w:r w:rsidRPr="00A3164E">
        <w:rPr>
          <w:i/>
        </w:rPr>
        <w:t>Flora v. County of Luzerne</w:t>
      </w:r>
      <w:r w:rsidRPr="00A3164E">
        <w:t xml:space="preserve">, 776 F.3d 169, 180 (3d Cir. 2015) (relying on </w:t>
      </w:r>
      <w:r w:rsidRPr="00A3164E">
        <w:rPr>
          <w:i/>
        </w:rPr>
        <w:t xml:space="preserve">Dougherty </w:t>
      </w:r>
      <w:r w:rsidRPr="00A3164E">
        <w:t>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w:t>
      </w:r>
      <w:r w:rsidR="00E846D1" w:rsidRPr="00E846D1">
        <w:rPr>
          <w:szCs w:val="24"/>
        </w:rPr>
        <w:t xml:space="preserve"> </w:t>
      </w:r>
      <w:r w:rsidR="00E846D1" w:rsidRPr="00E846D1">
        <w:rPr>
          <w:i/>
        </w:rPr>
        <w:t>DeRitis v. McGarrigle</w:t>
      </w:r>
      <w:r w:rsidR="00E846D1" w:rsidRPr="00E846D1">
        <w:t xml:space="preserve">, 861 F.3d 444 (3d Cir. 2017), involved a public defender who circulated a rumor that he had been demoted for taking too many cases to trial. The court of appeals held that his statements to this effect made to lawyers and judges in court while waiting for proceedings to begin were not citizen speech but within his ordinary job duties and hence </w:t>
      </w:r>
      <w:r w:rsidR="00E846D1" w:rsidRPr="00E846D1">
        <w:lastRenderedPageBreak/>
        <w:t xml:space="preserve">unprotected under </w:t>
      </w:r>
      <w:r w:rsidR="00E846D1" w:rsidRPr="00E846D1">
        <w:rPr>
          <w:i/>
        </w:rPr>
        <w:t>Garcetti</w:t>
      </w:r>
      <w:r w:rsidR="00E846D1" w:rsidRPr="00E846D1">
        <w:t xml:space="preserve">. His statements to lawyers while not in court, and his statements to the County Solicitor and the chairman of the County Council, however, were “arguably citizen speech.” 861 F.3d at 454. </w:t>
      </w:r>
      <w:r w:rsidRPr="00A3164E">
        <w:t xml:space="preserve">For a discussion (albeit without resolution) of the difficulties involved in applying </w:t>
      </w:r>
      <w:r w:rsidRPr="00A3164E">
        <w:rPr>
          <w:i/>
        </w:rPr>
        <w:t>Garcetti</w:t>
      </w:r>
      <w:r w:rsidRPr="00A3164E">
        <w:t xml:space="preserve"> to speech by an elected official, see </w:t>
      </w:r>
      <w:r w:rsidRPr="00A3164E">
        <w:rPr>
          <w:i/>
        </w:rPr>
        <w:t>Werkheiser v. Pocono Twp.,</w:t>
      </w:r>
      <w:r w:rsidRPr="00A3164E">
        <w:t xml:space="preserve"> 780 F.3d 172 (3d Cir. 2015)</w:t>
      </w:r>
      <w:r w:rsidR="009E1096" w:rsidRPr="00FE4DD2">
        <w:t xml:space="preserve">; </w:t>
      </w:r>
      <w:r w:rsidR="009E1096" w:rsidRPr="00136001">
        <w:rPr>
          <w:i/>
        </w:rPr>
        <w:t>cf</w:t>
      </w:r>
      <w:r w:rsidR="009E1096" w:rsidRPr="00136001">
        <w:t xml:space="preserve">. </w:t>
      </w:r>
      <w:r w:rsidR="009E1096" w:rsidRPr="00136001">
        <w:rPr>
          <w:i/>
        </w:rPr>
        <w:t>Zaloga v. Borough of Moosic</w:t>
      </w:r>
      <w:r w:rsidR="009E1096" w:rsidRPr="00136001">
        <w:t xml:space="preserve">, 841 F.3d 170, 176-77 (3d Cir. 2016) (discussing the legal uncertainty involved in deciding “when a government official’s own speech can . . . constitute unconstitutional retaliation”).  </w:t>
      </w:r>
    </w:p>
    <w:p w14:paraId="031C7D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FCCE11" w14:textId="0D2892F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r>
        <w:rPr>
          <w:i/>
        </w:rPr>
        <w:t>Connick</w:t>
      </w:r>
      <w:r>
        <w:t>/</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court must apply the </w:t>
      </w:r>
      <w:r>
        <w:rPr>
          <w:i/>
        </w:rPr>
        <w:t>Connick</w:t>
      </w:r>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40"/>
      </w:r>
    </w:p>
    <w:p w14:paraId="5B7A64A0" w14:textId="77777777" w:rsidR="00013CB6" w:rsidRDefault="00013CB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73480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w:t>
      </w:r>
      <w:r>
        <w:lastRenderedPageBreak/>
        <w:t xml:space="preserve">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41"/>
      </w:r>
    </w:p>
    <w:p w14:paraId="3E9F490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C2520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42"/>
      </w:r>
      <w:r>
        <w:t xml:space="preserve">  However, the plurality’s application of its test is indicative: it stated that “if petitioners really did believe Perkins-Graham's and Ballew's story, and fired Churchill because of it, they must win. Their belief, based on the investigation they conducted, would have been entirely reasonable.”  </w:t>
      </w:r>
      <w:r>
        <w:rPr>
          <w:i/>
        </w:rPr>
        <w:t>Waters</w:t>
      </w:r>
      <w:r>
        <w:t xml:space="preserve">, 511 U.S. at 679-80.  The plurality’s willingness to analyze the reasonableness of the employer’s belief indicates that the plurality viewed the reasonableness of the belief as a question of law for the court.  However, where there are material </w:t>
      </w:r>
      <w:r>
        <w:lastRenderedPageBreak/>
        <w:t>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43"/>
      </w:r>
    </w:p>
    <w:p w14:paraId="5CD11DAC"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6C2E91" w14:textId="293A0AD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See Azzaro v. County of Allegheny</w:t>
      </w:r>
      <w:r>
        <w:t>, 110 F.3d 968, 975 (3d Cir. 1997) (en banc) (“We must first inquire whether Azzaro's reports to Fox and Sirabella were protected by the First Amendment. This is a question of law.”).</w:t>
      </w:r>
      <w:r>
        <w:rPr>
          <w:rStyle w:val="FootnoteReference"/>
        </w:rPr>
        <w:footnoteReference w:id="44"/>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w:t>
      </w:r>
      <w:r w:rsidR="0062320B">
        <w:t>’ ”</w:t>
      </w:r>
      <w:r>
        <w:t xml:space="preserve"> </w:t>
      </w:r>
      <w:r>
        <w:rPr>
          <w:i/>
        </w:rPr>
        <w:t>Azzaro</w:t>
      </w:r>
      <w:r>
        <w:t xml:space="preserve">, 110 F.3d at 976 (quoting </w:t>
      </w:r>
      <w:r>
        <w:rPr>
          <w:i/>
        </w:rPr>
        <w:t>Connick v. Myers</w:t>
      </w:r>
      <w:r>
        <w:t>, 461 U.S. 138, 147-48 (1983)).</w:t>
      </w:r>
      <w:r>
        <w:rPr>
          <w:rStyle w:val="FootnoteReference"/>
        </w:rPr>
        <w:footnoteReference w:id="45"/>
      </w:r>
      <w:r>
        <w:t xml:space="preserve">  Second, the employee’s expressive conduct must not have been part of the </w:t>
      </w:r>
      <w:r>
        <w:lastRenderedPageBreak/>
        <w:t xml:space="preserve">employee’s job duties.  </w:t>
      </w:r>
      <w:r>
        <w:rPr>
          <w:i/>
        </w:rPr>
        <w:t>See supra</w:t>
      </w:r>
      <w:r>
        <w:t xml:space="preserve"> (discussing </w:t>
      </w:r>
      <w:r>
        <w:rPr>
          <w:i/>
        </w:rPr>
        <w:t>Garcetti v. Ceballos</w:t>
      </w:r>
      <w:r>
        <w:t>, 126 S. Ct. 1951 (2006)).  Third, “the value of that expression must outweigh ‘the government's interest in the effective and efficient fulfillment of its responsibilities to the public.</w:t>
      </w:r>
      <w:r w:rsidR="0062320B">
        <w:t>’ ”</w:t>
      </w:r>
      <w:r>
        <w:t xml:space="preserve"> </w:t>
      </w:r>
      <w:r>
        <w:rPr>
          <w:i/>
        </w:rPr>
        <w:t>Azzaro</w:t>
      </w:r>
      <w:r>
        <w:t xml:space="preserve">, 110 F.3d at 976 (quoting </w:t>
      </w:r>
      <w:r>
        <w:rPr>
          <w:i/>
        </w:rPr>
        <w:t>Connick</w:t>
      </w:r>
      <w:r>
        <w:t>, 461 U.S. at 150).</w:t>
      </w:r>
    </w:p>
    <w:p w14:paraId="1A435D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713A64" w14:textId="7E5159B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r>
        <w:rPr>
          <w:i/>
        </w:rPr>
        <w:t>Azzaro</w:t>
      </w:r>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Azzaro had made, in her capacity as the spouse of an employee, to plead for her husband's job.”  </w:t>
      </w:r>
      <w:r>
        <w:rPr>
          <w:i/>
        </w:rPr>
        <w:t>Azzaro</w:t>
      </w:r>
      <w:r>
        <w:t xml:space="preserve">, 110 F.3d at 978.  Reasoning that the plaintiff’s reports “brought to light actual wrongdoing on the part of one exercising public authority that would be relevant to the electorate's evaluation of the performance of the office of an elected official,” the en banc majority held that the reports “should be regarded as a matter of public concern unless something in their form or context deprived them of their value to the process of self-governance.”  </w:t>
      </w:r>
      <w:r>
        <w:rPr>
          <w:i/>
        </w:rPr>
        <w:t>Id.</w:t>
      </w:r>
      <w:r>
        <w:t xml:space="preserve"> at 978-79.  Under </w:t>
      </w:r>
      <w:r>
        <w:rPr>
          <w:i/>
        </w:rPr>
        <w:t>Azzaro</w:t>
      </w:r>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Scirica,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r w:rsidR="00A64189" w:rsidRPr="00A64189">
        <w:rPr>
          <w:i/>
          <w:iCs/>
        </w:rPr>
        <w:t xml:space="preserve">Starnes </w:t>
      </w:r>
      <w:r w:rsidR="00A64189" w:rsidRPr="00A64189">
        <w:rPr>
          <w:i/>
          <w:iCs/>
        </w:rPr>
        <w:lastRenderedPageBreak/>
        <w:t>v. Butler County Ct. of Com. Pleas, 50th Jud. Dist</w:t>
      </w:r>
      <w:r w:rsidR="00A64189" w:rsidRPr="00A64189">
        <w:t xml:space="preserve">., 971 F.3d 416, 429 (3d Cir. 2020) (“When an employee exposes malfeasance by a government official, it is a matter of public concern.”); </w:t>
      </w:r>
      <w:r>
        <w:rPr>
          <w:i/>
        </w:rPr>
        <w:t>Montone v. City of Jersey City</w:t>
      </w:r>
      <w:r>
        <w:t>, 709 F.3d 181, 194-95 (3d Cir. 2013) (holding that plaintiff’s “speech involved a matter of public concern,” even though “no elected figure [wa]s involved,” where there were “at least three separate instances of alleged sexual harassment . . .  and the inappropriate conduct was not directed solely at Montone”).</w:t>
      </w:r>
    </w:p>
    <w:p w14:paraId="03D9D06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1D544A" w14:textId="32BF374B"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6"/>
      </w:r>
      <w:r>
        <w:t xml:space="preserve"> against “the government's interest as an employer in promoting the efficiency of the services it performs through its employees.”</w:t>
      </w:r>
      <w:r>
        <w:rPr>
          <w:rStyle w:val="FootnoteReference"/>
        </w:rPr>
        <w:footnoteReference w:id="47"/>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abrogated on other grounds by Borough of Duryea v. Guarnieri</w:t>
      </w:r>
      <w:r>
        <w:t>, 131 S. Ct. 2488 (2011).</w:t>
      </w:r>
      <w:r>
        <w:rPr>
          <w:rStyle w:val="FootnoteReference"/>
        </w:rPr>
        <w:footnoteReference w:id="48"/>
      </w:r>
      <w:r w:rsidR="00A3164E">
        <w:t xml:space="preserve"> </w:t>
      </w:r>
      <w:r w:rsidR="00A3164E" w:rsidRPr="00A3164E">
        <w:t xml:space="preserve">In applying the </w:t>
      </w:r>
      <w:r w:rsidR="00A3164E" w:rsidRPr="00A3164E">
        <w:rPr>
          <w:i/>
        </w:rPr>
        <w:t>Pickering</w:t>
      </w:r>
      <w:r w:rsidR="00A3164E" w:rsidRPr="00A3164E">
        <w:t xml:space="preserve"> balancing test, the district court should be aware that “[s]ome disruption is almost certainly inevitable,” and that it “is against [Third Circuit] precedent to find against an employee where the disruption ‘was primarily the result, not of the plaintiff's exercise of speech, but of his superiors’ attempts to suppress it.</w:t>
      </w:r>
      <w:r w:rsidR="0062320B">
        <w:t>’ ”</w:t>
      </w:r>
      <w:r w:rsidR="00A3164E" w:rsidRPr="00A3164E">
        <w:t xml:space="preserve"> </w:t>
      </w:r>
      <w:r w:rsidR="00A3164E" w:rsidRPr="00A3164E">
        <w:rPr>
          <w:i/>
        </w:rPr>
        <w:t xml:space="preserve">Dougherty v. School Dist. of Philadelphia, </w:t>
      </w:r>
      <w:r w:rsidR="00A3164E" w:rsidRPr="00A3164E">
        <w:t xml:space="preserve">772 F.3d 979, 992 (3d Cir. 2014) (quoting </w:t>
      </w:r>
      <w:r w:rsidR="00A3164E" w:rsidRPr="00A3164E">
        <w:rPr>
          <w:i/>
          <w:iCs/>
        </w:rPr>
        <w:t>Czurlanis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14:paraId="3E37764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C20C2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9"/>
      </w:r>
      <w:r>
        <w:t xml:space="preserve">  The plaintiff must show a “causal link” between the protected speech and the adverse employment action.  </w:t>
      </w:r>
      <w:r>
        <w:rPr>
          <w:i/>
        </w:rPr>
        <w:t>See, e.g., Thomas v. Town of Hammonton</w:t>
      </w:r>
      <w:r>
        <w:t xml:space="preserve">, 351 F.3d 108, 114 (3d Cir. 2003); </w:t>
      </w:r>
      <w:r>
        <w:rPr>
          <w:i/>
        </w:rPr>
        <w:t>see also Azzaro</w:t>
      </w:r>
      <w:r>
        <w:t>, 110 F.3d at 981 (reversing summary judgment dismissing First Amendment retaliation claim, because there existed “a material dispute of fact as to whether [plaintiff’s] reports were a motivating factor in the discharge decision”).</w:t>
      </w:r>
    </w:p>
    <w:p w14:paraId="5F5976D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309FA0" w14:textId="115B4053"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de minimis</w:t>
      </w:r>
      <w:r>
        <w:t xml:space="preserve">.  </w:t>
      </w:r>
      <w:r>
        <w:rPr>
          <w:i/>
        </w:rPr>
        <w:t>See McKee v. Hart</w:t>
      </w:r>
      <w:r>
        <w:t xml:space="preserve">, 436 F.3d 165,170 </w:t>
      </w:r>
      <w:r>
        <w:lastRenderedPageBreak/>
        <w:t xml:space="preserve">(3d Cir. 2006) (“[N]ot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minimis </w:t>
      </w:r>
      <w:r>
        <w:t xml:space="preserve">by itself or if viewed in isolation.”  </w:t>
      </w:r>
      <w:r>
        <w:rPr>
          <w:i/>
        </w:rPr>
        <w:t>Brennan v. Norton</w:t>
      </w:r>
      <w:r>
        <w:t xml:space="preserve">, 350 F.3d 399, 419 n.16 (3d Cir. 2003), </w:t>
      </w:r>
      <w:r>
        <w:rPr>
          <w:i/>
        </w:rPr>
        <w:t>abrogated on other grounds by Borough of Duryea v. Guarnieri</w:t>
      </w:r>
      <w:r>
        <w:t xml:space="preserve">, 131 S. Ct. 2488 (2011); </w:t>
      </w:r>
      <w:r>
        <w:rPr>
          <w:i/>
        </w:rPr>
        <w:t>see also Suppan v. Dadonna</w:t>
      </w:r>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r>
        <w:rPr>
          <w:i/>
        </w:rPr>
        <w:t>Suppan</w:t>
      </w:r>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r w:rsidR="00A3164E" w:rsidRPr="00A3164E">
        <w:rPr>
          <w:i/>
        </w:rPr>
        <w:t>Werkheiser v. Pocono Twp.,</w:t>
      </w:r>
      <w:r w:rsidR="00A3164E" w:rsidRPr="00A3164E">
        <w:t xml:space="preserve"> 780 F.3d 172 (3d Cir. 2015) (discussing but not resolving what kinds of political retaliation by elected officials against their peers violate the First Amendment).</w:t>
      </w:r>
      <w:r w:rsidR="00BA10CC" w:rsidRPr="00BA10CC">
        <w:rPr>
          <w:rFonts w:ascii="Century Schoolbook" w:hAnsi="Century Schoolbook"/>
          <w:i/>
          <w:iCs/>
          <w:color w:val="C00000"/>
          <w:u w:val="single"/>
        </w:rPr>
        <w:t xml:space="preserve"> </w:t>
      </w:r>
      <w:r w:rsidR="00BA10CC" w:rsidRPr="00BA10CC">
        <w:rPr>
          <w:i/>
          <w:iCs/>
        </w:rPr>
        <w:t>Houston Community College System v. Wilson</w:t>
      </w:r>
      <w:r w:rsidR="00BA10CC" w:rsidRPr="00BA10CC">
        <w:t>, 142 S. Ct. 1253 (2022) (holding that a purely verbal censure by an elected assembly of one of its own members does not violate the First Amendment).</w:t>
      </w:r>
      <w:r>
        <w:rPr>
          <w:rStyle w:val="FootnoteReference"/>
        </w:rPr>
        <w:footnoteReference w:id="50"/>
      </w:r>
    </w:p>
    <w:p w14:paraId="126873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193117" w14:textId="526E3F84"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decisionmakers must be aware of the protected conduct.”  </w:t>
      </w:r>
      <w:r>
        <w:rPr>
          <w:i/>
        </w:rPr>
        <w:t>Ambrose v. Township of Robinson, Pa.</w:t>
      </w:r>
      <w:r>
        <w:t xml:space="preserve">, 303 F.3d 488, 493 (3d Cir. 2002).  If the plaintiff shows that the decisionmaker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xml:space="preserve">, 351 F.3d at 114, but “[e]ven if timing alone could ever be sufficient to establish a causal link, . . . the timing of the alleged retaliatory action must be </w:t>
      </w:r>
      <w:r w:rsidR="003101B6">
        <w:t>‘</w:t>
      </w:r>
      <w:r>
        <w:t>unusually suggestive</w:t>
      </w:r>
      <w:r w:rsidR="003101B6">
        <w:t>’</w:t>
      </w:r>
      <w:r>
        <w:t xml:space="preserve"> of retaliatory motive before a causal link will be inferred.</w:t>
      </w:r>
      <w:r w:rsidR="003101B6">
        <w:t xml:space="preserve">” </w:t>
      </w:r>
      <w:r w:rsidR="003101B6">
        <w:rPr>
          <w:i/>
        </w:rPr>
        <w:t>Es</w:t>
      </w:r>
      <w:r>
        <w:rPr>
          <w:i/>
        </w:rPr>
        <w:t>tate of Smith v. Marasco</w:t>
      </w:r>
      <w:r>
        <w:t xml:space="preserve">, 318 F.3d 497, 512 (3d Cir. 2003) (quoting </w:t>
      </w:r>
      <w:r>
        <w:rPr>
          <w:i/>
        </w:rPr>
        <w:t>Krouse v. Am. Sterilizer Co.</w:t>
      </w:r>
      <w:r>
        <w:t>, 126 F.3d 494, 503 (3d Cir. 1997))</w:t>
      </w:r>
      <w:r w:rsidR="0038350A">
        <w:t xml:space="preserve">; </w:t>
      </w:r>
      <w:r w:rsidR="00861D9D" w:rsidRPr="00861D9D">
        <w:rPr>
          <w:i/>
          <w:iCs/>
        </w:rPr>
        <w:t>Starnes v. Butler County Ct. of Com. Pleas, 50th Jud. Dist</w:t>
      </w:r>
      <w:r w:rsidR="00861D9D" w:rsidRPr="00861D9D">
        <w:t xml:space="preserve">., 971 F.3d 416, 430 (3d Cir. 2020) (“This temporal proximity </w:t>
      </w:r>
      <w:r w:rsidR="00861D9D" w:rsidRPr="00861D9D">
        <w:lastRenderedPageBreak/>
        <w:t>[within days] between protected activity and retaliation suggests causation.”).</w:t>
      </w:r>
      <w:r>
        <w:rPr>
          <w:rStyle w:val="FootnoteReference"/>
        </w:rPr>
        <w:footnoteReference w:id="51"/>
      </w:r>
    </w:p>
    <w:p w14:paraId="7D7D21F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8CB5B4" w14:textId="7332A526"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Lauren W. v. DeFlaminis</w:t>
      </w:r>
      <w:r>
        <w:t>, 480 F.3d 259 (3d Cir. 2007)</w:t>
      </w:r>
      <w:r w:rsidR="006D62E6">
        <w:t>—</w:t>
      </w:r>
      <w:r>
        <w:t>a case involving retaliation claims under both the First Amendment and the Rehabilitation Act</w:t>
      </w:r>
      <w:r w:rsidR="006D62E6">
        <w:t>—</w:t>
      </w:r>
      <w:r>
        <w:t>the Court of Appeals noted three options for proving causation:</w:t>
      </w:r>
    </w:p>
    <w:p w14:paraId="78F69C69" w14:textId="77777777" w:rsidR="007D0CDC" w:rsidRDefault="007D0CDC"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3A46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14:paraId="2367512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A1D69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52"/>
      </w:r>
    </w:p>
    <w:p w14:paraId="54B1E48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99C79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53"/>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4"/>
      </w:r>
      <w:r>
        <w:t xml:space="preserve">  In other words, “the defendant[], in proving ‘same decision,’ must prove that the protected conduct was </w:t>
      </w:r>
      <w:r>
        <w:rPr>
          <w:i/>
        </w:rPr>
        <w:t>not</w:t>
      </w:r>
      <w:r>
        <w:t xml:space="preserve"> the but-for cause.”  </w:t>
      </w:r>
      <w:r>
        <w:rPr>
          <w:i/>
        </w:rPr>
        <w:t>Suppan v. Dadonna</w:t>
      </w:r>
      <w:r>
        <w:t>, 203 F.3d 228, 236 (3d Cir. 2000).</w:t>
      </w:r>
    </w:p>
    <w:p w14:paraId="7189F76A"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7"/>
          <w:headerReference w:type="default" r:id="rId18"/>
          <w:footerReference w:type="even" r:id="rId19"/>
          <w:type w:val="continuous"/>
          <w:pgSz w:w="12240" w:h="15840"/>
          <w:pgMar w:top="1440" w:right="1440" w:bottom="1440" w:left="1440" w:header="1440" w:footer="1440" w:gutter="0"/>
          <w:lnNumType w:countBy="1" w:distance="576"/>
          <w:cols w:space="720"/>
          <w:docGrid w:linePitch="326"/>
        </w:sectPr>
      </w:pPr>
    </w:p>
    <w:p w14:paraId="54E5935E"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5372B7" w14:textId="77777777"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14:paraId="4A6489BB" w14:textId="77777777"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14:paraId="0E04AE1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14:paraId="6496819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F564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5"/>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6"/>
      </w:r>
    </w:p>
    <w:p w14:paraId="6D27FC9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12D01A" w14:textId="6CB919E0"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7"/>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8"/>
      </w:r>
      <w:r>
        <w:t xml:space="preserve">  Specifically, the Court held that there is a Seventh Amendment </w:t>
      </w:r>
      <w:r>
        <w:lastRenderedPageBreak/>
        <w:t>right</w:t>
      </w:r>
      <w:r>
        <w:rPr>
          <w:rStyle w:val="FootnoteReference"/>
        </w:rPr>
        <w:footnoteReference w:id="59"/>
      </w:r>
      <w:r>
        <w:t xml:space="preserve"> to a jury determination of the question of liability in a Section 1983 suit seeking damages reflecting just compensation for a regulatory taking.  </w:t>
      </w:r>
      <w:r>
        <w:rPr>
          <w:i/>
        </w:rPr>
        <w:t xml:space="preserve">See id. </w:t>
      </w:r>
      <w:r>
        <w:t xml:space="preserve">at 721.  As the Court explained, “[e]ven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r>
        <w:rPr>
          <w:i/>
        </w:rPr>
        <w:t>Feltner v. Columbia Pictures Television, Inc.</w:t>
      </w:r>
      <w:r>
        <w:t xml:space="preserve">, 523 U.S. 340, 352 (1998) (quoting </w:t>
      </w:r>
      <w:r>
        <w:rPr>
          <w:i/>
        </w:rPr>
        <w:t>Chauffeurs, Teamsters and Helpers, Local No. 391 v. Terry</w:t>
      </w:r>
      <w:r>
        <w:t>, 494 U.S. 558, 570 (1990))), and on the view that “[j]ust compensation . . . differs from equitable restitution and other monetary remedies available in equity, for in determining just compensation, ‘the question is what has the owner lost, not what has the taker gained,</w:t>
      </w:r>
      <w:r w:rsidR="0062320B">
        <w:t>’ ”</w:t>
      </w:r>
      <w:r>
        <w:t xml:space="preserve"> </w:t>
      </w:r>
      <w:r>
        <w:rPr>
          <w:i/>
        </w:rPr>
        <w:t>id.</w:t>
      </w:r>
      <w:r>
        <w:t xml:space="preserve"> (quoting </w:t>
      </w:r>
      <w:r>
        <w:rPr>
          <w:i/>
        </w:rPr>
        <w:t>Boston Chamber of Commerce v. Boston</w:t>
      </w:r>
      <w:r>
        <w:t>, 217 U.S. 189, 195 (1910)).</w:t>
      </w:r>
    </w:p>
    <w:p w14:paraId="16C650C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15F29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r>
        <w:rPr>
          <w:i/>
        </w:rPr>
        <w:t>Markman v. Westview Instruments, Inc.</w:t>
      </w:r>
      <w:r>
        <w:t>, 517 U.S. 370 (1996)).</w:t>
      </w:r>
      <w:r>
        <w:rPr>
          <w:rStyle w:val="FootnoteReference"/>
        </w:rPr>
        <w:footnoteReference w:id="60"/>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14:paraId="5208F80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1F141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at 231 (“The courts of appeal have taken at least five different positions about the right of jury trial in back pay claims under §§ 1981 and 1983.”), and the Third Circuit caselaw is inconclusive.</w:t>
      </w:r>
    </w:p>
    <w:p w14:paraId="6C523BA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C831B8"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See Laskaris v. Thornburgh</w:t>
      </w:r>
      <w:r>
        <w:t>, 733 F.2d 260, 263 (3d Cir. 1984) (“[A]lthough the request for back pay under section 1983 seeks only equitable relief . . . , a claim for compensatory and punitive damages is a legal claim entitling the plaintiff to a jury trial.”).</w:t>
      </w:r>
      <w:r>
        <w:rPr>
          <w:rStyle w:val="FootnoteReference"/>
        </w:rPr>
        <w:footnoteReference w:id="61"/>
      </w:r>
      <w:r>
        <w:t xml:space="preserve">  Thus, for example, in </w:t>
      </w:r>
      <w:r>
        <w:rPr>
          <w:i/>
        </w:rPr>
        <w:t>Savarese v. Agriss</w:t>
      </w:r>
      <w:r>
        <w:t xml:space="preserve">, the Court </w:t>
      </w:r>
      <w:r>
        <w:lastRenderedPageBreak/>
        <w:t xml:space="preserve">of Appeals (in vacating and remanding for a redetermination of damages and back pay) indicated that the question of compensatory damages was for the jury while the question of back pay was </w:t>
      </w:r>
      <w:r>
        <w:lastRenderedPageBreak/>
        <w:t xml:space="preserve">for the trial judge.  </w:t>
      </w:r>
      <w:r>
        <w:rPr>
          <w:i/>
        </w:rPr>
        <w:t>See Savarese v. Agriss</w:t>
      </w:r>
      <w:r>
        <w:t>, 883 F.2d 1194, 1206 (3d Cir. 1989) (“[W]e will vacate both Savarese's compensatory damage award and the equitable award of back pay for Savarese and remand to the district court for a new trial on compensatory damages and a recalculation of back pay by the district judge.”).</w:t>
      </w:r>
    </w:p>
    <w:p w14:paraId="002819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 at least one occasion, however, the Court of Appeals has appeared to contemplate a procedure by which both back pay and front pay were submitted to the jury.</w:t>
      </w:r>
      <w:r>
        <w:rPr>
          <w:rStyle w:val="FootnoteReference"/>
        </w:rPr>
        <w:footnoteReference w:id="62"/>
      </w:r>
      <w:r>
        <w:t xml:space="preserve">  In </w:t>
      </w:r>
      <w:r>
        <w:rPr>
          <w:i/>
        </w:rPr>
        <w:t>Squires v. Bonser</w:t>
      </w:r>
      <w:r>
        <w:t xml:space="preserve">, the Court of Appeals held that the district court abused its discretion in denying reinstatement.  </w:t>
      </w:r>
      <w:r>
        <w:rPr>
          <w:i/>
        </w:rPr>
        <w:t>Squires v. Bonser</w:t>
      </w:r>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 xml:space="preserve">at 176 n.15 (noting that in the previous trial the trial judge instructed the jury that the “[p]laintiff is entitled to be compensated for any wages that you find that he lost up to this date, or any wages that you find that he may lose in the future”); </w:t>
      </w:r>
      <w:r>
        <w:rPr>
          <w:i/>
        </w:rPr>
        <w:t>id.</w:t>
      </w:r>
      <w:r>
        <w:t xml:space="preserve"> at 176 n.16 (“[A]sking the jury for a lump-sum award which includes front-pay when the plaintiff also seeks reinstatement. . . .  wastes judicial resources in that if reinstatement is awarded a retrial is then required to parcel out the damages into component parts (i.e., front-pay versus back-pay).”).</w:t>
      </w:r>
    </w:p>
    <w:p w14:paraId="1D6B779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D80113"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63"/>
      </w:r>
      <w:r>
        <w:t xml:space="preserve"> the court could draft an instruction on that issue by making appropriate adaptations to Instruction 5.4.3 (concerning back pay under Title VII).</w:t>
      </w:r>
    </w:p>
    <w:p w14:paraId="7FAE0B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00A4CF" w14:textId="77777777"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4"/>
      </w:r>
      <w:r>
        <w:t xml:space="preserve">  The determination concerning </w:t>
      </w:r>
      <w:r>
        <w:lastRenderedPageBreak/>
        <w:t>reinstatement is for the district court.</w:t>
      </w:r>
      <w:r>
        <w:rPr>
          <w:rStyle w:val="FootnoteReference"/>
        </w:rPr>
        <w:footnoteReference w:id="65"/>
      </w:r>
      <w:r>
        <w:t xml:space="preserve">  If the district court determines that reinstatement is appropriate, then the district court should award reinstatement and should not</w:t>
      </w:r>
      <w:r w:rsidR="005D448A">
        <w:t xml:space="preserve"> permit the award of front pay.</w:t>
      </w:r>
    </w:p>
    <w:p w14:paraId="5ABF6F24"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179F07"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6"/>
      </w:r>
      <w:r>
        <w:t xml:space="preserve"> though here, too, the Third Circuit caselaw is inconclusive.</w:t>
      </w:r>
      <w:r>
        <w:rPr>
          <w:rStyle w:val="FootnoteReference"/>
        </w:rPr>
        <w:footnoteReference w:id="67"/>
      </w:r>
      <w:r>
        <w:t xml:space="preserve">  </w:t>
      </w:r>
      <w:r>
        <w:lastRenderedPageBreak/>
        <w:t xml:space="preserve">In the context of the Age Discrimination in Employment Act, the Court of Appeals has treated the amount of front pay as a question for the jury.  </w:t>
      </w:r>
      <w:r>
        <w:rPr>
          <w:i/>
        </w:rPr>
        <w:t>See</w:t>
      </w:r>
      <w:r>
        <w:t xml:space="preserve"> </w:t>
      </w:r>
      <w:r>
        <w:rPr>
          <w:i/>
        </w:rPr>
        <w:t>Maxfield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r>
        <w:rPr>
          <w:i/>
        </w:rPr>
        <w:t>Maxfield</w:t>
      </w:r>
      <w:r>
        <w:t xml:space="preserve"> court’s reasoning suggests that front pay should be viewed as a legal remedy,</w:t>
      </w:r>
      <w:r>
        <w:rPr>
          <w:rStyle w:val="FootnoteReference"/>
        </w:rPr>
        <w:footnoteReference w:id="68"/>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9"/>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70"/>
      </w:r>
    </w:p>
    <w:p w14:paraId="0E3CBF6A"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880053"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71"/>
      </w:r>
      <w:r>
        <w:t xml:space="preserve"> the court could draft an instruction on that issue by making appropriate adaptations to Instruction 5.4.4 (concerning front pay under Title VII).</w:t>
      </w:r>
    </w:p>
    <w:sectPr w:rsidR="005D448A" w:rsidSect="005D448A">
      <w:headerReference w:type="default" r:id="rId20"/>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67EF" w14:textId="77777777" w:rsidR="00C828D1" w:rsidRDefault="00C828D1">
      <w:r>
        <w:separator/>
      </w:r>
    </w:p>
  </w:endnote>
  <w:endnote w:type="continuationSeparator" w:id="0">
    <w:p w14:paraId="4DFC89CD" w14:textId="77777777" w:rsidR="00C828D1" w:rsidRDefault="00C828D1">
      <w:r>
        <w:continuationSeparator/>
      </w:r>
    </w:p>
  </w:endnote>
  <w:endnote w:type="continuationNotice" w:id="1">
    <w:p w14:paraId="582A5C86" w14:textId="77777777" w:rsidR="00C828D1" w:rsidRDefault="00C82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ABEC" w14:textId="77777777" w:rsidR="00FF4BC5" w:rsidRDefault="00FF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36085254"/>
      <w:docPartObj>
        <w:docPartGallery w:val="Page Numbers (Bottom of Page)"/>
        <w:docPartUnique/>
      </w:docPartObj>
    </w:sdtPr>
    <w:sdtEndPr>
      <w:rPr>
        <w:noProof/>
      </w:rPr>
    </w:sdtEndPr>
    <w:sdtContent>
      <w:p w14:paraId="4F025436" w14:textId="051B5387"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ED00DA">
          <w:rPr>
            <w:noProof/>
            <w:szCs w:val="24"/>
          </w:rPr>
          <w:t>1</w:t>
        </w:r>
        <w:r w:rsidRPr="00DA6B11">
          <w:rPr>
            <w:noProof/>
            <w:szCs w:val="24"/>
          </w:rPr>
          <w:fldChar w:fldCharType="end"/>
        </w:r>
        <w:r w:rsidRPr="00DA6B11">
          <w:rPr>
            <w:noProof/>
            <w:szCs w:val="24"/>
          </w:rPr>
          <w:t xml:space="preserve"> </w:t>
        </w:r>
      </w:p>
      <w:p w14:paraId="27657E00" w14:textId="49F57148"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sidR="00EF6BE8">
          <w:rPr>
            <w:i/>
            <w:noProof/>
            <w:szCs w:val="24"/>
          </w:rPr>
          <w:t>A</w:t>
        </w:r>
        <w:r w:rsidR="00FF4BC5">
          <w:rPr>
            <w:i/>
            <w:noProof/>
            <w:szCs w:val="24"/>
          </w:rPr>
          <w:t xml:space="preserve">pril </w:t>
        </w:r>
        <w:r w:rsidR="00EF6BE8">
          <w:rPr>
            <w:i/>
            <w:noProof/>
            <w:szCs w:val="24"/>
          </w:rPr>
          <w:t>202</w:t>
        </w:r>
        <w:r w:rsidR="00FF4BC5">
          <w:rPr>
            <w:i/>
            <w:noProof/>
            <w:szCs w:val="24"/>
          </w:rPr>
          <w:t>2</w:t>
        </w:r>
      </w:p>
      <w:p w14:paraId="7B9F8C6E" w14:textId="075A169B" w:rsidR="0080738C" w:rsidRPr="00DA6B11" w:rsidRDefault="00C828D1" w:rsidP="00DA6B11">
        <w:pPr>
          <w:widowControl w:val="0"/>
          <w:tabs>
            <w:tab w:val="center" w:pos="4680"/>
            <w:tab w:val="right" w:pos="9360"/>
          </w:tabs>
          <w:autoSpaceDE w:val="0"/>
          <w:autoSpaceDN w:val="0"/>
          <w:adjustRightInd w:val="0"/>
          <w:jc w:val="center"/>
          <w:rPr>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2C36" w14:textId="77777777" w:rsidR="00FF4BC5" w:rsidRDefault="00FF4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B3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B76B50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14:paraId="540B7421"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3AFA" w14:textId="77777777" w:rsidR="00C828D1" w:rsidRDefault="00C828D1">
      <w:r>
        <w:separator/>
      </w:r>
    </w:p>
  </w:footnote>
  <w:footnote w:type="continuationSeparator" w:id="0">
    <w:p w14:paraId="109CD5D5" w14:textId="77777777" w:rsidR="00C828D1" w:rsidRDefault="00C828D1">
      <w:r>
        <w:continuationSeparator/>
      </w:r>
    </w:p>
  </w:footnote>
  <w:footnote w:type="continuationNotice" w:id="1">
    <w:p w14:paraId="58A00D36" w14:textId="77777777" w:rsidR="00C828D1" w:rsidRDefault="00C828D1"/>
  </w:footnote>
  <w:footnote w:id="2">
    <w:p w14:paraId="3B81608C" w14:textId="7CE7C9A3"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r>
        <w:rPr>
          <w:i/>
        </w:rPr>
        <w:t>Engquist v. Oregon Department of Agriculture</w:t>
      </w:r>
      <w:r>
        <w:t>, 128 S.</w:t>
      </w:r>
      <w:r w:rsidR="00AC64A1">
        <w:t xml:space="preserve"> </w:t>
      </w:r>
      <w:r>
        <w:t>Ct. 2146, 2148-2149, 2157 (2008).</w:t>
      </w:r>
    </w:p>
  </w:footnote>
  <w:footnote w:id="3">
    <w:p w14:paraId="6D61A00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w:t>
      </w:r>
      <w:r w:rsidRPr="00C52A64">
        <w:rPr>
          <w:i/>
        </w:rPr>
        <w:t>id</w:t>
      </w:r>
      <w:r>
        <w:t>. § 2000e(h) (defining “industry affecting commerce” to include “any governmental industry, business, or activity”).</w:t>
      </w:r>
    </w:p>
  </w:footnote>
  <w:footnote w:id="4">
    <w:p w14:paraId="5544AC6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Al-Khazraji</w:t>
      </w:r>
      <w:r>
        <w:t>, 481 U.S. 604, 609 (1987) (noting that “the Court has construed [Section 1981] to forbid all ‘racial’ discrimination in the making of private as well as public contracts”).</w:t>
      </w:r>
    </w:p>
  </w:footnote>
  <w:footnote w:id="5">
    <w:p w14:paraId="46966AB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6">
    <w:p w14:paraId="1389E2E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7">
    <w:p w14:paraId="2BD17BC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caselaw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92-98 (1998) (arguing that non-supervisory co-workers can violate equal protection by “us[ing] their position with a government employer as an opportunity to engage in severe and pervasive harassment of fellow employees”); </w:t>
      </w:r>
      <w:r>
        <w:rPr>
          <w:i/>
        </w:rPr>
        <w:t xml:space="preserve">see also infra </w:t>
      </w:r>
      <w:r>
        <w:t>Comment 7.3.</w:t>
      </w:r>
    </w:p>
  </w:footnote>
  <w:footnote w:id="8">
    <w:p w14:paraId="1E8630F3"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xml:space="preserve">, 895 F.2d at 1480 (“Liciardello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9">
    <w:p w14:paraId="1D10A1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10">
    <w:p w14:paraId="221D542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1">
    <w:p w14:paraId="5A31311B" w14:textId="77777777"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2">
    <w:p w14:paraId="2C35BEB6" w14:textId="65E0D211"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w:t>
      </w:r>
      <w:r w:rsidR="00AC64A1">
        <w:t xml:space="preserve"> </w:t>
      </w:r>
      <w:r>
        <w:t>Supp.</w:t>
      </w:r>
      <w:r w:rsidR="00AC64A1">
        <w:t xml:space="preserve"> </w:t>
      </w:r>
      <w:r>
        <w:t>2d 544, 558 (D. Del. 1999)  (“A claim of retaliation cannot be the sole basis for a § 1983 claim where there is no violation of the Constitution or federal law, other than the retaliation provision of Title VII.”).</w:t>
      </w:r>
    </w:p>
    <w:p w14:paraId="24E22728" w14:textId="77777777"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r>
        <w:rPr>
          <w:i/>
        </w:rPr>
        <w:t>Bivens</w:t>
      </w:r>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Davis v. Passman</w:t>
      </w:r>
      <w:r>
        <w:t xml:space="preserve">, 442 U.S. 228, 248-49 (1979) (holding that personal staff member of Member of Congress could bring </w:t>
      </w:r>
      <w:r>
        <w:rPr>
          <w:i/>
        </w:rPr>
        <w:t>Bivens</w:t>
      </w:r>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14:paraId="1304F79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3">
    <w:p w14:paraId="409BD97D"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4">
    <w:p w14:paraId="35F364A1" w14:textId="77777777" w:rsidR="00992331"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5">
    <w:p w14:paraId="5568549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6">
    <w:p w14:paraId="1E83335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14:paraId="2A54CFA5"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14:paraId="12AEB447"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7">
    <w:p w14:paraId="5346B845" w14:textId="77777777" w:rsidR="00992331" w:rsidRPr="000630E9"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8">
    <w:p w14:paraId="5B181CE9"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Bohen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9">
    <w:p w14:paraId="4719FB6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r>
        <w:rPr>
          <w:i/>
        </w:rPr>
        <w:t>Bonenberger</w:t>
      </w:r>
      <w:r>
        <w:t xml:space="preserve"> court noted that “a state employee who pursues purely private motives and whose interaction with the victim is unconnected with his execution of official duties does not act under color of law.”  </w:t>
      </w:r>
      <w:r>
        <w:rPr>
          <w:i/>
        </w:rPr>
        <w:t>Bonenberger</w:t>
      </w:r>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r>
        <w:rPr>
          <w:i/>
        </w:rPr>
        <w:t>Bonenberger</w:t>
      </w:r>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20">
    <w:p w14:paraId="4ACF43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21">
    <w:p w14:paraId="0C6A4E4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22">
    <w:p w14:paraId="65498BA0"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 Bonenberger</w:t>
      </w:r>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3">
    <w:p w14:paraId="517E5BC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r>
        <w:rPr>
          <w:i/>
        </w:rPr>
        <w:t>Bohen</w:t>
      </w:r>
      <w:r>
        <w:t xml:space="preserve">, 799 F.2d at 1187; </w:t>
      </w:r>
      <w:r>
        <w:rPr>
          <w:i/>
        </w:rPr>
        <w:t>see also Ascolese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r>
        <w:rPr>
          <w:i/>
        </w:rPr>
        <w:t>Bohen</w:t>
      </w:r>
      <w:r>
        <w:t>).</w:t>
      </w:r>
    </w:p>
    <w:p w14:paraId="7794D024"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See, e.g., Tuggle v. Mangan</w:t>
      </w:r>
      <w:r>
        <w:t xml:space="preserve">, 348 F.3d 714, 720 (8th Cir. 2003) (applying elements of Title VII claim to Section 1983 harassment claim); </w:t>
      </w:r>
      <w:r>
        <w:rPr>
          <w:i/>
        </w:rPr>
        <w:t>cf. Ascolese</w:t>
      </w:r>
      <w:r>
        <w:t>, 902 F. Supp. at 548 (drawing upon Title VII caselaw concerning sexual harassment in order to address Section 1983 sexual harassment claim, while acknowledging that the Title VII precedent “does not apply directly”).</w:t>
      </w:r>
    </w:p>
    <w:p w14:paraId="2301DAE8"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4">
    <w:p w14:paraId="1937CA6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caselaw recognizes that courts analyzing Title VII hostile-environment claims should look to whether the conduct in question was “severe or pervasive.”</w:t>
      </w:r>
      <w:r w:rsidR="00FD4FA2">
        <w:t xml:space="preserve"> </w:t>
      </w:r>
      <w:r w:rsidR="00FD4FA2" w:rsidRPr="00FD4FA2">
        <w:rPr>
          <w:i/>
        </w:rPr>
        <w:t>Castleberry v. STI Grp</w:t>
      </w:r>
      <w:r w:rsidR="00FD4FA2" w:rsidRPr="00FD4FA2">
        <w:t xml:space="preserve">., 863 F.3d 259, 263-64 (3d Cir. 2017) (a section 1981 employment case applying Title VII analysis, acknowledging the court’s inconsistent precedent regarding what is needed to prevail on a harassment or hostile work environment claim, and clarifying that the correct standard is “severe </w:t>
      </w:r>
      <w:r w:rsidR="00FD4FA2" w:rsidRPr="00FD4FA2">
        <w:rPr>
          <w:i/>
        </w:rPr>
        <w:t>or</w:t>
      </w:r>
      <w:r w:rsidR="00FD4FA2" w:rsidRPr="00FD4FA2">
        <w:t xml:space="preserve"> pervasive”) (emphasis in original). </w:t>
      </w:r>
      <w:r w:rsidRPr="00C52A64">
        <w:rPr>
          <w:i/>
        </w:rPr>
        <w:t>See</w:t>
      </w:r>
      <w:r>
        <w:t xml:space="preserve"> Comment 5.1.4.</w:t>
      </w:r>
    </w:p>
  </w:footnote>
  <w:footnote w:id="25">
    <w:p w14:paraId="0C5D90C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6">
    <w:p w14:paraId="7C876885"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Bonenberger</w:t>
      </w:r>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7">
    <w:p w14:paraId="71C1B4CB"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Zelinski v. Pennsylvania State Police</w:t>
      </w:r>
      <w:r>
        <w:t>, 108 Fed. Appx. 700, 703 (3d Cir. 2004) (non-precedential opinion) (holding that defendant did not act under color of law when committing alleged harassment because he had neither formal nor de facto supervisory authority over plaintiff).</w:t>
      </w:r>
    </w:p>
    <w:p w14:paraId="2F41C0F7"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See, e.g., Zelinski</w:t>
      </w:r>
      <w:r>
        <w:t>, 108 Fed.Appx. at 704 (holding that district court should not have granted summary judgment dismissing Title VII harassment claim).</w:t>
      </w:r>
    </w:p>
  </w:footnote>
  <w:footnote w:id="28">
    <w:p w14:paraId="089488E5" w14:textId="6A7F11F8"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Bohen</w:t>
      </w:r>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w:t>
      </w:r>
      <w:r w:rsidR="007D1B51">
        <w:t>—</w:t>
      </w:r>
      <w:r>
        <w:t>even in the absence of actual knowledge of its occurrence</w:t>
      </w:r>
      <w:r w:rsidR="007D1B51">
        <w:t>—</w:t>
      </w:r>
      <w:r>
        <w:t>constitutes deliberate indifference, where the employer has also failed to take any steps to encourage the reporting of such incidents”).</w:t>
      </w:r>
    </w:p>
  </w:footnote>
  <w:footnote w:id="29">
    <w:p w14:paraId="45545F68"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30">
    <w:p w14:paraId="50DCE4A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14:paraId="453DE77D"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14:paraId="72E67F0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A4EAFF"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14:paraId="44D7E10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E07959"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14:paraId="469C20D3"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A42228"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14:paraId="29BF3AC4"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3E29C7" w14:textId="77777777"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14:paraId="73D5701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31">
    <w:p w14:paraId="5E39F00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minimis.  </w:t>
      </w:r>
      <w:r>
        <w:rPr>
          <w:i/>
        </w:rPr>
        <w:t>See</w:t>
      </w:r>
      <w:r>
        <w:t xml:space="preserve"> Comment.</w:t>
      </w:r>
    </w:p>
  </w:footnote>
  <w:footnote w:id="32">
    <w:p w14:paraId="6FBB30D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3">
    <w:p w14:paraId="7B4E57B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4">
    <w:p w14:paraId="0787E19F" w14:textId="77777777"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5">
    <w:p w14:paraId="6744D4CE" w14:textId="5942E9E5" w:rsidR="005D6F4B" w:rsidRPr="00E10B61" w:rsidRDefault="005D6F4B" w:rsidP="00922C4F">
      <w:pPr>
        <w:pStyle w:val="FootnoteText"/>
        <w:shd w:val="clear" w:color="auto" w:fill="FFFFFF" w:themeFill="background1"/>
      </w:pPr>
      <w:r w:rsidRPr="00E10B61">
        <w:rPr>
          <w:rStyle w:val="FootnoteReference"/>
        </w:rPr>
        <w:footnoteRef/>
      </w:r>
      <w:r w:rsidRPr="00E10B61">
        <w:t xml:space="preserve"> </w:t>
      </w:r>
      <w:r w:rsidRPr="00335A8A">
        <w:rPr>
          <w:i/>
          <w:iCs/>
        </w:rPr>
        <w:t>Cf</w:t>
      </w:r>
      <w:r w:rsidRPr="00E10B61">
        <w:t xml:space="preserve">. </w:t>
      </w:r>
      <w:r w:rsidRPr="00E10B61">
        <w:rPr>
          <w:i/>
        </w:rPr>
        <w:t>Fulton v. City of Philadelphia</w:t>
      </w:r>
      <w:r w:rsidRPr="00E10B61">
        <w:t>, 922 F.3d 140, 162 (3d Cir. 2019) (suggesting that a litigant who is challenging a regulation of its conduct cannot transform that challenge into a retaliation claim simply because some speech is involved in the conduct or because it verbally acknowledges that it engages in that conduct).</w:t>
      </w:r>
    </w:p>
    <w:p w14:paraId="56A4D434" w14:textId="77777777" w:rsidR="005D6F4B" w:rsidRDefault="005D6F4B" w:rsidP="005D6F4B">
      <w:pPr>
        <w:pStyle w:val="FootnoteText"/>
      </w:pPr>
    </w:p>
  </w:footnote>
  <w:footnote w:id="36">
    <w:p w14:paraId="02E75806"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“[R]etaliation by a government employer for a public employee's exercise of the right of access to the courts may implicate the protections of the Petition Clause.”  </w:t>
      </w:r>
      <w:r>
        <w:rPr>
          <w:i/>
        </w:rPr>
        <w:t>Borough of Duryea v. Guarnieri</w:t>
      </w:r>
      <w:r>
        <w:t xml:space="preserve">, 131 S. Ct. 2488, 2494 (2011).  In </w:t>
      </w:r>
      <w:r>
        <w:rPr>
          <w:i/>
        </w:rPr>
        <w:t>Guarnieri</w:t>
      </w:r>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14:paraId="002887B2"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14:paraId="2DEA5CE8"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D40758" w14:textId="762EFC5B" w:rsidR="00D63CD9"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00734A98" w:rsidRPr="00734A98">
        <w:rPr>
          <w:i/>
          <w:iCs/>
        </w:rPr>
        <w:t>See also Starnes v. Butler County Ct. of Com. Pleas, 50th Jud. Dist</w:t>
      </w:r>
      <w:r w:rsidR="00734A98" w:rsidRPr="00734A98">
        <w:t>., 971 F.3d 416, 429 (3d Cir. 2020) (analyzing a freedom of expression claim and a right to petition claim together).</w:t>
      </w:r>
    </w:p>
    <w:p w14:paraId="21C15036" w14:textId="77777777" w:rsidR="00D63CD9"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FB0553" w14:textId="625D694B" w:rsidR="0080738C" w:rsidRPr="00421DE0"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80738C" w:rsidRPr="00433479">
        <w:t xml:space="preserve">A public employee may also have a retaliation claim based on the First Amendment right to freedom of association. </w:t>
      </w:r>
      <w:r w:rsidR="0080738C" w:rsidRPr="00433479">
        <w:rPr>
          <w:i/>
        </w:rPr>
        <w:t>See, e.g</w:t>
      </w:r>
      <w:r w:rsidR="0080738C" w:rsidRPr="00433479">
        <w:t xml:space="preserve">., </w:t>
      </w:r>
      <w:r w:rsidR="0080738C" w:rsidRPr="00433479">
        <w:rPr>
          <w:i/>
        </w:rPr>
        <w:t>Heffernan v. Paterson</w:t>
      </w:r>
      <w:r w:rsidR="0080738C">
        <w:t xml:space="preserve">, </w:t>
      </w:r>
      <w:r w:rsidR="0080738C" w:rsidRPr="00CD3E58">
        <w:t>136 S. Ct. 1412 (2016</w:t>
      </w:r>
      <w:r w:rsidR="0080738C" w:rsidRPr="00421DE0">
        <w:t>).</w:t>
      </w:r>
      <w:r w:rsidRPr="00421DE0">
        <w:t xml:space="preserve"> If an association claim is based on union membership, the public concern requirement is “no obstacle” because “mere membership in a public union is always a matter of public concern.” </w:t>
      </w:r>
      <w:r w:rsidRPr="00421DE0">
        <w:rPr>
          <w:i/>
        </w:rPr>
        <w:t>Palardy v. Twp. of Millburn</w:t>
      </w:r>
      <w:r w:rsidRPr="00421DE0">
        <w:t xml:space="preserve">, 906 F.3d 76, 81 (3d Cir. 2018). So, too, the private-citizen requirement of </w:t>
      </w:r>
      <w:r w:rsidRPr="00421DE0">
        <w:rPr>
          <w:i/>
        </w:rPr>
        <w:t>Garcetti</w:t>
      </w:r>
      <w:r w:rsidRPr="00421DE0">
        <w:t xml:space="preserve"> does not apply to “pure associational claims based on union membership.” </w:t>
      </w:r>
      <w:r w:rsidRPr="00421DE0">
        <w:rPr>
          <w:i/>
        </w:rPr>
        <w:t>Id</w:t>
      </w:r>
      <w:r w:rsidRPr="00421DE0">
        <w:t xml:space="preserve">. at 83. </w:t>
      </w:r>
      <w:r w:rsidRPr="00421DE0">
        <w:rPr>
          <w:i/>
        </w:rPr>
        <w:t>See also</w:t>
      </w:r>
      <w:r w:rsidRPr="00421DE0">
        <w:t xml:space="preserve"> </w:t>
      </w:r>
      <w:r w:rsidRPr="00421DE0">
        <w:rPr>
          <w:i/>
        </w:rPr>
        <w:t>Baloga v. Pittston Area Sch. Dist.</w:t>
      </w:r>
      <w:r w:rsidRPr="00421DE0">
        <w:t xml:space="preserve">, </w:t>
      </w:r>
      <w:r w:rsidR="00DA1385">
        <w:t xml:space="preserve">927 F.3d 742, 756 </w:t>
      </w:r>
      <w:r w:rsidRPr="00421DE0">
        <w:t>(3d Cir.</w:t>
      </w:r>
      <w:r w:rsidR="00DA1385">
        <w:t xml:space="preserve"> </w:t>
      </w:r>
      <w:r w:rsidRPr="00421DE0">
        <w:t xml:space="preserve">2019) (noting but not deciding whether the </w:t>
      </w:r>
      <w:r w:rsidRPr="00421DE0">
        <w:rPr>
          <w:i/>
        </w:rPr>
        <w:t>Pickering</w:t>
      </w:r>
      <w:r w:rsidRPr="00421DE0">
        <w:t xml:space="preserve"> balance test applies to association claims).</w:t>
      </w:r>
    </w:p>
    <w:p w14:paraId="053CBDD1" w14:textId="3A3EC529" w:rsidR="00F93EC1" w:rsidRPr="00421DE0"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1E889E" w14:textId="3A145495" w:rsidR="00F93EC1"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F353B">
        <w:tab/>
        <w:t xml:space="preserve">If the speech happened after the plaintiff’s public employment ceased, “the public-employment framework” of </w:t>
      </w:r>
      <w:r w:rsidRPr="00EF353B">
        <w:rPr>
          <w:i/>
        </w:rPr>
        <w:t>Pickering</w:t>
      </w:r>
      <w:r w:rsidRPr="00EF353B">
        <w:t xml:space="preserve"> and </w:t>
      </w:r>
      <w:r w:rsidRPr="00EF353B">
        <w:rPr>
          <w:i/>
        </w:rPr>
        <w:t>Garcetti</w:t>
      </w:r>
      <w:r w:rsidRPr="00EF353B">
        <w:t xml:space="preserve"> does not apply because once public employment ended, the government employer “did not have a protectable interest in controlling [her] speech.” </w:t>
      </w:r>
      <w:r w:rsidRPr="00EF353B">
        <w:rPr>
          <w:i/>
        </w:rPr>
        <w:t>Conard v. Pennsylvania State Police</w:t>
      </w:r>
      <w:r w:rsidRPr="00EF353B">
        <w:t>, 902 F.3d 178, 182 (3d Cir. 2018).</w:t>
      </w:r>
    </w:p>
  </w:footnote>
  <w:footnote w:id="37">
    <w:p w14:paraId="4307EA96"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r>
        <w:rPr>
          <w:i/>
        </w:rPr>
        <w:t>Garcetti v. Ceballos</w:t>
      </w:r>
      <w:r>
        <w:t xml:space="preserve">, 126 S. Ct. 1951, 1962 (2006).  In </w:t>
      </w:r>
      <w:r>
        <w:rPr>
          <w:i/>
        </w:rPr>
        <w:t>Garcetti</w:t>
      </w:r>
      <w:r>
        <w:t xml:space="preserve">, which involved a deputy district attorney who sued the County of Los Angeles, and also certain of his supervisors in the Los Angeles District Attorney's Office, the Court found it unnecessary to determine whether its analysis in </w:t>
      </w:r>
      <w:r>
        <w:rPr>
          <w:i/>
        </w:rPr>
        <w:t xml:space="preserve">Garcetti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r>
        <w:rPr>
          <w:i/>
        </w:rPr>
        <w:t xml:space="preserve">Garcetti </w:t>
      </w:r>
      <w:r>
        <w:t xml:space="preserve">applied to this case, Borden's speech would not be protected as it was made pursuant to his official duties as a coach of the EBHS football team and not as an ordinary citizen. However, even if </w:t>
      </w:r>
      <w:r>
        <w:rPr>
          <w:i/>
        </w:rPr>
        <w:t xml:space="preserve">Garcetti </w:t>
      </w:r>
      <w:r>
        <w:t>does not apply in the educational context, Borden's conduct is not on a matter of public concern for the reasons just described.”).</w:t>
      </w:r>
    </w:p>
    <w:p w14:paraId="359853BE" w14:textId="3C9AB813" w:rsidR="000B1B5F"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Schoolbook" w:hAnsi="Century Schoolbook"/>
          <w:color w:val="FF0000"/>
          <w:szCs w:val="24"/>
          <w:u w:val="single"/>
        </w:rPr>
      </w:pPr>
      <w:r>
        <w:tab/>
        <w:t xml:space="preserve">The Court of Appeals has noted that “[t]he full implications of the Supreme Court's statements in </w:t>
      </w:r>
      <w:r>
        <w:rPr>
          <w:i/>
        </w:rPr>
        <w:t xml:space="preserve">Garcetti </w:t>
      </w:r>
      <w:r>
        <w:t xml:space="preserve">regarding ‘speech related to scholarship or teaching’ are not clear.... As a result, federal circuit courts differ over whether (and, if so, when) to apply </w:t>
      </w:r>
      <w:r>
        <w:rPr>
          <w:i/>
        </w:rPr>
        <w:t>Garcetti</w:t>
      </w:r>
      <w:r>
        <w:t xml:space="preserve">'s official-duty test to academic instructors.” </w:t>
      </w:r>
      <w:r>
        <w:rPr>
          <w:i/>
        </w:rPr>
        <w:t>Gorum v. Sessoms</w:t>
      </w:r>
      <w:r>
        <w:t xml:space="preserve">, 561 F.3d 179, 186 n.6 (3d Cir. 2009).  The plaintiff in </w:t>
      </w:r>
      <w:r>
        <w:rPr>
          <w:i/>
        </w:rPr>
        <w:t>Gorum</w:t>
      </w:r>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r>
        <w:rPr>
          <w:i/>
        </w:rPr>
        <w:t>Gorum</w:t>
      </w:r>
      <w:r>
        <w:t xml:space="preserve"> court held that neither of these incidents involved citizen speech; rather, under </w:t>
      </w:r>
      <w:r>
        <w:rPr>
          <w:i/>
        </w:rPr>
        <w:t>Garcetti</w:t>
      </w:r>
      <w:r>
        <w:t xml:space="preserve">, these activities were undertaken pursuant to the plaintiff’s duties.  The court noted: “In determining that Gorum did not speak as a citizen.... we apply the official duty test because Gorum's actions so clearly were not ‘speech related to scholarship or teaching,’ ... and because we believe that such a determination here does not ‘imperil First Amendment protection of academic freedom in public colleges and universities.’” </w:t>
      </w:r>
      <w:r>
        <w:rPr>
          <w:i/>
        </w:rPr>
        <w:t>Gorum</w:t>
      </w:r>
      <w:r>
        <w:t xml:space="preserve">, 561 F.3d at 186 (quoting </w:t>
      </w:r>
      <w:r>
        <w:rPr>
          <w:i/>
        </w:rPr>
        <w:t>Garcetti</w:t>
      </w:r>
      <w:r>
        <w:t xml:space="preserve">, 547 U.S. at 425, and Justice Souter’s dissent in </w:t>
      </w:r>
      <w:r>
        <w:rPr>
          <w:i/>
        </w:rPr>
        <w:t>Garcetti</w:t>
      </w:r>
      <w:r>
        <w:t xml:space="preserve">, </w:t>
      </w:r>
      <w:r w:rsidRPr="002554FC">
        <w:rPr>
          <w:i/>
        </w:rPr>
        <w:t>id</w:t>
      </w:r>
      <w:r>
        <w:t>. at 438).</w:t>
      </w:r>
      <w:r w:rsidR="000B1B5F" w:rsidRPr="000B1B5F">
        <w:rPr>
          <w:rFonts w:ascii="Century Schoolbook" w:hAnsi="Century Schoolbook"/>
          <w:color w:val="FF0000"/>
          <w:szCs w:val="24"/>
          <w:u w:val="single"/>
        </w:rPr>
        <w:t xml:space="preserve"> </w:t>
      </w:r>
    </w:p>
    <w:p w14:paraId="16949708" w14:textId="77777777" w:rsidR="00AA6727" w:rsidRDefault="00AA6727"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Schoolbook" w:hAnsi="Century Schoolbook"/>
          <w:color w:val="FF0000"/>
          <w:szCs w:val="24"/>
          <w:u w:val="single"/>
        </w:rPr>
      </w:pPr>
    </w:p>
    <w:p w14:paraId="21BF677E" w14:textId="5D72D77C" w:rsidR="0080738C" w:rsidRPr="00AA6727" w:rsidRDefault="00AA6727"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A6727">
        <w:rPr>
          <w:rFonts w:ascii="Century Schoolbook" w:hAnsi="Century Schoolbook"/>
          <w:szCs w:val="24"/>
        </w:rPr>
        <w:tab/>
      </w:r>
      <w:r w:rsidR="000B1B5F" w:rsidRPr="00AA6727">
        <w:rPr>
          <w:szCs w:val="24"/>
        </w:rPr>
        <w:t xml:space="preserve">In </w:t>
      </w:r>
      <w:r w:rsidR="000B1B5F" w:rsidRPr="00AA6727">
        <w:rPr>
          <w:i/>
          <w:szCs w:val="24"/>
        </w:rPr>
        <w:t>Ali v. Woodbridge Twp. Sch. Dist</w:t>
      </w:r>
      <w:r w:rsidR="000B1B5F" w:rsidRPr="00AA6727">
        <w:rPr>
          <w:szCs w:val="24"/>
        </w:rPr>
        <w:t xml:space="preserve">., 957 F.3d 174 (3d Cir. 2020), the Court of Appeals held that “[t]eachers do not have a protected First Amendment right to decide the content of their lessons or how the material should be presented to their students.” </w:t>
      </w:r>
      <w:r w:rsidR="000B1B5F" w:rsidRPr="00AA6727">
        <w:rPr>
          <w:i/>
          <w:szCs w:val="24"/>
        </w:rPr>
        <w:t>Id</w:t>
      </w:r>
      <w:r w:rsidR="000B1B5F" w:rsidRPr="00AA6727">
        <w:rPr>
          <w:szCs w:val="24"/>
        </w:rPr>
        <w:t xml:space="preserve">. at 184. It relied on cases that predated </w:t>
      </w:r>
      <w:r w:rsidR="000B1B5F" w:rsidRPr="00AA6727">
        <w:rPr>
          <w:i/>
          <w:szCs w:val="24"/>
        </w:rPr>
        <w:t>Garcetti</w:t>
      </w:r>
      <w:r w:rsidR="000B1B5F" w:rsidRPr="00AA6727">
        <w:rPr>
          <w:szCs w:val="24"/>
        </w:rPr>
        <w:t xml:space="preserve">. </w:t>
      </w:r>
      <w:r w:rsidR="000B1B5F" w:rsidRPr="00AA6727">
        <w:rPr>
          <w:i/>
          <w:szCs w:val="24"/>
        </w:rPr>
        <w:t>Id</w:t>
      </w:r>
      <w:r w:rsidR="000B1B5F" w:rsidRPr="00AA6727">
        <w:rPr>
          <w:szCs w:val="24"/>
        </w:rPr>
        <w:t xml:space="preserve">. at 184 (citing </w:t>
      </w:r>
      <w:r w:rsidR="000B1B5F" w:rsidRPr="00AA6727">
        <w:rPr>
          <w:i/>
          <w:szCs w:val="24"/>
        </w:rPr>
        <w:t>Edwards v. Cal. Univ. of Pa</w:t>
      </w:r>
      <w:r w:rsidR="000B1B5F" w:rsidRPr="00AA6727">
        <w:rPr>
          <w:szCs w:val="24"/>
        </w:rPr>
        <w:t xml:space="preserve">., 156 F.3d 488, 491 (3d Cir. 1998) (Alito, J.) (holding that “a public university professor does not have a First Amendment right to decide what will be taught in the classroom”) and </w:t>
      </w:r>
      <w:r w:rsidR="000B1B5F" w:rsidRPr="00AA6727">
        <w:rPr>
          <w:i/>
          <w:szCs w:val="24"/>
        </w:rPr>
        <w:t>Bradley v. Pittsburgh Bd. of Educ</w:t>
      </w:r>
      <w:r w:rsidR="000B1B5F" w:rsidRPr="00AA6727">
        <w:rPr>
          <w:szCs w:val="24"/>
        </w:rPr>
        <w:t>., 910 F.2d 1172 (3d Cir. 1990)).</w:t>
      </w:r>
    </w:p>
    <w:p w14:paraId="46F20EE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8">
    <w:p w14:paraId="4F33CF93"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r>
        <w:rPr>
          <w:i/>
        </w:rPr>
        <w:t>Garcetti</w:t>
      </w:r>
      <w:r>
        <w:t>, 126 S. Ct. at 1961-62.</w:t>
      </w:r>
    </w:p>
  </w:footnote>
  <w:footnote w:id="39">
    <w:p w14:paraId="11AF11B2"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r>
        <w:rPr>
          <w:i/>
        </w:rPr>
        <w:t xml:space="preserve">Garcetti </w:t>
      </w:r>
      <w:r>
        <w:t>test thus:</w:t>
      </w:r>
    </w:p>
    <w:p w14:paraId="0446A499"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14:paraId="2525274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6069EB"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14:paraId="16CC2CC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DE5796" w14:textId="77777777"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r>
        <w:rPr>
          <w:i/>
        </w:rPr>
        <w:t>Garcetti</w:t>
      </w:r>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abrogated on other grounds by Borough of Duryea v. Guarnieri</w:t>
      </w:r>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(Pollak,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40">
    <w:p w14:paraId="39D2DD0D" w14:textId="5CD582B4"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136 S.</w:t>
      </w:r>
      <w:r w:rsidR="00AC64A1">
        <w:t xml:space="preserve"> </w:t>
      </w:r>
      <w:r w:rsidRPr="004166CA">
        <w:t xml:space="preserve">Ct.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41">
    <w:p w14:paraId="6977011B"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14:paraId="15724A4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14:paraId="5C98DEC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6FA7A00E"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14:paraId="0CB42D8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2">
    <w:p w14:paraId="7743520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r>
        <w:rPr>
          <w:i/>
        </w:rPr>
        <w:t>Connick</w:t>
      </w:r>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r>
        <w:rPr>
          <w:i/>
        </w:rPr>
        <w:t>Connick</w:t>
      </w:r>
      <w:r>
        <w:t xml:space="preserve"> test to the speech as the employer reasonably found it to be; but the plurality did not explain who should determine any disputes of material fact as to what the employer actually believed.</w:t>
      </w:r>
    </w:p>
  </w:footnote>
  <w:footnote w:id="43">
    <w:p w14:paraId="6CADF8E1" w14:textId="0E8302EE"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See also Curinga v. City of Clairton</w:t>
      </w:r>
      <w:r>
        <w:t xml:space="preserve">, 357 F.3d 305, 310 (3d Cir. 2004) (“[T]he first factor is a question of law.”); </w:t>
      </w:r>
      <w:r>
        <w:rPr>
          <w:i/>
        </w:rPr>
        <w:t>Baldassare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Connell/Pickering </w:t>
      </w:r>
      <w:r>
        <w:t>tests is a matter of law for the court – not on the question of who should determine any underlying disputes of historical fact.</w:t>
      </w:r>
    </w:p>
  </w:footnote>
  <w:footnote w:id="44">
    <w:p w14:paraId="6931CE2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5">
    <w:p w14:paraId="36BE2567" w14:textId="77777777"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r>
        <w:rPr>
          <w:i/>
        </w:rPr>
        <w:t>Gorum v. Sessoms</w:t>
      </w:r>
      <w:r>
        <w:t>, 561 F.3d 179, 187 (3d Cir. 2009) (professor’s assistance to student in connection with disciplinary proceeding was not speech on matter of public concern but, rather, “related to the personal grievance of one student”).</w:t>
      </w:r>
    </w:p>
    <w:p w14:paraId="37ADB098"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r w:rsidR="004F4190">
        <w:t xml:space="preserve">; </w:t>
      </w:r>
      <w:r w:rsidR="004F4190" w:rsidRPr="004F4190">
        <w:rPr>
          <w:i/>
        </w:rPr>
        <w:t>see also DeRitis v. McGarrigle</w:t>
      </w:r>
      <w:r w:rsidR="004F4190" w:rsidRPr="004F4190">
        <w:t>, 861 F.3d 444, 456 (3d Cir. 2017) (holding that out of court statements to other lawyers made by a public defender circulating a rumor that he had been demoted for taking too many cases to trial did not involve matters of public concern because he was addressing only his own employment concerns, but that statements to the County Solicitor and the chairman of the County Council did address matters of public concern by raising concerns about the rights of his clients).</w:t>
      </w:r>
      <w:r w:rsidR="004F4190">
        <w:t xml:space="preserve"> </w:t>
      </w:r>
    </w:p>
  </w:footnote>
  <w:footnote w:id="46">
    <w:p w14:paraId="1D5C7855"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 Baldassare v. State of N.J.</w:t>
      </w:r>
      <w:r>
        <w:t>, 250 F.3d 188, 198 (3d Cir. 2001) (“[T]he public's interest in exposing potential wrongdoing by public employees is especially powerful.”).</w:t>
      </w:r>
    </w:p>
  </w:footnote>
  <w:footnote w:id="47">
    <w:p w14:paraId="7F8128CC"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14:paraId="190704BC"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14:paraId="3D4D660E"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5D51050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abrogated on other grounds by Borough of Duryea v. Guarnieri</w:t>
      </w:r>
      <w:r>
        <w:t>, 131 S. Ct. 2488 (2011).</w:t>
      </w:r>
    </w:p>
    <w:p w14:paraId="083B6EA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10FFF1"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r>
        <w:rPr>
          <w:i/>
        </w:rPr>
        <w:t>Azzaro</w:t>
      </w:r>
      <w:r>
        <w:t xml:space="preserve">, 110 F.3d at 980 (performing balancing analysis); </w:t>
      </w:r>
      <w:r>
        <w:rPr>
          <w:i/>
        </w:rPr>
        <w:t>id.</w:t>
      </w:r>
      <w:r>
        <w:t xml:space="preserve"> at 981 (finding “a material dispute of fact as to whether [plaintiff’s] reports were a motivating factor in the discharge decision”).</w:t>
      </w:r>
    </w:p>
    <w:p w14:paraId="0637A363"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83B08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14:paraId="1A191C2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8">
    <w:p w14:paraId="1008DAD3" w14:textId="32BA6716"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Azzaro</w:t>
      </w:r>
      <w:r>
        <w:t xml:space="preserve">, noting the “substantial public interest in Azzaro’s revelations” and the “negligible” nature of any countervailing government interest, the Court of Appeals held that “the </w:t>
      </w:r>
      <w:r>
        <w:rPr>
          <w:i/>
        </w:rPr>
        <w:t>Pickering</w:t>
      </w:r>
      <w:r>
        <w:t xml:space="preserve"> balance falls in Azzaro's favor.”  </w:t>
      </w:r>
      <w:r>
        <w:rPr>
          <w:i/>
        </w:rPr>
        <w:t>Azzaro</w:t>
      </w:r>
      <w:r>
        <w:t>, 110 F.3d at 980</w:t>
      </w:r>
      <w:r w:rsidRPr="00B16422">
        <w:t>.</w:t>
      </w:r>
      <w:r w:rsidR="00B16422">
        <w:t xml:space="preserve"> A</w:t>
      </w:r>
      <w:r w:rsidR="00B16422" w:rsidRPr="00B16422">
        <w:t xml:space="preserve">pplying the </w:t>
      </w:r>
      <w:r w:rsidR="00B16422" w:rsidRPr="00B16422">
        <w:rPr>
          <w:i/>
        </w:rPr>
        <w:t>Pickering</w:t>
      </w:r>
      <w:r w:rsidR="00B16422" w:rsidRPr="00B16422">
        <w:t xml:space="preserve"> balancing test in</w:t>
      </w:r>
      <w:r w:rsidR="00B16422" w:rsidRPr="00B16422">
        <w:rPr>
          <w:i/>
        </w:rPr>
        <w:t xml:space="preserve"> DeRitis v. McGarrigle</w:t>
      </w:r>
      <w:r w:rsidR="00B16422" w:rsidRPr="00B16422">
        <w:t xml:space="preserve">, 861 F.3d 444 (3d Cir. 2017), the court concluded that the plaintiff’s “interest in disseminating ‘fourth-person hearsay,’ gleaned from after-work ‘gossip,’ pales in comparison to the ‘potential disruption’ it could have caused to the Public Defender’s Office.” </w:t>
      </w:r>
      <w:r w:rsidR="00B16422" w:rsidRPr="00B16422">
        <w:rPr>
          <w:i/>
        </w:rPr>
        <w:t>Id</w:t>
      </w:r>
      <w:r w:rsidR="00B16422" w:rsidRPr="00B16422">
        <w:t>. at 458 (citations and alterations omitted).</w:t>
      </w:r>
    </w:p>
  </w:footnote>
  <w:footnote w:id="49">
    <w:p w14:paraId="3EBF87B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“present[] question[s] of fact for the jury.”  </w:t>
      </w:r>
      <w:r>
        <w:rPr>
          <w:i/>
        </w:rPr>
        <w:t>McGreevy v. Stroup</w:t>
      </w:r>
      <w:r>
        <w:t>, 413 F.3d 359, 364 (3d Cir. 2005).</w:t>
      </w:r>
    </w:p>
  </w:footnote>
  <w:footnote w:id="50">
    <w:p w14:paraId="54C6B17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Lauren W. v. DeFlaminis</w:t>
      </w:r>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See also Brightwell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51">
    <w:p w14:paraId="65928289"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52">
    <w:p w14:paraId="40A6A1F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53">
    <w:p w14:paraId="53A0D65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“‘[S]ubstantial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4">
    <w:p w14:paraId="5C4C0F10"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5">
    <w:p w14:paraId="6CEAC6E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6">
    <w:p w14:paraId="05DC9F6D"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7">
    <w:p w14:paraId="7BDCCB78"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8">
    <w:p w14:paraId="6076C79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9">
    <w:p w14:paraId="47D47FD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60">
    <w:p w14:paraId="3E384E17"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decisionmaker (judge or jury) should decide a remedies question, the analysis seems likely to turn principally on whether the remedy is equitable or legal in nature.</w:t>
      </w:r>
    </w:p>
  </w:footnote>
  <w:footnote w:id="61">
    <w:p w14:paraId="1118A80B" w14:textId="295F3EA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Laskaris</w:t>
      </w:r>
      <w:r>
        <w:t xml:space="preserve"> court cited </w:t>
      </w:r>
      <w:r>
        <w:rPr>
          <w:i/>
        </w:rPr>
        <w:t>Gurmankin v. Costanzo</w:t>
      </w:r>
      <w:r>
        <w:t>, 626 F.2d 1115, 1122-23 (3d Cir. 1980)</w:t>
      </w:r>
      <w:r w:rsidR="00640532">
        <w:t>,</w:t>
      </w:r>
      <w:r>
        <w:t xml:space="preserve"> as support for this proposition.  </w:t>
      </w:r>
      <w:r>
        <w:rPr>
          <w:i/>
        </w:rPr>
        <w:t>Gurmankin</w:t>
      </w:r>
      <w:r>
        <w:t xml:space="preserve">, however, did not concern the right to a jury trial.  In </w:t>
      </w:r>
      <w:r>
        <w:rPr>
          <w:i/>
        </w:rPr>
        <w:t>Gurmankin</w:t>
      </w:r>
      <w:r>
        <w:t xml:space="preserve">, the Court of Appeals held that the trial judge’s denial of back pay (after a bench trial) constituted an abuse of discretion.  </w:t>
      </w:r>
      <w:r>
        <w:rPr>
          <w:i/>
        </w:rPr>
        <w:t xml:space="preserve">See id. </w:t>
      </w:r>
      <w:r>
        <w:t xml:space="preserve">at 1124-25.  As support for the view that “backpay [is] an integral aspect of equitable relief to be awarded in a suit brought under section 1983 against a school district,” </w:t>
      </w:r>
      <w:r>
        <w:rPr>
          <w:i/>
        </w:rPr>
        <w:t>id.</w:t>
      </w:r>
      <w:r>
        <w:t xml:space="preserve"> at 1122, the Court of Appeals cited </w:t>
      </w:r>
      <w:r>
        <w:rPr>
          <w:i/>
        </w:rPr>
        <w:t>Harkless v. Sweeny Independent School District</w:t>
      </w:r>
      <w:r>
        <w:t xml:space="preserve">, 427 F.2d 319, 324 (5th Cir. 1970).  </w:t>
      </w:r>
      <w:r>
        <w:rPr>
          <w:i/>
        </w:rPr>
        <w:t>Harkless</w:t>
      </w:r>
      <w:r>
        <w:t xml:space="preserve">, by contrast, did concern the jury issue: the </w:t>
      </w:r>
      <w:r>
        <w:rPr>
          <w:i/>
        </w:rPr>
        <w:t>Harkless</w:t>
      </w:r>
      <w:r>
        <w:t xml:space="preserve"> court held that “a claim for back pay presented in an equitable action for reinstatement authorized by § 1983 is not for jury consideration nor are the factual issues which form the basis of the claim for reinstatement.”  </w:t>
      </w:r>
      <w:r>
        <w:rPr>
          <w:i/>
        </w:rPr>
        <w:t>Harkless</w:t>
      </w:r>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14:paraId="79F35FB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14:paraId="08AD139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D5E67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14:paraId="12F7562C"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B1A20A"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14:paraId="7AA21B1E"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37F744A9"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14:paraId="2411DD7D"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5C6AD2E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62">
    <w:p w14:paraId="092B0274" w14:textId="6498A11C"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caselaw suggests that back pay may not be an equitable remedy when sought from an individual defendant.  In a Section 1983 case that focused on official immunity, rather than on the right to a jury, the Court of Appeals stated that “[a]s to backpay and attorneys fees . . . a recovery against individual defendants would be in the nature of damages, rather than as a part of the equitable remedy of reinstatement.” </w:t>
      </w:r>
      <w:r>
        <w:rPr>
          <w:i/>
        </w:rPr>
        <w:t>Skehan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r w:rsidR="00640532">
        <w:t>.</w:t>
      </w:r>
    </w:p>
  </w:footnote>
  <w:footnote w:id="63">
    <w:p w14:paraId="5209D7A2"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4">
    <w:p w14:paraId="5EA2443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xml:space="preserve">, 54 F.3d at 172.  “[R]einstatement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5">
    <w:p w14:paraId="1220783C"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r>
        <w:rPr>
          <w:i/>
        </w:rPr>
        <w:t>Versarge v. Township of Clinton, New Jersey</w:t>
      </w:r>
      <w:r>
        <w:t xml:space="preserve">, 984 F.2d 1359, 1368 (3d Cir. 1993)). </w:t>
      </w:r>
    </w:p>
  </w:footnote>
  <w:footnote w:id="66">
    <w:p w14:paraId="02B13F63"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14:paraId="64D9652C"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r>
        <w:rPr>
          <w:i/>
        </w:rPr>
        <w:t>Blanciak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7">
    <w:p w14:paraId="030B2946"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r>
        <w:rPr>
          <w:i/>
        </w:rPr>
        <w:t>Biondo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see also Grantham v. Trickey</w:t>
      </w:r>
      <w:r>
        <w:t>, 21 F.3d 289, 296 n.5 (8th Cir. 1994) (“When reinstatement is not feasible, the court may grant front pay as an alternative equitable remedy.”).</w:t>
      </w:r>
    </w:p>
    <w:p w14:paraId="5E3B163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8">
    <w:p w14:paraId="1BCFB67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9">
    <w:p w14:paraId="0A96C699"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70">
    <w:p w14:paraId="554DA23D"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14:paraId="1E55E304"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14:paraId="5FF2D6A9"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21F2CE"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14:paraId="6B6C8168"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71">
    <w:p w14:paraId="3CAD51F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B1C9" w14:textId="77777777" w:rsidR="00FF4BC5" w:rsidRDefault="00FF4B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ECCA"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14:paraId="622CD8BF" w14:textId="77777777" w:rsidR="0080738C" w:rsidRDefault="0080738C" w:rsidP="009B7E9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659C"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14:paraId="530BC5D2" w14:textId="77777777" w:rsidR="0080738C" w:rsidRDefault="0080738C" w:rsidP="009B7E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6F54" w14:textId="77777777" w:rsidR="0080738C" w:rsidRPr="00E54E59" w:rsidRDefault="0080738C" w:rsidP="00E54E59">
    <w:pPr>
      <w:widowControl w:val="0"/>
      <w:tabs>
        <w:tab w:val="center" w:pos="4680"/>
        <w:tab w:val="right" w:pos="9360"/>
      </w:tabs>
      <w:autoSpaceDE w:val="0"/>
      <w:autoSpaceDN w:val="0"/>
      <w:adjustRightInd w:val="0"/>
      <w:jc w:val="right"/>
      <w:rPr>
        <w:b/>
        <w:sz w:val="20"/>
      </w:rPr>
    </w:pPr>
  </w:p>
  <w:p w14:paraId="4A14CF1E" w14:textId="77777777" w:rsidR="0080738C" w:rsidRDefault="0080738C">
    <w:pPr>
      <w:pStyle w:val="Header"/>
    </w:pPr>
  </w:p>
  <w:p w14:paraId="1B5A976E" w14:textId="77777777" w:rsidR="0080738C" w:rsidRDefault="0080738C" w:rsidP="009B7E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7DBB" w14:textId="77777777" w:rsidR="00FF4BC5" w:rsidRDefault="00FF4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A614"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712E0E27" w14:textId="77777777" w:rsidR="0080738C" w:rsidRDefault="0080738C" w:rsidP="009B7E9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290"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4FA0A37A" w14:textId="77777777" w:rsidR="0080738C" w:rsidRDefault="0080738C" w:rsidP="009B7E9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455C"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14:paraId="7AC4ADD0" w14:textId="77777777" w:rsidR="0080738C" w:rsidRDefault="0080738C" w:rsidP="009B7E9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F9E2"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14:paraId="046F277A" w14:textId="77777777" w:rsidR="0080738C" w:rsidRDefault="0080738C" w:rsidP="009B7E9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9114"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14:paraId="2D558582" w14:textId="77777777" w:rsidR="0080738C" w:rsidRDefault="0080738C" w:rsidP="009B7E9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77F3"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13CB6"/>
    <w:rsid w:val="00036ABB"/>
    <w:rsid w:val="000630E9"/>
    <w:rsid w:val="00083F00"/>
    <w:rsid w:val="000B1957"/>
    <w:rsid w:val="000B1B5F"/>
    <w:rsid w:val="000B3B47"/>
    <w:rsid w:val="000B7A9E"/>
    <w:rsid w:val="000E3D67"/>
    <w:rsid w:val="000F5FA5"/>
    <w:rsid w:val="001076F3"/>
    <w:rsid w:val="00114F49"/>
    <w:rsid w:val="00136001"/>
    <w:rsid w:val="00144E4F"/>
    <w:rsid w:val="00161F9A"/>
    <w:rsid w:val="001E4F95"/>
    <w:rsid w:val="001F7072"/>
    <w:rsid w:val="0020013B"/>
    <w:rsid w:val="00203B91"/>
    <w:rsid w:val="00212A87"/>
    <w:rsid w:val="00224115"/>
    <w:rsid w:val="0023730D"/>
    <w:rsid w:val="002554FC"/>
    <w:rsid w:val="003101B6"/>
    <w:rsid w:val="003107D4"/>
    <w:rsid w:val="0031152E"/>
    <w:rsid w:val="00335A8A"/>
    <w:rsid w:val="00345814"/>
    <w:rsid w:val="00363B64"/>
    <w:rsid w:val="0038350A"/>
    <w:rsid w:val="003913F2"/>
    <w:rsid w:val="003943A0"/>
    <w:rsid w:val="003C0D02"/>
    <w:rsid w:val="003C2E98"/>
    <w:rsid w:val="003D4103"/>
    <w:rsid w:val="00400CA4"/>
    <w:rsid w:val="004166CA"/>
    <w:rsid w:val="00421DE0"/>
    <w:rsid w:val="004235D8"/>
    <w:rsid w:val="00433479"/>
    <w:rsid w:val="00435CA4"/>
    <w:rsid w:val="00482651"/>
    <w:rsid w:val="0049244E"/>
    <w:rsid w:val="00493D17"/>
    <w:rsid w:val="004C3B63"/>
    <w:rsid w:val="004F1D34"/>
    <w:rsid w:val="004F4190"/>
    <w:rsid w:val="00566198"/>
    <w:rsid w:val="00594F9C"/>
    <w:rsid w:val="005A36E0"/>
    <w:rsid w:val="005A3DF7"/>
    <w:rsid w:val="005B361D"/>
    <w:rsid w:val="005B4898"/>
    <w:rsid w:val="005C566E"/>
    <w:rsid w:val="005D448A"/>
    <w:rsid w:val="005D6032"/>
    <w:rsid w:val="005D6F4B"/>
    <w:rsid w:val="005D78AC"/>
    <w:rsid w:val="005E3E3C"/>
    <w:rsid w:val="005E7864"/>
    <w:rsid w:val="005F6D48"/>
    <w:rsid w:val="00601131"/>
    <w:rsid w:val="00621DEA"/>
    <w:rsid w:val="0062320B"/>
    <w:rsid w:val="006314E5"/>
    <w:rsid w:val="00640532"/>
    <w:rsid w:val="0068193B"/>
    <w:rsid w:val="006D62E6"/>
    <w:rsid w:val="006E2042"/>
    <w:rsid w:val="006F12D1"/>
    <w:rsid w:val="007126E4"/>
    <w:rsid w:val="00715A25"/>
    <w:rsid w:val="00734A98"/>
    <w:rsid w:val="00742DBE"/>
    <w:rsid w:val="00767D01"/>
    <w:rsid w:val="00771CD4"/>
    <w:rsid w:val="007767DF"/>
    <w:rsid w:val="00777FA7"/>
    <w:rsid w:val="0078295F"/>
    <w:rsid w:val="007B08CB"/>
    <w:rsid w:val="007B190E"/>
    <w:rsid w:val="007D0CDC"/>
    <w:rsid w:val="007D1B51"/>
    <w:rsid w:val="007D4E4E"/>
    <w:rsid w:val="007E1DB6"/>
    <w:rsid w:val="008001C1"/>
    <w:rsid w:val="0080738C"/>
    <w:rsid w:val="00815014"/>
    <w:rsid w:val="0084171A"/>
    <w:rsid w:val="00861D9D"/>
    <w:rsid w:val="00870B3C"/>
    <w:rsid w:val="008D01CB"/>
    <w:rsid w:val="008D2026"/>
    <w:rsid w:val="008E57F8"/>
    <w:rsid w:val="00915578"/>
    <w:rsid w:val="00922C4F"/>
    <w:rsid w:val="00944739"/>
    <w:rsid w:val="009521D0"/>
    <w:rsid w:val="00992331"/>
    <w:rsid w:val="009B7E97"/>
    <w:rsid w:val="009E1096"/>
    <w:rsid w:val="009E1A16"/>
    <w:rsid w:val="00A139E4"/>
    <w:rsid w:val="00A3164E"/>
    <w:rsid w:val="00A402EC"/>
    <w:rsid w:val="00A64189"/>
    <w:rsid w:val="00AA6727"/>
    <w:rsid w:val="00AC64A1"/>
    <w:rsid w:val="00AD76B8"/>
    <w:rsid w:val="00B16422"/>
    <w:rsid w:val="00B80A0F"/>
    <w:rsid w:val="00B83E1E"/>
    <w:rsid w:val="00BA10CC"/>
    <w:rsid w:val="00BE66B7"/>
    <w:rsid w:val="00BF6279"/>
    <w:rsid w:val="00C14389"/>
    <w:rsid w:val="00C21E91"/>
    <w:rsid w:val="00C526E8"/>
    <w:rsid w:val="00C52A64"/>
    <w:rsid w:val="00C825F4"/>
    <w:rsid w:val="00C828D1"/>
    <w:rsid w:val="00CE475B"/>
    <w:rsid w:val="00CE5B3A"/>
    <w:rsid w:val="00D0285A"/>
    <w:rsid w:val="00D03416"/>
    <w:rsid w:val="00D07EE1"/>
    <w:rsid w:val="00D605C3"/>
    <w:rsid w:val="00D63CD9"/>
    <w:rsid w:val="00D74DFF"/>
    <w:rsid w:val="00DA1385"/>
    <w:rsid w:val="00DA14C0"/>
    <w:rsid w:val="00DA6B11"/>
    <w:rsid w:val="00DC617C"/>
    <w:rsid w:val="00DD259E"/>
    <w:rsid w:val="00E04D33"/>
    <w:rsid w:val="00E10B61"/>
    <w:rsid w:val="00E12EAF"/>
    <w:rsid w:val="00E35682"/>
    <w:rsid w:val="00E36CEB"/>
    <w:rsid w:val="00E453B9"/>
    <w:rsid w:val="00E54E59"/>
    <w:rsid w:val="00E61B97"/>
    <w:rsid w:val="00E6471A"/>
    <w:rsid w:val="00E846D1"/>
    <w:rsid w:val="00E85791"/>
    <w:rsid w:val="00EA26D2"/>
    <w:rsid w:val="00EA3A17"/>
    <w:rsid w:val="00ED00DA"/>
    <w:rsid w:val="00EF353B"/>
    <w:rsid w:val="00EF6BE8"/>
    <w:rsid w:val="00F002E5"/>
    <w:rsid w:val="00F062C3"/>
    <w:rsid w:val="00F06E43"/>
    <w:rsid w:val="00F30CBC"/>
    <w:rsid w:val="00F35875"/>
    <w:rsid w:val="00F41670"/>
    <w:rsid w:val="00F93EC1"/>
    <w:rsid w:val="00FA5ABC"/>
    <w:rsid w:val="00FB34B5"/>
    <w:rsid w:val="00FB4C26"/>
    <w:rsid w:val="00FC08AD"/>
    <w:rsid w:val="00FC1E9C"/>
    <w:rsid w:val="00FC3113"/>
    <w:rsid w:val="00FC6272"/>
    <w:rsid w:val="00FD4FA2"/>
    <w:rsid w:val="00FE4261"/>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67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link w:val="FootnoteTextChar"/>
    <w:uiPriority w:val="99"/>
    <w:rsid w:val="00F06E43"/>
    <w:pPr>
      <w:widowControl w:val="0"/>
      <w:spacing w:after="120"/>
      <w:ind w:firstLine="720"/>
      <w:jc w:val="both"/>
    </w:pPr>
  </w:style>
  <w:style w:type="character" w:styleId="FootnoteReference">
    <w:name w:val="footnote reference"/>
    <w:basedOn w:val="DefaultParagraphFont"/>
    <w:uiPriority w:val="99"/>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 w:type="character" w:customStyle="1" w:styleId="FootnoteTextChar">
    <w:name w:val="Footnote Text Char"/>
    <w:basedOn w:val="DefaultParagraphFont"/>
    <w:link w:val="FootnoteText"/>
    <w:uiPriority w:val="99"/>
    <w:rsid w:val="005D6F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9973</Words>
  <Characters>56847</Characters>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2022-10-07T12:38:00Z</dcterms:created>
  <dcterms:modified xsi:type="dcterms:W3CDTF">2022-10-07T12:38:00Z</dcterms:modified>
</cp:coreProperties>
</file>