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AC5" w14:textId="77777777" w:rsidR="00A610BD" w:rsidRDefault="00A610BD">
      <w:pPr>
        <w:tabs>
          <w:tab w:val="center" w:pos="4680"/>
        </w:tabs>
        <w:jc w:val="both"/>
      </w:pPr>
      <w:r>
        <w:tab/>
      </w:r>
      <w:r>
        <w:rPr>
          <w:b/>
          <w:bCs/>
          <w:sz w:val="28"/>
          <w:szCs w:val="28"/>
        </w:rPr>
        <w:t xml:space="preserve">Instructions for Civil Rights Claims Under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footerReference w:type="default" r:id="rId8"/>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9"/>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rPr>
        <w:footnoteReference w:id="3"/>
      </w:r>
    </w:p>
    <w:p w14:paraId="71099CDC" w14:textId="028D2BF6" w:rsidR="00F95913" w:rsidRDefault="00F95913">
      <w:pPr>
        <w:tabs>
          <w:tab w:val="center" w:pos="4680"/>
        </w:tabs>
        <w:jc w:val="both"/>
        <w:rPr>
          <w:b/>
          <w:bCs/>
          <w:sz w:val="28"/>
          <w:szCs w:val="28"/>
        </w:rPr>
      </w:pPr>
    </w:p>
    <w:p w14:paraId="7CDC311D" w14:textId="77777777" w:rsidR="00483A85" w:rsidRDefault="00483A85">
      <w:pPr>
        <w:tabs>
          <w:tab w:val="center" w:pos="4680"/>
        </w:tabs>
        <w:jc w:val="both"/>
        <w:rPr>
          <w:b/>
          <w:bCs/>
          <w:sz w:val="28"/>
          <w:szCs w:val="28"/>
        </w:rPr>
      </w:pPr>
    </w:p>
    <w:p w14:paraId="3B245519" w14:textId="77777777" w:rsidR="005A014B" w:rsidRPr="00483A85" w:rsidRDefault="005A014B" w:rsidP="005A014B">
      <w:pPr>
        <w:tabs>
          <w:tab w:val="center" w:pos="4680"/>
        </w:tabs>
        <w:jc w:val="both"/>
        <w:rPr>
          <w:b/>
          <w:bCs/>
          <w:sz w:val="28"/>
          <w:szCs w:val="28"/>
        </w:rPr>
      </w:pPr>
      <w:r w:rsidRPr="00483A85">
        <w:rPr>
          <w:b/>
          <w:bCs/>
          <w:sz w:val="28"/>
          <w:szCs w:val="28"/>
        </w:rPr>
        <w:t>Comment</w:t>
      </w:r>
    </w:p>
    <w:p w14:paraId="7BE17F03" w14:textId="77777777" w:rsidR="005A014B" w:rsidRPr="005A014B" w:rsidRDefault="005A014B" w:rsidP="005A014B">
      <w:pPr>
        <w:tabs>
          <w:tab w:val="center" w:pos="4680"/>
        </w:tabs>
        <w:jc w:val="both"/>
        <w:rPr>
          <w:b/>
          <w:bCs/>
          <w:sz w:val="28"/>
          <w:szCs w:val="28"/>
          <w:u w:val="single"/>
        </w:rPr>
      </w:pPr>
    </w:p>
    <w:p w14:paraId="14D29B9D" w14:textId="77777777" w:rsidR="005A014B" w:rsidRPr="00EA2605" w:rsidRDefault="005A014B" w:rsidP="00EA2605">
      <w:pPr>
        <w:ind w:firstLine="720"/>
        <w:jc w:val="both"/>
      </w:pPr>
      <w:r w:rsidRPr="00EA2605">
        <w:t>The instructions in this Chapter address Section 1983 claims other than employment claims; as to employment claims, see Chapter Seven.  These instructions address the elements of Section 1983 claims generally</w:t>
      </w:r>
      <w:r w:rsidRPr="00EA2605">
        <w:rPr>
          <w:vertAlign w:val="superscript"/>
        </w:rPr>
        <w:footnoteReference w:id="4"/>
      </w:r>
      <w:r w:rsidRPr="00EA2605">
        <w:rPr>
          <w:vertAlign w:val="superscript"/>
        </w:rPr>
        <w:t xml:space="preserve"> </w:t>
      </w:r>
      <w:r w:rsidRPr="00EA2605">
        <w:t>and of a few pertinent defenses.</w:t>
      </w:r>
      <w:r w:rsidRPr="00EA2605">
        <w:rPr>
          <w:vertAlign w:val="superscript"/>
        </w:rPr>
        <w:footnoteReference w:id="5"/>
      </w:r>
      <w:r w:rsidRPr="00EA2605">
        <w:rPr>
          <w:vertAlign w:val="superscript"/>
        </w:rPr>
        <w:t xml:space="preserve"> </w:t>
      </w:r>
      <w:r w:rsidRPr="00EA2605">
        <w:t xml:space="preserve"> After covering topics concerning damages,</w:t>
      </w:r>
      <w:r w:rsidRPr="00EA2605">
        <w:rPr>
          <w:vertAlign w:val="superscript"/>
        </w:rPr>
        <w:footnoteReference w:id="6"/>
      </w:r>
      <w:r w:rsidRPr="00EA2605">
        <w:rPr>
          <w:vertAlign w:val="superscript"/>
        </w:rPr>
        <w:t xml:space="preserve"> </w:t>
      </w:r>
      <w:r w:rsidRPr="00EA2605">
        <w:t>the instructions also address the elements of particular types of constitutional violations that might give rise to a Section 1983 claim.</w:t>
      </w:r>
      <w:r w:rsidRPr="00EA2605">
        <w:rPr>
          <w:vertAlign w:val="superscript"/>
        </w:rPr>
        <w:footnoteReference w:id="7"/>
      </w:r>
      <w:r w:rsidRPr="00EA2605">
        <w:rPr>
          <w:vertAlign w:val="superscript"/>
        </w:rPr>
        <w:t xml:space="preserve"> </w:t>
      </w:r>
      <w:r w:rsidRPr="00EA2605">
        <w:t xml:space="preserve"> The instructions also address a few related topics such as burdens of proof.</w:t>
      </w:r>
      <w:r w:rsidRPr="00EA2605">
        <w:rPr>
          <w:vertAlign w:val="superscript"/>
        </w:rPr>
        <w:footnoteReference w:id="8"/>
      </w:r>
      <w:r w:rsidRPr="00EA2605">
        <w:rPr>
          <w:vertAlign w:val="superscript"/>
        </w:rPr>
        <w:t xml:space="preserve">  </w:t>
      </w:r>
      <w:r w:rsidRPr="00EA2605">
        <w:t xml:space="preserve">The instructions generally do not focus on procedural matters that would </w:t>
      </w:r>
      <w:r w:rsidRPr="00EA2605">
        <w:lastRenderedPageBreak/>
        <w:t>not affect how the jury is instructed.</w:t>
      </w:r>
      <w:r w:rsidRPr="00EA2605">
        <w:rPr>
          <w:vertAlign w:val="superscript"/>
        </w:rPr>
        <w:footnoteReference w:id="9"/>
      </w:r>
    </w:p>
    <w:p w14:paraId="713ABAC2" w14:textId="77777777" w:rsidR="005A014B" w:rsidRDefault="005A014B">
      <w:pPr>
        <w:tabs>
          <w:tab w:val="center" w:pos="4680"/>
        </w:tabs>
        <w:jc w:val="both"/>
        <w:rPr>
          <w:b/>
          <w:bCs/>
          <w:sz w:val="28"/>
          <w:szCs w:val="28"/>
        </w:rPr>
        <w:sectPr w:rsidR="005A014B"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10"/>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rPr>
        <w:footnoteReference w:id="10"/>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xml:space="preserve">, N.J., 860 F.2d 1199, 1204 n.9 (3d Cir. 1988) (same).  However, some other Third Circuit opinions suggest that </w:t>
      </w:r>
      <w:r>
        <w:lastRenderedPageBreak/>
        <w:t>the burden of proof regarding qualified immunity may vary with the element in question.</w:t>
      </w:r>
      <w:r>
        <w:rPr>
          <w:rStyle w:val="FootnoteReference"/>
        </w:rPr>
        <w:footnoteReference w:id="11"/>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rPr>
        <w:footnoteReference w:id="12"/>
      </w:r>
    </w:p>
    <w:p w14:paraId="16CF7351" w14:textId="77777777" w:rsidR="00A610BD" w:rsidRDefault="00A610BD">
      <w:pPr>
        <w:jc w:val="both"/>
      </w:pPr>
    </w:p>
    <w:p w14:paraId="2F879776" w14:textId="77777777"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1"/>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77777777"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51BE0153" w14:textId="77777777" w:rsidR="00A610BD" w:rsidRDefault="00A610BD">
      <w:pPr>
        <w:ind w:firstLine="720"/>
        <w:jc w:val="both"/>
      </w:pPr>
      <w:r>
        <w:t>If the Section 1983 claim asserts a conspiracy to deprive the plaintiff of civil rights,</w:t>
      </w:r>
      <w:r>
        <w:rPr>
          <w:rStyle w:val="FootnoteReference"/>
        </w:rPr>
        <w:footnoteReference w:id="13"/>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w:t>
      </w:r>
      <w:r w:rsidR="001B783C">
        <w:t xml:space="preserve"> </w:t>
      </w:r>
      <w:r>
        <w:t>Supp.</w:t>
      </w:r>
      <w:r w:rsidR="001B783C">
        <w:t xml:space="preserve"> </w:t>
      </w:r>
      <w:r>
        <w:t>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rPr>
        <w:footnoteReference w:id="14"/>
      </w:r>
      <w:r>
        <w:t xml:space="preserve"> Instructions 12:31, 12:32, 12:33, &amp; 12:43 (providing suggested instructions regarding a Section 1983 conspiracy claim).</w:t>
      </w:r>
    </w:p>
    <w:p w14:paraId="0145AD37"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12"/>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32B3AAD5"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rPr>
        <w:footnoteReference w:id="15"/>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8B1545">
        <w:t xml:space="preserve"> </w:t>
      </w:r>
      <w:r>
        <w:t>“</w:t>
      </w:r>
      <w:r w:rsidR="00A610BD">
        <w:t>merely private conduct, no matter how discriminatory or wrongful.</w:t>
      </w:r>
      <w:r>
        <w:t>”</w:t>
      </w:r>
      <w:r w:rsidR="008B1545">
        <w:t xml:space="preserve"> </w:t>
      </w:r>
      <w:r>
        <w:t>’</w:t>
      </w:r>
      <w:r w:rsidR="008B1545">
        <w:t xml:space="preserve"> </w:t>
      </w:r>
      <w:r>
        <w:t>”</w:t>
      </w:r>
      <w:r w:rsidR="00A610BD">
        <w:t xml:space="preserve">  </w:t>
      </w:r>
      <w:r w:rsidR="00A610BD">
        <w:rPr>
          <w:i/>
          <w:iCs/>
        </w:rPr>
        <w:t xml:space="preserve">American Mfrs. Mut. Ins. Co. v. </w:t>
      </w:r>
      <w:r w:rsidR="00A610BD">
        <w:rPr>
          <w:i/>
          <w:iCs/>
        </w:rPr>
        <w:lastRenderedPageBreak/>
        <w:t>Sullivan</w:t>
      </w:r>
      <w:r w:rsidR="00A610BD">
        <w:t xml:space="preserve">, 526 U.S. 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8B1545">
        <w:t xml:space="preserve"> </w:t>
      </w:r>
      <w:r>
        <w:t>”</w:t>
      </w:r>
      <w:r w:rsidR="00A610BD">
        <w:rPr>
          <w:i/>
          <w:iCs/>
        </w:rPr>
        <w:t xml:space="preserve"> National Collegiate Athletic Ass</w:t>
      </w:r>
      <w:r w:rsidR="00E4197A">
        <w:rPr>
          <w:i/>
          <w:iCs/>
        </w:rPr>
        <w:t>’</w:t>
      </w:r>
      <w:r w:rsidR="00A610BD">
        <w:rPr>
          <w:i/>
          <w:iCs/>
        </w:rPr>
        <w:t>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8B1545">
        <w:t xml:space="preserve"> </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rPr>
        <w:footnoteReference w:id="16"/>
      </w:r>
    </w:p>
    <w:p w14:paraId="41E12164" w14:textId="77777777" w:rsidR="00A610BD" w:rsidRDefault="00A610BD">
      <w:pPr>
        <w:jc w:val="both"/>
      </w:pPr>
    </w:p>
    <w:p w14:paraId="74CAD7D0" w14:textId="77777777"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2F43936C"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sidR="008B1545">
        <w:t xml:space="preserve"> </w:t>
      </w:r>
      <w:r w:rsidR="0076126A">
        <w:t>”</w:t>
      </w:r>
      <w:r>
        <w:rPr>
          <w:rStyle w:val="FootnoteReference"/>
        </w:rPr>
        <w:footnoteReference w:id="17"/>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rPr>
        <w:footnoteReference w:id="18"/>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rPr>
        <w:footnoteReference w:id="19"/>
      </w:r>
    </w:p>
    <w:p w14:paraId="0819A17C" w14:textId="77777777" w:rsidR="00016403" w:rsidRDefault="0076126A" w:rsidP="00016403">
      <w:pPr>
        <w:pStyle w:val="ListParagraph"/>
        <w:numPr>
          <w:ilvl w:val="0"/>
          <w:numId w:val="1"/>
        </w:numPr>
        <w:jc w:val="both"/>
      </w:pPr>
      <w:bookmarkStart w:id="0" w:name="_GoBack"/>
      <w:bookmarkEnd w:id="0"/>
      <w:r>
        <w:lastRenderedPageBreak/>
        <w:t>A finding that the government “</w:t>
      </w:r>
      <w:r w:rsidR="00A610BD">
        <w:t>knowingly accept[ed] the benefits derived from unconstitutional behavior.</w:t>
      </w:r>
      <w:r>
        <w:t>”</w:t>
      </w:r>
      <w:r w:rsidR="00A610BD">
        <w:rPr>
          <w:rStyle w:val="FootnoteReference"/>
        </w:rPr>
        <w:footnoteReference w:id="20"/>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rPr>
        <w:footnoteReference w:id="21"/>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3E437C3F" w:rsidR="00016403" w:rsidRDefault="00A610BD" w:rsidP="00016403">
      <w:pPr>
        <w:pStyle w:val="ListParagraph"/>
        <w:numPr>
          <w:ilvl w:val="0"/>
          <w:numId w:val="1"/>
        </w:numPr>
        <w:jc w:val="both"/>
      </w:pPr>
      <w:r>
        <w:t xml:space="preserve">A finding that the action </w:t>
      </w:r>
      <w:r w:rsidR="0076126A">
        <w:t>“</w:t>
      </w:r>
      <w:r w:rsidR="008B1545">
        <w:t xml:space="preserve"> </w:t>
      </w:r>
      <w:r w:rsidR="0076126A">
        <w:t>‘</w:t>
      </w:r>
      <w:r>
        <w:t xml:space="preserve">result[ed] from the State's exercise of </w:t>
      </w:r>
      <w:r w:rsidR="0076126A">
        <w:t>“</w:t>
      </w:r>
      <w:r>
        <w:t>coercive power.</w:t>
      </w:r>
      <w:r w:rsidR="0076126A">
        <w:t>”</w:t>
      </w:r>
      <w:r w:rsidR="008B1545">
        <w:t xml:space="preserve"> </w:t>
      </w:r>
      <w:r w:rsidR="0076126A">
        <w:t>’</w:t>
      </w:r>
      <w:r w:rsidR="008B1545">
        <w:t xml:space="preserve"> </w:t>
      </w:r>
      <w:r w:rsidR="0076126A">
        <w:t>”</w:t>
      </w:r>
      <w:r>
        <w:rPr>
          <w:rStyle w:val="FootnoteReference"/>
        </w:rPr>
        <w:footnoteReference w:id="22"/>
      </w:r>
    </w:p>
    <w:p w14:paraId="6EADB915" w14:textId="77777777" w:rsidR="00016403" w:rsidRDefault="00016403" w:rsidP="00016403">
      <w:pPr>
        <w:pStyle w:val="ListParagraph"/>
        <w:jc w:val="both"/>
      </w:pPr>
    </w:p>
    <w:p w14:paraId="19A23BBD" w14:textId="31AD863F"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8B1545" w:rsidRPr="008B1545">
        <w:t xml:space="preserve"> </w:t>
      </w:r>
      <w:r w:rsidR="008B1545">
        <w:t>” ’ ”</w:t>
      </w:r>
      <w:r>
        <w:rPr>
          <w:rStyle w:val="FootnoteReference"/>
        </w:rPr>
        <w:footnoteReference w:id="23"/>
      </w:r>
    </w:p>
    <w:p w14:paraId="7FDA84B8" w14:textId="77777777" w:rsidR="00016403" w:rsidRDefault="00016403" w:rsidP="00016403">
      <w:pPr>
        <w:pStyle w:val="ListParagraph"/>
        <w:jc w:val="both"/>
      </w:pPr>
    </w:p>
    <w:p w14:paraId="7D22767C" w14:textId="6903E2B2"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rsidR="008B1545" w:rsidRPr="008B1545">
        <w:t xml:space="preserve"> </w:t>
      </w:r>
      <w:r w:rsidR="008B1545">
        <w:t>” ’ ”</w:t>
      </w:r>
      <w:r w:rsidR="00A610BD">
        <w:rPr>
          <w:rStyle w:val="FootnoteReference"/>
        </w:rPr>
        <w:footnoteReference w:id="24"/>
      </w:r>
    </w:p>
    <w:p w14:paraId="2E2865C3" w14:textId="77777777" w:rsidR="00016403" w:rsidRDefault="00016403" w:rsidP="00016403">
      <w:pPr>
        <w:pStyle w:val="ListParagraph"/>
        <w:jc w:val="both"/>
      </w:pPr>
    </w:p>
    <w:p w14:paraId="50977473" w14:textId="6D2D19EC" w:rsidR="001D6838" w:rsidRDefault="00A610BD" w:rsidP="001D6838">
      <w:pPr>
        <w:pStyle w:val="ListParagraph"/>
        <w:numPr>
          <w:ilvl w:val="0"/>
          <w:numId w:val="1"/>
        </w:numPr>
        <w:jc w:val="both"/>
      </w:pPr>
      <w:r>
        <w:t xml:space="preserve">A finding that </w:t>
      </w:r>
      <w:r w:rsidR="0076126A">
        <w:t>“‘</w:t>
      </w:r>
      <w:r>
        <w:t xml:space="preserve">a nominally private entity . . . has been delegated a public function by the </w:t>
      </w:r>
      <w:r>
        <w:lastRenderedPageBreak/>
        <w:t>State.</w:t>
      </w:r>
      <w:r w:rsidR="0076126A">
        <w:t>’</w:t>
      </w:r>
      <w:r w:rsidR="008B1545">
        <w:t xml:space="preserve"> </w:t>
      </w:r>
      <w:r w:rsidR="0076126A">
        <w:t>”</w:t>
      </w:r>
      <w:r>
        <w:rPr>
          <w:rStyle w:val="FootnoteReference"/>
        </w:rPr>
        <w:footnoteReference w:id="25"/>
      </w:r>
    </w:p>
    <w:p w14:paraId="0337D239" w14:textId="77777777" w:rsidR="001D6838" w:rsidRDefault="001D6838" w:rsidP="001D6838">
      <w:pPr>
        <w:pStyle w:val="ListParagraph"/>
      </w:pPr>
    </w:p>
    <w:p w14:paraId="23EDB5AD" w14:textId="5AC87A20" w:rsidR="00A610BD" w:rsidRDefault="00A610BD" w:rsidP="00016403">
      <w:pPr>
        <w:pStyle w:val="ListParagraph"/>
        <w:numPr>
          <w:ilvl w:val="0"/>
          <w:numId w:val="1"/>
        </w:numPr>
        <w:jc w:val="both"/>
      </w:pPr>
      <w:r>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8B1545" w:rsidRPr="008B1545">
        <w:t xml:space="preserve"> </w:t>
      </w:r>
      <w:r w:rsidR="008B1545">
        <w:t>” ’ ”</w:t>
      </w:r>
      <w:r w:rsidR="001D6838">
        <w:rPr>
          <w:rStyle w:val="FootnoteReference"/>
        </w:rPr>
        <w:footnoteReference w:id="26"/>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21545D4C"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F879F3">
        <w:rPr>
          <w:rStyle w:val="FootnoteReference"/>
        </w:rPr>
        <w:footnoteReference w:id="27"/>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rPr>
        <w:footnoteReference w:id="28"/>
      </w:r>
      <w:r w:rsidR="00A610BD">
        <w:t xml:space="preserve"> whether such a defendant was </w:t>
      </w:r>
      <w:r w:rsidR="00A610BD">
        <w:lastRenderedPageBreak/>
        <w:t>acting under color of state law.</w:t>
      </w:r>
      <w:r w:rsidR="00A610BD">
        <w:rPr>
          <w:rStyle w:val="FootnoteReference"/>
        </w:rPr>
        <w:footnoteReference w:id="29"/>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rPr>
        <w:footnoteReference w:id="30"/>
      </w:r>
      <w:r>
        <w:t xml:space="preserve">  The court should list any relevant factors in Instruction 4.4.2.  In the case of a police officer defendant, factors could include:</w:t>
      </w:r>
    </w:p>
    <w:p w14:paraId="5A0C2A02" w14:textId="77777777" w:rsidR="00A610BD" w:rsidRDefault="00A610BD">
      <w:pPr>
        <w:jc w:val="both"/>
      </w:pPr>
    </w:p>
    <w:p w14:paraId="1FB4644C" w14:textId="6D36963F" w:rsidR="006043E4" w:rsidRDefault="00A610BD" w:rsidP="006043E4">
      <w:pPr>
        <w:pStyle w:val="ListParagraph"/>
        <w:numPr>
          <w:ilvl w:val="0"/>
          <w:numId w:val="2"/>
        </w:numPr>
        <w:jc w:val="both"/>
      </w:pPr>
      <w:r>
        <w:t>Whether the defendant was on duty.</w:t>
      </w:r>
      <w:r>
        <w:rPr>
          <w:rStyle w:val="FootnoteReference"/>
        </w:rPr>
        <w:footnoteReference w:id="31"/>
      </w:r>
      <w:r>
        <w:t xml:space="preserve">  This factor is relevant but not determinative.  An off-duty officer who purports to exercise official authority acts under color of state law.</w:t>
      </w:r>
      <w:r>
        <w:rPr>
          <w:rStyle w:val="FootnoteReference"/>
        </w:rPr>
        <w:footnoteReference w:id="32"/>
      </w:r>
      <w:r>
        <w:t xml:space="preserve">  Conversely, an officer who is pursuing purely private motives, in an interaction unconnected with his or her official duties, and who does not purport to exercise official </w:t>
      </w:r>
      <w:r>
        <w:lastRenderedPageBreak/>
        <w:t>authority does not act under color of state law.</w:t>
      </w:r>
      <w:r>
        <w:rPr>
          <w:rStyle w:val="FootnoteReference"/>
        </w:rPr>
        <w:footnoteReference w:id="33"/>
      </w:r>
    </w:p>
    <w:p w14:paraId="622EE340" w14:textId="77777777" w:rsidR="001A0B9C" w:rsidRDefault="001A0B9C" w:rsidP="001A0B9C">
      <w:pPr>
        <w:pStyle w:val="ListParagraph"/>
        <w:jc w:val="both"/>
      </w:pP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rPr>
        <w:footnoteReference w:id="34"/>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35"/>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rPr>
        <w:footnoteReference w:id="36"/>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rPr>
        <w:footnoteReference w:id="37"/>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rPr>
        <w:footnoteReference w:id="38"/>
      </w:r>
    </w:p>
    <w:p w14:paraId="5BD11C27" w14:textId="77777777" w:rsidR="006043E4" w:rsidRDefault="00A610BD" w:rsidP="006043E4">
      <w:pPr>
        <w:pStyle w:val="ListParagraph"/>
        <w:numPr>
          <w:ilvl w:val="0"/>
          <w:numId w:val="2"/>
        </w:numPr>
        <w:jc w:val="both"/>
      </w:pPr>
      <w:r>
        <w:lastRenderedPageBreak/>
        <w:t>Whether the defendant was wearing police clothing.</w:t>
      </w:r>
      <w:r>
        <w:rPr>
          <w:rStyle w:val="FootnoteReference"/>
        </w:rPr>
        <w:footnoteReference w:id="39"/>
      </w:r>
    </w:p>
    <w:p w14:paraId="0031F41D" w14:textId="77777777" w:rsidR="006043E4" w:rsidRDefault="006043E4" w:rsidP="006043E4">
      <w:pPr>
        <w:pStyle w:val="ListParagraph"/>
        <w:jc w:val="both"/>
      </w:pPr>
    </w:p>
    <w:p w14:paraId="176EBE40" w14:textId="112F5EC1" w:rsidR="006043E4" w:rsidRDefault="00A610BD" w:rsidP="006043E4">
      <w:pPr>
        <w:pStyle w:val="ListParagraph"/>
        <w:numPr>
          <w:ilvl w:val="0"/>
          <w:numId w:val="2"/>
        </w:numPr>
        <w:jc w:val="both"/>
      </w:pPr>
      <w:r>
        <w:t>Whether the defendant showed a badge.</w:t>
      </w:r>
      <w:r>
        <w:rPr>
          <w:rStyle w:val="FootnoteReference"/>
        </w:rPr>
        <w:footnoteReference w:id="40"/>
      </w:r>
    </w:p>
    <w:p w14:paraId="7E77E1C8" w14:textId="77777777" w:rsidR="001A0B9C" w:rsidRDefault="001A0B9C" w:rsidP="001A0B9C">
      <w:pPr>
        <w:pStyle w:val="ListParagraph"/>
      </w:pP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rPr>
        <w:footnoteReference w:id="41"/>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rPr>
        <w:footnoteReference w:id="42"/>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rPr>
        <w:footnoteReference w:id="43"/>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lastRenderedPageBreak/>
        <w:t>Whether the defendant was on duty.</w:t>
      </w:r>
      <w:r>
        <w:rPr>
          <w:rStyle w:val="FootnoteReference"/>
        </w:rPr>
        <w:footnoteReference w:id="44"/>
      </w:r>
      <w:r>
        <w:t xml:space="preserve">  This factor is relevant but not determinative.  An off-duty official who purports to exercise official authority acts under color of state law.</w:t>
      </w:r>
      <w:r>
        <w:rPr>
          <w:rStyle w:val="FootnoteReference"/>
        </w:rPr>
        <w:footnoteReference w:id="45"/>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rPr>
        <w:footnoteReference w:id="46"/>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47"/>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rPr>
        <w:footnoteReference w:id="48"/>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rPr>
        <w:footnoteReference w:id="49"/>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t>Whether the defendant identified himself or herself as a government official.</w:t>
      </w:r>
      <w:r>
        <w:rPr>
          <w:rStyle w:val="FootnoteReference"/>
        </w:rPr>
        <w:footnoteReference w:id="50"/>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rPr>
        <w:footnoteReference w:id="51"/>
      </w:r>
    </w:p>
    <w:p w14:paraId="735B2513" w14:textId="77777777" w:rsidR="006043E4" w:rsidRDefault="00A610BD" w:rsidP="006043E4">
      <w:pPr>
        <w:pStyle w:val="ListParagraph"/>
        <w:numPr>
          <w:ilvl w:val="0"/>
          <w:numId w:val="3"/>
        </w:numPr>
        <w:jc w:val="both"/>
      </w:pPr>
      <w:r>
        <w:lastRenderedPageBreak/>
        <w:t>Whether the defendant showed a badge.</w:t>
      </w:r>
      <w:r>
        <w:rPr>
          <w:rStyle w:val="FootnoteReference"/>
        </w:rPr>
        <w:footnoteReference w:id="52"/>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487C8D0F"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sidR="0077488E">
        <w:rPr>
          <w:b/>
          <w:bCs/>
          <w:sz w:val="28"/>
          <w:szCs w:val="28"/>
        </w:rPr>
        <w:t>–</w:t>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rPr>
        <w:footnoteReference w:id="53"/>
      </w:r>
      <w:r>
        <w:t xml:space="preserve">  There is some doubt whether a private entity can be held liable under Section </w:t>
      </w:r>
      <w:r>
        <w:lastRenderedPageBreak/>
        <w:t>1983 on a theory of respondeat superior.</w:t>
      </w:r>
      <w:r>
        <w:rPr>
          <w:rStyle w:val="FootnoteReference"/>
        </w:rPr>
        <w:footnoteReference w:id="54"/>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rPr>
        <w:footnoteReference w:id="55"/>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rPr>
        <w:footnoteReference w:id="56"/>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rsidR="00DA1B57">
        <w:lastRenderedPageBreak/>
        <w:t>“</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rPr>
        <w:footnoteReference w:id="57"/>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rPr>
        <w:footnoteReference w:id="58"/>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 xml:space="preserve">Adickes v. S. H. Kress &amp; </w:t>
      </w:r>
      <w:r>
        <w:rPr>
          <w:i/>
          <w:iCs/>
        </w:rPr>
        <w:lastRenderedPageBreak/>
        <w:t>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rPr>
        <w:footnoteReference w:id="59"/>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rPr>
        <w:footnoteReference w:id="60"/>
      </w:r>
    </w:p>
    <w:p w14:paraId="7761FA94" w14:textId="77777777" w:rsidR="00A610BD" w:rsidRDefault="00A610BD">
      <w:pPr>
        <w:jc w:val="both"/>
      </w:pPr>
    </w:p>
    <w:p w14:paraId="04D70884" w14:textId="77777777"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w:t>
      </w:r>
      <w:r>
        <w:lastRenderedPageBreak/>
        <w:t>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w:t>
      </w:r>
      <w:r w:rsidRPr="00650F70">
        <w:lastRenderedPageBreak/>
        <w:t>had previously been in use in the Third Circuit.</w:t>
      </w:r>
      <w:r w:rsidRPr="00650F70">
        <w:rPr>
          <w:rStyle w:val="FootnoteReference"/>
        </w:rPr>
        <w:footnoteReference w:id="61"/>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rPr>
        <w:footnoteReference w:id="62"/>
      </w:r>
      <w:r w:rsidRPr="00650F70">
        <w:t xml:space="preserve"> and a deliberate-indifference theory</w:t>
      </w:r>
      <w:r w:rsidR="00640B5E">
        <w:t xml:space="preserve"> – </w:t>
      </w:r>
      <w:r w:rsidRPr="00650F70">
        <w:t xml:space="preserve">were invoked by the plaintiff and the </w:t>
      </w:r>
      <w:r w:rsidRPr="00650F70">
        <w:lastRenderedPageBreak/>
        <w:t xml:space="preserve">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rPr>
        <w:footnoteReference w:id="63"/>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rPr>
        <w:footnoteReference w:id="64"/>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73960C9E" w14:textId="31AC2C3C" w:rsidR="007F3DE4" w:rsidRPr="007F3DE4" w:rsidRDefault="00D86B93" w:rsidP="007F3DE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xml:space="preserve">.  It left for another day the question whether and under what </w:t>
      </w:r>
      <w:r w:rsidRPr="00D86B93">
        <w:lastRenderedPageBreak/>
        <w:t>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w:t>
      </w:r>
      <w:r w:rsidR="007F3DE4">
        <w:t xml:space="preserve">; </w:t>
      </w:r>
      <w:r w:rsidR="007F3DE4" w:rsidRPr="007F3DE4">
        <w:t xml:space="preserve">cf. </w:t>
      </w:r>
      <w:r w:rsidR="007F3DE4" w:rsidRPr="007F3DE4">
        <w:rPr>
          <w:i/>
        </w:rPr>
        <w:t>Palakovic v. Wetzel</w:t>
      </w:r>
      <w:r w:rsidR="007F3DE4" w:rsidRPr="007F3DE4">
        <w:t xml:space="preserve">, 854 F.3d 209, 225 n.17 (3d Cir. 2017) (noting that </w:t>
      </w:r>
      <w:r w:rsidR="007F3DE4" w:rsidRPr="007F3DE4">
        <w:rPr>
          <w:i/>
        </w:rPr>
        <w:t>Iqbal</w:t>
      </w:r>
      <w:r w:rsidR="007F3DE4" w:rsidRPr="007F3DE4">
        <w:t xml:space="preserve"> may have called into question “whether a supervisor may be held indirectly liable for deficient policies under </w:t>
      </w:r>
      <w:r w:rsidR="007F3DE4" w:rsidRPr="007F3DE4">
        <w:rPr>
          <w:i/>
        </w:rPr>
        <w:t>Sample</w:t>
      </w:r>
      <w:r w:rsidR="007F3DE4" w:rsidRPr="007F3DE4">
        <w:t>,” but</w:t>
      </w:r>
      <w:r w:rsidR="007F3DE4" w:rsidRPr="007F3DE4">
        <w:rPr>
          <w:i/>
        </w:rPr>
        <w:t xml:space="preserve"> </w:t>
      </w:r>
      <w:r w:rsidR="007F3DE4" w:rsidRPr="007F3DE4">
        <w:t xml:space="preserve">avoiding that question because the complaint was sufficient to support a direct claim against prison supervisors under the deliberate indifference test of </w:t>
      </w:r>
      <w:r w:rsidR="007F3DE4" w:rsidRPr="007F3DE4">
        <w:rPr>
          <w:i/>
        </w:rPr>
        <w:t>Farmer v. Brennan</w:t>
      </w:r>
      <w:r w:rsidR="007F3DE4" w:rsidRPr="007F3DE4">
        <w:t xml:space="preserve">, 511 U.S. 825 (1994)).  </w:t>
      </w:r>
    </w:p>
    <w:p w14:paraId="3529C447" w14:textId="77777777" w:rsidR="007F3DE4" w:rsidRPr="007F3DE4" w:rsidRDefault="007F3DE4" w:rsidP="007F3DE4">
      <w:pPr>
        <w:ind w:firstLine="720"/>
        <w:jc w:val="both"/>
      </w:pPr>
    </w:p>
    <w:p w14:paraId="5E6EFC56" w14:textId="77777777" w:rsidR="007F3DE4" w:rsidRPr="007F3DE4" w:rsidRDefault="007F3DE4" w:rsidP="007F3DE4">
      <w:pPr>
        <w:ind w:firstLine="720"/>
        <w:jc w:val="both"/>
      </w:pPr>
      <w:r w:rsidRPr="007F3DE4">
        <w:rPr>
          <w:i/>
        </w:rPr>
        <w:t xml:space="preserve">Palakovic </w:t>
      </w:r>
      <w:r w:rsidRPr="007F3DE4">
        <w:t xml:space="preserve">concluded that supervisors could be directly liable because of allegations that a prisoner diagnosed with serious mental health issues was placed in solitary confinement and “the increasingly obvious reality that extended stays in solitary confinement can cause serious damage to mental health.” 854 F.3d at 226. For similar reasons, it held that a failure to train claim against supervisory defendants was sufficient because of allegations that the supervisors “provided essentially no training on suicide, mental health, or the impact of solitary confinement, and simply acquiesced in the repeated placement of mentally ill prisoners . . . in solitary confinement.” </w:t>
      </w:r>
      <w:r w:rsidRPr="007F3DE4">
        <w:rPr>
          <w:i/>
        </w:rPr>
        <w:t>Id</w:t>
      </w:r>
      <w:r w:rsidRPr="007F3DE4">
        <w:t xml:space="preserve">. at 234. Similarly, in </w:t>
      </w:r>
      <w:r w:rsidRPr="007F3DE4">
        <w:rPr>
          <w:i/>
        </w:rPr>
        <w:t>Wharton v. Danberg</w:t>
      </w:r>
      <w:r w:rsidRPr="007F3DE4">
        <w:t>, 854 F.3d 234, 243 (3d Cir. 2017), the court of appeals stated that “supervisors are liable only for their own acts,” and that in the context of a case involving the detention of prisoners beyond when they should be released, are liable only if they acted with deliberate indifference to the constitutional harm done by their policy, practice, or custom.</w:t>
      </w:r>
      <w:r w:rsidRPr="007F3DE4">
        <w:rPr>
          <w:i/>
        </w:rPr>
        <w:t xml:space="preserve"> Cf</w:t>
      </w:r>
      <w:r w:rsidRPr="007F3DE4">
        <w:t xml:space="preserve">. </w:t>
      </w:r>
      <w:r w:rsidRPr="007F3DE4">
        <w:rPr>
          <w:i/>
        </w:rPr>
        <w:t>Ziglar v. Abbasi</w:t>
      </w:r>
      <w:r w:rsidRPr="007F3DE4">
        <w:t>, 137 S.</w:t>
      </w:r>
      <w:r w:rsidR="001B783C">
        <w:t xml:space="preserve"> </w:t>
      </w:r>
      <w:r w:rsidRPr="007F3DE4">
        <w:t xml:space="preserve">Ct. 1843, 1864 (2017) (assuming, without deciding, that the substantive standard for a </w:t>
      </w:r>
      <w:r w:rsidRPr="007F3DE4">
        <w:rPr>
          <w:i/>
        </w:rPr>
        <w:t>Bivens</w:t>
      </w:r>
      <w:r w:rsidRPr="007F3DE4">
        <w:t xml:space="preserve"> claim against a warden for allowing prison guards to abuse detainees would be whether the warden showed “deliberate indifference” to prisoner abuse</w:t>
      </w:r>
      <w:r w:rsidRPr="007F3DE4">
        <w:rPr>
          <w:i/>
        </w:rPr>
        <w:t xml:space="preserve"> </w:t>
      </w:r>
      <w:r w:rsidRPr="007F3DE4">
        <w:t xml:space="preserve">while stating that “a </w:t>
      </w:r>
      <w:r w:rsidRPr="007F3DE4">
        <w:rPr>
          <w:i/>
        </w:rPr>
        <w:t>Bivens</w:t>
      </w:r>
      <w:r w:rsidRPr="007F3DE4">
        <w:t xml:space="preserve"> claim is brought against the individual official for his or her own acts, not the acts of others,” and that “</w:t>
      </w:r>
      <w:r w:rsidRPr="007F3DE4">
        <w:rPr>
          <w:i/>
        </w:rPr>
        <w:t>Bivens</w:t>
      </w:r>
      <w:r w:rsidRPr="007F3DE4">
        <w:t xml:space="preserve"> is not designed to hold officers responsible for acts of their subordinates”).</w:t>
      </w:r>
    </w:p>
    <w:p w14:paraId="6CA63F0A" w14:textId="77777777" w:rsidR="00A37B8F" w:rsidRPr="00A37B8F" w:rsidRDefault="00A37B8F" w:rsidP="00CA1D4D">
      <w:pPr>
        <w:ind w:firstLine="720"/>
        <w:jc w:val="both"/>
      </w:pPr>
    </w:p>
    <w:p w14:paraId="40CD4457" w14:textId="77777777" w:rsidR="00A37B8F" w:rsidRPr="00583F4E" w:rsidRDefault="00A37B8F" w:rsidP="00533944">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A55758">
        <w:rPr>
          <w:i/>
        </w:rPr>
        <w:t>See also</w:t>
      </w:r>
      <w:r w:rsidR="00D86B93" w:rsidRPr="00D86B93">
        <w:t xml:space="preserve">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rPr>
        <w:footnoteReference w:id="65"/>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 xml:space="preserve">[t]he scope of his responsibilities are much more narrow than that of a governor or state attorney general, and logically demand more </w:t>
      </w:r>
      <w:r>
        <w:lastRenderedPageBreak/>
        <w:t>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3D2DDE11" w:rsidR="00A610BD" w:rsidRDefault="00A610BD">
      <w:pPr>
        <w:ind w:firstLine="720"/>
        <w:jc w:val="both"/>
      </w:pPr>
      <w:r>
        <w:t>A supervisor with policymaking authority may also, in an appropriate case, be liable based on the failure to adopt a policy.</w:t>
      </w:r>
      <w:r>
        <w:rPr>
          <w:rStyle w:val="FootnoteReference"/>
        </w:rPr>
        <w:footnoteReference w:id="66"/>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8B1545" w:rsidRPr="008B1545">
        <w:t xml:space="preserve"> </w:t>
      </w:r>
      <w:r w:rsidR="008B1545">
        <w:t>’ ”</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575E6C19" w14:textId="77777777" w:rsidR="00355C53" w:rsidRPr="00EC6584" w:rsidRDefault="00A610BD" w:rsidP="00355C53">
      <w:pPr>
        <w:numPr>
          <w:ilvl w:val="12"/>
          <w:numId w:val="0"/>
        </w:numPr>
        <w:spacing w:after="120"/>
        <w:ind w:firstLine="720"/>
        <w:jc w:val="both"/>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 xml:space="preserve">2013) (non-precedential opinion) (reversing grant of judgment as a matter of law because jury could have “reasonably inferred” that officer “must have seen” the beating by other officers “and declined to </w:t>
      </w:r>
      <w:r w:rsidR="00C94BBF" w:rsidRPr="00355C53">
        <w:t>intervene”).</w:t>
      </w:r>
      <w:r w:rsidR="00355C53" w:rsidRPr="00355C53">
        <w:t xml:space="preserve"> </w:t>
      </w:r>
      <w:r w:rsidR="00355C53" w:rsidRPr="00A55758">
        <w:rPr>
          <w:i/>
        </w:rPr>
        <w:t>Cf</w:t>
      </w:r>
      <w:r w:rsidR="00355C53" w:rsidRPr="00355C53">
        <w:t xml:space="preserve">. </w:t>
      </w:r>
      <w:r w:rsidR="00355C53" w:rsidRPr="00D6597B">
        <w:rPr>
          <w:i/>
        </w:rPr>
        <w:t>Ricks v. Shover</w:t>
      </w:r>
      <w:r w:rsidR="00355C53" w:rsidRPr="00D6597B">
        <w:t>, 891 F.3d 468, 479 (3d Cir. 2018) (holding that a failure to intervene claim was properly dismissed because the “encounter was so brief” that the officer “simply would have had no opportunity to instruct” the other officer to stop).</w:t>
      </w:r>
    </w:p>
    <w:p w14:paraId="5145B3A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A093A92" w14:textId="77777777"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478C2CB2" w14:textId="77777777" w:rsidR="00A610BD" w:rsidRDefault="00A610BD">
      <w:pPr>
        <w:jc w:val="both"/>
      </w:pPr>
      <w:r>
        <w:rPr>
          <w:b/>
          <w:bCs/>
          <w:sz w:val="28"/>
          <w:szCs w:val="28"/>
        </w:rPr>
        <w:t>Model</w:t>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77777777"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5AB5F4DA" w:rsidR="00A610BD" w:rsidRDefault="00A610BD" w:rsidP="00886831">
      <w:pPr>
        <w:pStyle w:val="ListParagraph"/>
        <w:numPr>
          <w:ilvl w:val="0"/>
          <w:numId w:val="14"/>
        </w:numPr>
        <w:jc w:val="both"/>
      </w:pPr>
      <w:r>
        <w:t>a rule or regulation promulgated, adopted, or ratified by [municipality</w:t>
      </w:r>
      <w:r w:rsidR="000D09A4">
        <w:t>’</w:t>
      </w:r>
      <w:r>
        <w:t>s] legislative body;</w:t>
      </w:r>
    </w:p>
    <w:p w14:paraId="3DB88EE2" w14:textId="77777777" w:rsidR="00A610BD" w:rsidRDefault="00A610BD">
      <w:pPr>
        <w:jc w:val="both"/>
      </w:pPr>
    </w:p>
    <w:p w14:paraId="6C4E5AC0" w14:textId="1EEBCE6A" w:rsidR="00A610BD" w:rsidRDefault="00A610BD" w:rsidP="00886831">
      <w:pPr>
        <w:pStyle w:val="ListParagraph"/>
        <w:numPr>
          <w:ilvl w:val="0"/>
          <w:numId w:val="16"/>
        </w:numPr>
        <w:jc w:val="both"/>
      </w:pPr>
      <w:r>
        <w:t>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451AE69B" w:rsidR="00A610BD" w:rsidRDefault="00A610BD" w:rsidP="00886831">
      <w:pPr>
        <w:pStyle w:val="ListParagraph"/>
        <w:numPr>
          <w:ilvl w:val="0"/>
          <w:numId w:val="16"/>
        </w:numPr>
        <w:jc w:val="both"/>
      </w:pPr>
      <w:r>
        <w:t>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7B5EE28B" w:rsidR="00A610BD" w:rsidRDefault="00A610BD" w:rsidP="00886831">
      <w:pPr>
        <w:pStyle w:val="ListParagraph"/>
        <w:numPr>
          <w:ilvl w:val="0"/>
          <w:numId w:val="16"/>
        </w:numPr>
        <w:jc w:val="both"/>
      </w:pPr>
      <w:r>
        <w:t>[inadequate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14:paraId="2D801A53" w14:textId="77777777" w:rsidR="00A610BD" w:rsidRDefault="00A610BD">
      <w:pPr>
        <w:jc w:val="both"/>
      </w:pPr>
    </w:p>
    <w:p w14:paraId="267EA690" w14:textId="77777777" w:rsidR="00A610BD" w:rsidRDefault="00A610BD">
      <w:pPr>
        <w:jc w:val="both"/>
      </w:pPr>
      <w:r>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523C7E8" w14:textId="77777777" w:rsidR="00A610BD" w:rsidRDefault="00AE5F0F">
      <w:pPr>
        <w:ind w:firstLine="720"/>
        <w:jc w:val="both"/>
      </w:pPr>
      <w:r>
        <w:lastRenderedPageBreak/>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rPr>
        <w:footnoteReference w:id="67"/>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rPr>
        <w:footnoteReference w:id="68"/>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63992B9E" w14:textId="77777777" w:rsidR="00E33198"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rPr>
        <w:footnoteReference w:id="69"/>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8B1545" w:rsidRPr="008B1545">
        <w:t xml:space="preserve"> </w:t>
      </w:r>
      <w:r w:rsidR="008B1545">
        <w:t>’ ”</w:t>
      </w:r>
      <w:r>
        <w:t xml:space="preserve">) (quoting </w:t>
      </w:r>
      <w:r>
        <w:rPr>
          <w:i/>
          <w:iCs/>
        </w:rPr>
        <w:t>City of Los Angeles v. Heller</w:t>
      </w:r>
      <w:r>
        <w:t xml:space="preserve">, 475 U.S. 796, 799 (1986) (per curiam)).  In </w:t>
      </w:r>
      <w:r>
        <w:rPr>
          <w:i/>
          <w:iCs/>
        </w:rPr>
        <w:t xml:space="preserve">Fagan v. City </w:t>
      </w:r>
      <w:r>
        <w:rPr>
          <w:i/>
          <w:iCs/>
        </w:rPr>
        <w:lastRenderedPageBreak/>
        <w:t>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w:t>
      </w:r>
      <w:r w:rsidR="00886831">
        <w:t xml:space="preserve">ation by an individual officer); </w:t>
      </w:r>
      <w:r w:rsidR="00100D7D" w:rsidRPr="00886831">
        <w:rPr>
          <w:i/>
        </w:rPr>
        <w:t>Barna v. Board of School Directors of the Panther Valley School District</w:t>
      </w:r>
      <w:r w:rsidR="00100D7D" w:rsidRPr="00886831">
        <w:t xml:space="preserve">, 877 F.3d 136, 145, n.6 (3d Cir. 2017) (stating that “ ‘precedent in our circuit requires the district court to review the plaintiffs’ municipal liability claims independently of the section 1983 claims against the individual . . . officers.’ ”) (quoting </w:t>
      </w:r>
      <w:r w:rsidR="00100D7D" w:rsidRPr="00886831">
        <w:rPr>
          <w:i/>
        </w:rPr>
        <w:t>Kneipp v. Tedder</w:t>
      </w:r>
      <w:r w:rsidR="00100D7D" w:rsidRPr="00886831">
        <w:t>, 95 F.3d 1199, 1213 (3d Cir. 1996))</w:t>
      </w:r>
      <w:r w:rsidR="00355C53">
        <w:t>;</w:t>
      </w:r>
      <w:r w:rsidR="00355C53" w:rsidRPr="00355C53">
        <w:rPr>
          <w:i/>
        </w:rPr>
        <w:t xml:space="preserve"> </w:t>
      </w:r>
      <w:r w:rsidR="00355C53" w:rsidRPr="00321B0A">
        <w:rPr>
          <w:i/>
        </w:rPr>
        <w:t>Lozman v. City of Riviera Beach, Fla.</w:t>
      </w:r>
      <w:r w:rsidR="00355C53" w:rsidRPr="00321B0A">
        <w:t>, 138 S. Ct. 1945 (2018)</w:t>
      </w:r>
      <w:r w:rsidR="00355C53">
        <w:t xml:space="preserve"> (holding that a plaintiff suing a municipality for arresting him in retaliation for his exercise of First Amendment rights</w:t>
      </w:r>
      <w:r w:rsidR="00355C53" w:rsidRPr="00321B0A">
        <w:t>,</w:t>
      </w:r>
      <w:r w:rsidR="00355C53">
        <w:t xml:space="preserve"> where municipal liability was predicated on a policy adopted by the municipal legislators, need not show that the arrest was without probable cause, while reserving the question </w:t>
      </w:r>
      <w:r w:rsidR="00355C53" w:rsidRPr="00321B0A">
        <w:t xml:space="preserve">whether probable cause would defeat a </w:t>
      </w:r>
      <w:r w:rsidR="00355C53">
        <w:t xml:space="preserve">First Amendment retaliation </w:t>
      </w:r>
      <w:r w:rsidR="00355C53" w:rsidRPr="00321B0A">
        <w:t xml:space="preserve">claim against an </w:t>
      </w:r>
      <w:r w:rsidR="00355C53">
        <w:t>individual o</w:t>
      </w:r>
      <w:r w:rsidR="00355C53" w:rsidRPr="00321B0A">
        <w:t>fficer</w:t>
      </w:r>
      <w:r w:rsidR="00355C53">
        <w:t>).</w:t>
      </w:r>
    </w:p>
    <w:p w14:paraId="7AC3A68D" w14:textId="77777777" w:rsidR="00E33198" w:rsidRDefault="00E33198">
      <w:pPr>
        <w:ind w:firstLine="720"/>
        <w:jc w:val="both"/>
      </w:pPr>
    </w:p>
    <w:p w14:paraId="38C3C992" w14:textId="045CE4D6"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 xml:space="preserve">i.e., that policymakers were aware of similar unlawful conduct in the past, but failed to take precautions against future violations, and </w:t>
      </w:r>
      <w:r>
        <w:lastRenderedPageBreak/>
        <w:t>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8B1545" w:rsidRPr="008B1545">
        <w:t xml:space="preserve"> </w:t>
      </w:r>
      <w:r w:rsidR="008B1545">
        <w:t>’ ”</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14:paraId="236A321F" w14:textId="77777777" w:rsidR="00A610BD" w:rsidRDefault="00A610BD">
      <w:pPr>
        <w:jc w:val="both"/>
      </w:pPr>
    </w:p>
    <w:p w14:paraId="3C118F40" w14:textId="77777777" w:rsidR="00A610BD" w:rsidRDefault="00A610BD">
      <w:pPr>
        <w:jc w:val="both"/>
      </w:pPr>
      <w:r>
        <w:rPr>
          <w:i/>
          <w:iCs/>
        </w:rPr>
        <w:t>Board of County Com'rs of Bryan County, Okl. v. Brown</w:t>
      </w:r>
      <w:r>
        <w:t>, 520 U.S. 397, 409-10 (1997).</w:t>
      </w:r>
    </w:p>
    <w:p w14:paraId="08B168BD" w14:textId="77777777"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2173D83"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r>
        <w:t>agreeing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25F03D71"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 xml:space="preserve">Even though Marino himself lacked final policymaking authority that could bind the County, LaVerdure could have demonstrated that the </w:t>
      </w:r>
      <w:r>
        <w:lastRenderedPageBreak/>
        <w:t>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8B1545" w:rsidRPr="008B1545">
        <w:t xml:space="preserve"> </w:t>
      </w:r>
      <w:r w:rsidR="008B1545">
        <w:t>’ ”</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rPr>
        <w:footnoteReference w:id="70"/>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 xml:space="preserve">Instruction 4.6.5 notes that a policymaker may cause a violation of a federal right by </w:t>
      </w:r>
      <w:r>
        <w:lastRenderedPageBreak/>
        <w:t>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rPr>
        <w:footnoteReference w:id="71"/>
      </w:r>
      <w:r>
        <w:t xml:space="preserve"> [I instruct you that [</w:t>
      </w:r>
      <w:r>
        <w:rPr>
          <w:i/>
          <w:iCs/>
        </w:rPr>
        <w:t>name official(s)</w:t>
      </w:r>
      <w:r>
        <w:t>] [is] [are] the policymaking official[s] for [</w:t>
      </w:r>
      <w:r>
        <w:rPr>
          <w:i/>
          <w:iCs/>
        </w:rPr>
        <w:t>describe particular subject</w:t>
      </w:r>
      <w:r>
        <w:t>].</w:t>
      </w:r>
      <w:r>
        <w:rPr>
          <w:rStyle w:val="FootnoteReference"/>
        </w:rPr>
        <w:footnoteReference w:id="72"/>
      </w:r>
      <w:r>
        <w:t>]]</w:t>
      </w:r>
    </w:p>
    <w:p w14:paraId="78CFD00C" w14:textId="77777777" w:rsidR="00A610BD" w:rsidRDefault="00A610BD">
      <w:pPr>
        <w:jc w:val="both"/>
      </w:pPr>
    </w:p>
    <w:p w14:paraId="576D5E6F" w14:textId="32C30CE9" w:rsidR="00A610BD" w:rsidRDefault="0077488E" w:rsidP="00A55758">
      <w:pPr>
        <w:tabs>
          <w:tab w:val="left" w:pos="-1440"/>
        </w:tabs>
        <w:ind w:right="1440"/>
        <w:jc w:val="both"/>
      </w:pPr>
      <w:r>
        <w:tab/>
      </w:r>
      <w:r w:rsidR="00A610BD">
        <w:t>If you find that such an official custom was the cause of and the moving force behind the violation of [plaintiff</w:t>
      </w:r>
      <w:r w:rsidR="000D09A4">
        <w:t>’</w:t>
      </w:r>
      <w:r w:rsidR="00A610BD">
        <w:t>s] [specify right], then you have found that [municipality] caused that violation.</w:t>
      </w:r>
      <w:r w:rsidR="00A610BD">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rPr>
        <w:footnoteReference w:id="73"/>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rPr>
        <w:footnoteReference w:id="74"/>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rPr>
        <w:footnoteReference w:id="75"/>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w:t>
      </w:r>
      <w:r>
        <w:lastRenderedPageBreak/>
        <w:t xml:space="preserve">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rPr>
        <w:footnoteReference w:id="76"/>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7777777" w:rsidR="00A610BD" w:rsidRDefault="00A610BD">
      <w:pPr>
        <w:ind w:firstLine="720"/>
        <w:jc w:val="both"/>
      </w:pPr>
      <w:r>
        <w:t>Though it thus appears that a showing of knowledge and acquiescence is required, a number of cases suggest that actual knowledge need not be proven.</w:t>
      </w:r>
      <w:r>
        <w:rPr>
          <w:rStyle w:val="FootnoteReference"/>
        </w:rPr>
        <w:footnoteReference w:id="77"/>
      </w:r>
      <w:r>
        <w:t xml:space="preserve">  Rather, some showing of constructive knowledge may suffice; this view is reflected in the first bracketed sentence in Instruction 4.6.6.  For example, the court seemed to approve a constructive-knowledge standard in </w:t>
      </w:r>
      <w:r>
        <w:rPr>
          <w:i/>
          <w:iCs/>
        </w:rPr>
        <w:lastRenderedPageBreak/>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rPr>
        <w:footnoteReference w:id="78"/>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rPr>
        <w:footnoteReference w:id="79"/>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rPr>
        <w:footnoteReference w:id="80"/>
      </w:r>
      <w:r>
        <w:t xml:space="preserve">  In holding that the plaintiffs were entitled to reach a jury on their claims, the </w:t>
      </w:r>
      <w:r>
        <w:rPr>
          <w:i/>
          <w:iCs/>
        </w:rPr>
        <w:t>Beck</w:t>
      </w:r>
      <w:r>
        <w:t> court focused on evidence</w:t>
      </w:r>
      <w:r w:rsidR="00A8690A">
        <w:t xml:space="preserve"> “</w:t>
      </w:r>
      <w:r>
        <w:t xml:space="preserve">that the Chief of Police of Pittsburgh and his department knew, or should have known, </w:t>
      </w:r>
      <w:r>
        <w:lastRenderedPageBreak/>
        <w:t>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14:paraId="051ED01F" w14:textId="77777777" w:rsidR="00A610BD" w:rsidRDefault="00A610BD">
      <w:pPr>
        <w:jc w:val="both"/>
      </w:pPr>
    </w:p>
    <w:p w14:paraId="0A22E6CB" w14:textId="18DAC00B"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rPr>
        <w:footnoteReference w:id="81"/>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8B1545">
        <w:t xml:space="preserve"> </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w:t>
      </w:r>
      <w:r>
        <w:lastRenderedPageBreak/>
        <w:t xml:space="preserve">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4C50F157" w14:textId="77777777" w:rsidR="00A610BD" w:rsidRDefault="00A610BD">
      <w:pPr>
        <w:jc w:val="both"/>
      </w:pPr>
      <w:r>
        <w:rPr>
          <w:b/>
          <w:bCs/>
          <w:sz w:val="28"/>
          <w:szCs w:val="28"/>
        </w:rPr>
        <w:t>Model</w:t>
      </w:r>
    </w:p>
    <w:p w14:paraId="58477D08" w14:textId="77777777" w:rsidR="00A610BD" w:rsidRDefault="00A610BD">
      <w:pPr>
        <w:jc w:val="both"/>
      </w:pPr>
    </w:p>
    <w:p w14:paraId="4994815C" w14:textId="77777777"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t>Second: The situation involved [a matter that employees had a history of mishandling].</w:t>
      </w:r>
      <w:r>
        <w:rPr>
          <w:rStyle w:val="FootnoteReference"/>
        </w:rPr>
        <w:footnoteReference w:id="82"/>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3023FB89" w14:textId="77777777" w:rsidR="00A610BD" w:rsidRDefault="00A610BD">
      <w:pPr>
        <w:ind w:firstLine="720"/>
        <w:jc w:val="both"/>
      </w:pPr>
      <w:r>
        <w:lastRenderedPageBreak/>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0C71DD4A"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rPr>
        <w:footnoteReference w:id="83"/>
      </w:r>
      <w:r>
        <w:t xml:space="preserve"> training, supervision or investigation, or by a failure to adopt a needed policy.</w:t>
      </w:r>
      <w:r>
        <w:rPr>
          <w:rStyle w:val="FootnoteReference"/>
        </w:rPr>
        <w:footnoteReference w:id="84"/>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rPr>
        <w:footnoteReference w:id="85"/>
      </w:r>
      <w:r>
        <w:t xml:space="preserve"> </w:t>
      </w:r>
      <w:r w:rsidR="008214B2">
        <w:t xml:space="preserve"> “</w:t>
      </w:r>
      <w:r>
        <w:t xml:space="preserve">[L]iability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8B1545" w:rsidRPr="008B1545">
        <w:t xml:space="preserve"> </w:t>
      </w:r>
      <w:r w:rsidR="008B1545">
        <w:t>’ ”</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2611D366"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w:t>
      </w:r>
      <w:r w:rsidR="00CB1CCC">
        <w:t xml:space="preserve">; </w:t>
      </w:r>
      <w:r w:rsidR="00CB1CCC" w:rsidRPr="00CB1CCC">
        <w:rPr>
          <w:i/>
        </w:rPr>
        <w:t>Mann v. Palmerton Area School District</w:t>
      </w:r>
      <w:r w:rsidR="00CB1CCC" w:rsidRPr="00CB1CCC">
        <w:t xml:space="preserve">, </w:t>
      </w:r>
      <w:r w:rsidR="007A7790">
        <w:t>872 F.3d 165, 175</w:t>
      </w:r>
      <w:r w:rsidR="00CB1CCC" w:rsidRPr="00CB1CCC">
        <w:t xml:space="preserve"> (3d Cir. 2017)</w:t>
      </w:r>
      <w:r w:rsidR="007A7790">
        <w:t xml:space="preserve"> </w:t>
      </w:r>
      <w:r w:rsidR="00CB1CCC" w:rsidRPr="00CB1CCC">
        <w:t>(holding that a school district could not be held liable for failure to train football coaches about concussions because there was “no evidence of a pattern of recurring head injuries” in the football program, and finding it significant that state law did not mandate concussion training for coaches until after the events at issue).</w:t>
      </w:r>
      <w:r w:rsidR="00CB1CCC">
        <w:t xml:space="preserve"> T</w:t>
      </w:r>
      <w:r w:rsidR="00A610BD">
        <w:t xml:space="preserve">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 xml:space="preserve">[I]t may happen that in light of the duties assigned to specific officers or employees the need for more or different training is so obvious, </w:t>
      </w:r>
      <w:r w:rsidR="00A610BD">
        <w:lastRenderedPageBreak/>
        <w:t>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rPr>
        <w:footnoteReference w:id="86"/>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t>Model</w:t>
      </w:r>
    </w:p>
    <w:p w14:paraId="75AD5475" w14:textId="77777777" w:rsidR="00A610BD" w:rsidRDefault="00A610BD">
      <w:pPr>
        <w:jc w:val="both"/>
      </w:pPr>
    </w:p>
    <w:p w14:paraId="158E030B" w14:textId="77777777"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32590CF5" w:rsidR="00A610BD" w:rsidRDefault="00A610BD" w:rsidP="00A55758">
      <w:pPr>
        <w:pStyle w:val="ListParagraph"/>
        <w:numPr>
          <w:ilvl w:val="0"/>
          <w:numId w:val="17"/>
        </w:numPr>
        <w:jc w:val="both"/>
      </w:pPr>
      <w:r>
        <w:t>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rPr>
        <w:footnoteReference w:id="87"/>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w:t>
      </w:r>
      <w:r>
        <w:lastRenderedPageBreak/>
        <w:t>constitutional violations, we simply hypothesized that, in a narrow range of 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 xml:space="preserve">s background.  In some cases, </w:t>
      </w:r>
      <w:r>
        <w:lastRenderedPageBreak/>
        <w:t>the asserted basis for liability may be, instead, that the municipality checked the prospective 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t>Model</w:t>
      </w:r>
    </w:p>
    <w:p w14:paraId="24DE6E56" w14:textId="77777777" w:rsidR="00A610BD" w:rsidRDefault="00A610BD">
      <w:pPr>
        <w:jc w:val="both"/>
      </w:pPr>
    </w:p>
    <w:p w14:paraId="043B9C9B" w14:textId="77777777"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5C15F76" w14:textId="77777777" w:rsidR="00A610BD" w:rsidRDefault="00A610BD">
      <w:pPr>
        <w:ind w:firstLine="720"/>
        <w:jc w:val="both"/>
      </w:pPr>
      <w:r>
        <w:t>Prosecutors</w:t>
      </w:r>
      <w:r>
        <w:rPr>
          <w:rStyle w:val="FootnoteReference"/>
        </w:rPr>
        <w:footnoteReference w:id="88"/>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rPr>
        <w:footnoteReference w:id="89"/>
      </w:r>
    </w:p>
    <w:p w14:paraId="76780C9A" w14:textId="77777777"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rPr>
        <w:footnoteReference w:id="90"/>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rPr>
        <w:footnoteReference w:id="91"/>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6B1255D3" w14:textId="77777777" w:rsidR="00A610BD" w:rsidRDefault="00A610BD">
      <w:pPr>
        <w:ind w:firstLine="720"/>
        <w:jc w:val="both"/>
      </w:pPr>
      <w:r>
        <w:lastRenderedPageBreak/>
        <w:t xml:space="preserve">State or local legislators enjoy absolute immunity from suits seeking damages or injunctive 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14:paraId="2398A9C3" w14:textId="77777777" w:rsidR="00ED484E" w:rsidRDefault="00ED484E">
      <w:pPr>
        <w:ind w:firstLine="720"/>
        <w:jc w:val="both"/>
      </w:pPr>
    </w:p>
    <w:p w14:paraId="39736063" w14:textId="1D52ED4C"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8B1545" w:rsidRPr="008B1545">
        <w:t xml:space="preserve"> </w:t>
      </w:r>
      <w:r w:rsidR="008B1545">
        <w:t>’ ”</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rPr>
        <w:footnoteReference w:id="92"/>
      </w:r>
      <w:r>
        <w:t xml:space="preserve"> the Court of Appeals has questioned the two-part test</w:t>
      </w:r>
      <w:r w:rsidR="000D09A4">
        <w:t>’</w:t>
      </w:r>
      <w:r>
        <w:t>s applicability to local officials</w:t>
      </w:r>
      <w:r>
        <w:rPr>
          <w:rStyle w:val="FootnoteReference"/>
        </w:rPr>
        <w:footnoteReference w:id="93"/>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 xml:space="preserve">[B]ecause </w:t>
      </w:r>
      <w:r>
        <w:lastRenderedPageBreak/>
        <w:t>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rPr>
        <w:footnoteReference w:id="94"/>
      </w:r>
    </w:p>
    <w:p w14:paraId="1A457CA0" w14:textId="77777777" w:rsidR="00CE7164" w:rsidRDefault="00CE7164">
      <w:pPr>
        <w:ind w:firstLine="720"/>
        <w:jc w:val="both"/>
      </w:pPr>
    </w:p>
    <w:p w14:paraId="76CAC49D" w14:textId="4EC9955E"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rPr>
        <w:footnoteReference w:id="95"/>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xml:space="preserve">, 108 </w:t>
      </w:r>
      <w:r w:rsidR="004808A7" w:rsidRPr="004808A7">
        <w:lastRenderedPageBreak/>
        <w:t>F.3d at 495)).</w:t>
      </w:r>
    </w:p>
    <w:p w14:paraId="1FE6194A" w14:textId="11662B5E"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t>Comment</w:t>
      </w:r>
    </w:p>
    <w:p w14:paraId="7BD08351" w14:textId="77777777" w:rsidR="00A610BD" w:rsidRDefault="00A610BD">
      <w:pPr>
        <w:jc w:val="both"/>
      </w:pPr>
    </w:p>
    <w:p w14:paraId="5C763EC4" w14:textId="5AD88958" w:rsidR="00FE1314" w:rsidRPr="00886831" w:rsidRDefault="001237D8" w:rsidP="00FE1314">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457 U.S. 800, 818 (1982).</w:t>
      </w:r>
      <w:r w:rsidR="00886831">
        <w:t xml:space="preserve"> T</w:t>
      </w:r>
      <w:r w:rsidR="00FE1314" w:rsidRPr="00886831">
        <w:t xml:space="preserve">hey “are entitled to qualified immunity under § 1983 unless (1) they violated a federal statutory or constitutional right, and (2) the unlawfulness of their conduct was clearly established at the time.” </w:t>
      </w:r>
      <w:r w:rsidR="00FE1314" w:rsidRPr="00886831">
        <w:rPr>
          <w:i/>
        </w:rPr>
        <w:t>District of Columbia v. Wesby</w:t>
      </w:r>
      <w:r w:rsidR="00FE1314" w:rsidRPr="00886831">
        <w:t>, 138 S. Ct. 577, 589 (2018) (internal quotation marks and citation omitted).</w:t>
      </w:r>
      <w:r w:rsidR="00FE1314" w:rsidRPr="00886831">
        <w:rPr>
          <w:vertAlign w:val="superscript"/>
        </w:rPr>
        <w:footnoteReference w:id="96"/>
      </w:r>
    </w:p>
    <w:p w14:paraId="75AC5472" w14:textId="77777777" w:rsidR="00FE1314" w:rsidRDefault="00FE1314" w:rsidP="00E11AB8">
      <w:pPr>
        <w:ind w:firstLine="720"/>
        <w:jc w:val="both"/>
      </w:pPr>
    </w:p>
    <w:p w14:paraId="1F9D5552" w14:textId="32E72CB4" w:rsidR="00FE1314" w:rsidRDefault="00FE1314" w:rsidP="00E11AB8">
      <w:pPr>
        <w:ind w:firstLine="720"/>
        <w:jc w:val="both"/>
      </w:pPr>
      <w:r w:rsidRPr="00886831">
        <w:t xml:space="preserve">Thus to prevail, a plaintiff must show </w:t>
      </w:r>
      <w:r w:rsidRPr="00886831">
        <w:rPr>
          <w:i/>
        </w:rPr>
        <w:t>both</w:t>
      </w:r>
      <w:r w:rsidRPr="00886831">
        <w:t xml:space="preserve"> that the officer violated a federal right, </w:t>
      </w:r>
      <w:r w:rsidRPr="00886831">
        <w:rPr>
          <w:i/>
        </w:rPr>
        <w:t>and</w:t>
      </w:r>
      <w:r w:rsidRPr="00886831">
        <w:t xml:space="preserve"> that such federal right was clearly established at the time the officer acted. A defendant, by contrast, can prevail by winning on </w:t>
      </w:r>
      <w:r w:rsidRPr="00886831">
        <w:rPr>
          <w:i/>
        </w:rPr>
        <w:t>either</w:t>
      </w:r>
      <w:r w:rsidRPr="00886831">
        <w:t xml:space="preserve"> ground. For example, “[e]ven without inquiring as to whether the right [plaintiffs] identify here is clearly established, the failure to establish a factual basis for the purported constitutional violation is an independently sufficient ground on which to affirm the grant of summary judgment in favor of the individual officers.” </w:t>
      </w:r>
      <w:r w:rsidRPr="00886831">
        <w:rPr>
          <w:i/>
        </w:rPr>
        <w:t>Karns v. Shanahan</w:t>
      </w:r>
      <w:r w:rsidRPr="00886831">
        <w:t xml:space="preserve">, 879 F.3d 504, 521 (3d Cir. 2018). And a “court may not deny a summary judgment motion premised on qualified immunity without deciding that the right in question was clearly established at the time of the alleged wrongdoing.” </w:t>
      </w:r>
      <w:r w:rsidRPr="00886831">
        <w:rPr>
          <w:i/>
        </w:rPr>
        <w:t>Spady v. Bethlehem Area Sch. Dist.</w:t>
      </w:r>
      <w:r w:rsidRPr="00886831">
        <w:t>, 800 F.3d 633, 637 n.4 (3d Cir. 2015)</w:t>
      </w:r>
      <w:r w:rsidR="00886831">
        <w:t>.</w:t>
      </w:r>
      <w:r w:rsidR="004808A7" w:rsidRPr="004808A7">
        <w:t xml:space="preserve">  </w:t>
      </w:r>
    </w:p>
    <w:p w14:paraId="0B573D0A" w14:textId="77777777" w:rsidR="00FE1314" w:rsidRDefault="00FE1314" w:rsidP="00E11AB8">
      <w:pPr>
        <w:ind w:firstLine="720"/>
        <w:jc w:val="both"/>
      </w:pPr>
    </w:p>
    <w:p w14:paraId="27E817AB" w14:textId="77777777" w:rsidR="00FE1314" w:rsidRPr="00886831" w:rsidRDefault="00FE1314" w:rsidP="00903314">
      <w:pPr>
        <w:shd w:val="clear" w:color="auto" w:fill="FFFFFF" w:themeFill="background1"/>
        <w:spacing w:after="120"/>
        <w:ind w:firstLine="720"/>
        <w:jc w:val="both"/>
      </w:pPr>
      <w:r w:rsidRPr="00886831">
        <w:t xml:space="preserve">For a time, the Supreme Court required that lower courts decide whether an officer violated the constitution, even if they were ruling in favor of the defendant because the claimed constitutional right was not clearly established at the time the officer acted. </w:t>
      </w:r>
      <w:r w:rsidRPr="00886831">
        <w:rPr>
          <w:i/>
          <w:iCs/>
        </w:rPr>
        <w:t>Saucier v. Katz</w:t>
      </w:r>
      <w:r w:rsidRPr="00886831">
        <w:t xml:space="preserve">, 533 </w:t>
      </w:r>
      <w:r w:rsidRPr="00886831">
        <w:lastRenderedPageBreak/>
        <w:t xml:space="preserve">U.S. 194, 201 (2001). The point of this requirement was to enable continued development of the law. </w:t>
      </w:r>
      <w:r w:rsidRPr="00886831">
        <w:rPr>
          <w:i/>
        </w:rPr>
        <w:t>Id</w:t>
      </w:r>
      <w:r w:rsidRPr="00886831">
        <w:t>. (“This is the process for the law’s elaboration from case to case, and it is one reason for our insisting upon turning to the existence or nonexistence of a constitutional right as the first inquiry. The law might be deprived of this explanation were a court simply to skip ahead to the question whether the law clearly established that the officer's conduct was unlawful in the circumstances of the case.”).</w:t>
      </w:r>
    </w:p>
    <w:p w14:paraId="074A6E59" w14:textId="179A75D0" w:rsidR="00FE1314" w:rsidRPr="00886831" w:rsidRDefault="00FE1314" w:rsidP="00FE1314">
      <w:pPr>
        <w:ind w:firstLine="720"/>
        <w:jc w:val="both"/>
      </w:pPr>
      <w:r w:rsidRPr="00886831">
        <w:t xml:space="preserve">But the Court later lifted this requirement, allowing lower courts to exercise their discretion in this regard. </w:t>
      </w:r>
      <w:r w:rsidR="004808A7" w:rsidRPr="00886831">
        <w:rPr>
          <w:i/>
          <w:iCs/>
        </w:rPr>
        <w:t>Pearson v. Callahan</w:t>
      </w:r>
      <w:r w:rsidR="004808A7" w:rsidRPr="00886831">
        <w:t xml:space="preserve">, </w:t>
      </w:r>
      <w:r w:rsidRPr="00886831">
        <w:t xml:space="preserve">555 U.S. 223, 243 </w:t>
      </w:r>
      <w:r w:rsidR="004808A7" w:rsidRPr="00886831">
        <w:t xml:space="preserve">(2009); </w:t>
      </w:r>
      <w:r w:rsidR="004808A7" w:rsidRPr="00886831">
        <w:rPr>
          <w:i/>
        </w:rPr>
        <w:t>Reichle v. Howards</w:t>
      </w:r>
      <w:r w:rsidR="004808A7" w:rsidRPr="00886831">
        <w:t>, 132 S. Ct. 2088, 2093 (2012)</w:t>
      </w:r>
      <w:r w:rsidRPr="00886831">
        <w:t xml:space="preserve"> (stating that </w:t>
      </w:r>
      <w:r w:rsidRPr="00886831">
        <w:rPr>
          <w:i/>
        </w:rPr>
        <w:t>Pearson</w:t>
      </w:r>
      <w:r w:rsidRPr="00886831">
        <w:t xml:space="preserve"> “held that courts may grant qualified immunity on the ground that a purported right was not ‘clearly established’ by prior case law, without resolving the often more difficult question whether the purported right exists at all”).  More recently, the Court has “stress[ed] that lower courts ‘should think hard, and then think hard again,’ before addressing both qualified immunity and the merits of an underlying constitutional claim.” </w:t>
      </w:r>
      <w:r w:rsidRPr="00886831">
        <w:rPr>
          <w:i/>
        </w:rPr>
        <w:t>Wesby</w:t>
      </w:r>
      <w:r w:rsidRPr="00886831">
        <w:t xml:space="preserve">, 138 S. Ct. at 589 (2018) (quoting </w:t>
      </w:r>
      <w:r w:rsidRPr="00886831">
        <w:rPr>
          <w:i/>
        </w:rPr>
        <w:t>Camreta v. Greene</w:t>
      </w:r>
      <w:r w:rsidRPr="00886831">
        <w:t xml:space="preserve">, 563 U.S. 692, 707 (2011)). As the Court explained in </w:t>
      </w:r>
      <w:r w:rsidRPr="00886831">
        <w:rPr>
          <w:i/>
        </w:rPr>
        <w:t>Camreta</w:t>
      </w:r>
      <w:r w:rsidR="00AC6A18">
        <w:t>,</w:t>
      </w:r>
      <w:r w:rsidRPr="00886831">
        <w:t xml:space="preserve"> “In general, courts should think hard, and then think hard again, before turning small cases into large ones. But it remains true that following the two-step sequence—defining constitutional rights and only then conferring immunity—is sometimes beneficial to clarify the legal standards governing public officials.” 563 U.S. at 707.</w:t>
      </w:r>
      <w:r w:rsidRPr="00886831">
        <w:rPr>
          <w:vertAlign w:val="superscript"/>
        </w:rPr>
        <w:footnoteReference w:id="97"/>
      </w:r>
    </w:p>
    <w:p w14:paraId="0072539E" w14:textId="34414E13" w:rsidR="00C9228B" w:rsidRDefault="00C9228B" w:rsidP="00C9228B">
      <w:pPr>
        <w:ind w:firstLine="720"/>
        <w:jc w:val="both"/>
      </w:pPr>
      <w:r w:rsidRPr="00886831">
        <w:lastRenderedPageBreak/>
        <w:t xml:space="preserve">To be clearly established, not only must a legal principle “have a sufficiently clear foundation in then-existing precedent,” but its “contours must be so well defined that it is clear to a reasonable officer that his conduct was unlawful in the situation he confronted.” </w:t>
      </w:r>
      <w:r w:rsidRPr="00886831">
        <w:rPr>
          <w:i/>
        </w:rPr>
        <w:t>Wesby,</w:t>
      </w:r>
      <w:r w:rsidRPr="00886831">
        <w:t xml:space="preserve"> 138 S. Ct. at 589–90 (internal quotation marks and citation omitted).</w:t>
      </w:r>
      <w:r w:rsidRPr="00C9228B">
        <w:t xml:space="preserve">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 . . ; but it is to say that in the light of pre</w:t>
      </w:r>
      <w:r w:rsidRPr="00C9228B">
        <w:noBreakHyphen/>
        <w:t xml:space="preserve">existing law the unlawfulness must be apparent.”  </w:t>
      </w:r>
      <w:r w:rsidRPr="00C9228B">
        <w:rPr>
          <w:i/>
          <w:iCs/>
        </w:rPr>
        <w:t>Anderson v. Creighton</w:t>
      </w:r>
      <w:r w:rsidRPr="00C9228B">
        <w:t xml:space="preserve">, 483 U.S. 635, 640 (1987).  “[T]he salient question . . . is whether the state of the law [at the time of the conduct] gave respondents fair warning that their [conduct] was unconstitutional.”  </w:t>
      </w:r>
      <w:r w:rsidRPr="00C9228B">
        <w:rPr>
          <w:i/>
          <w:iCs/>
        </w:rPr>
        <w:t>Hope v. Pelzer</w:t>
      </w:r>
      <w:r w:rsidRPr="00C9228B">
        <w:t xml:space="preserve">, 536 U.S. 730, 741 (2002). </w:t>
      </w:r>
      <w:r w:rsidRPr="00C9228B">
        <w:rPr>
          <w:i/>
        </w:rPr>
        <w:t xml:space="preserve">See also </w:t>
      </w:r>
      <w:r w:rsidRPr="00C9228B">
        <w:rPr>
          <w:i/>
          <w:iCs/>
        </w:rPr>
        <w:t>Brosseau v. Haugen</w:t>
      </w:r>
      <w:r w:rsidRPr="00C9228B">
        <w:t>, 543 U.S. 194, 198 (2004) (per curiam) (emphasizing the need for attention to context in judging whether application of a general principle was clear under the circumstances). The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w:t>
      </w:r>
      <w:r w:rsidR="008B1545" w:rsidRPr="008B1545">
        <w:t xml:space="preserve"> </w:t>
      </w:r>
      <w:r w:rsidR="008B1545">
        <w:t>’ ”</w:t>
      </w:r>
      <w:r w:rsidRPr="00C9228B">
        <w:t xml:space="preserve">”  </w:t>
      </w:r>
      <w:r w:rsidRPr="00C9228B">
        <w:rPr>
          <w:i/>
          <w:iCs/>
        </w:rPr>
        <w:t>Burns v. PA Dep’t of Corrections</w:t>
      </w:r>
      <w:r w:rsidRPr="00C9228B">
        <w:t xml:space="preserve">, 642 F.3d 163, 177 (3d Cir. 2011) (quoting </w:t>
      </w:r>
      <w:r w:rsidRPr="00C9228B">
        <w:rPr>
          <w:i/>
          <w:iCs/>
        </w:rPr>
        <w:t>Hicks v. Feeney</w:t>
      </w:r>
      <w:r w:rsidRPr="00C9228B">
        <w:t xml:space="preserve">, 770 F.2d 375, 380 (3d Cir. 1985)). </w:t>
      </w:r>
    </w:p>
    <w:p w14:paraId="69558EC9" w14:textId="77777777" w:rsidR="00C9228B" w:rsidRPr="00C9228B" w:rsidRDefault="00C9228B" w:rsidP="00C9228B">
      <w:pPr>
        <w:ind w:firstLine="720"/>
        <w:jc w:val="both"/>
      </w:pPr>
    </w:p>
    <w:p w14:paraId="3CFE8E05" w14:textId="1BA67D0A" w:rsidR="00C9228B" w:rsidRPr="00852A74" w:rsidRDefault="00C9228B" w:rsidP="00C9228B">
      <w:pPr>
        <w:ind w:firstLine="720"/>
        <w:jc w:val="both"/>
        <w:rPr>
          <w:i/>
          <w:iCs/>
        </w:rPr>
      </w:pPr>
      <w:r w:rsidRPr="00C9228B">
        <w:t xml:space="preserve">Unlawfulness can be apparent “even in novel factual circumstances.”  </w:t>
      </w:r>
      <w:r w:rsidRPr="00C9228B">
        <w:rPr>
          <w:i/>
          <w:iCs/>
        </w:rPr>
        <w:t>Hope v. Pelzer</w:t>
      </w:r>
      <w:r w:rsidRPr="00C9228B">
        <w:t xml:space="preserve">, 536 U.S. 730, 741 (2002); </w:t>
      </w:r>
      <w:r w:rsidRPr="00C9228B">
        <w:rPr>
          <w:i/>
          <w:iCs/>
        </w:rPr>
        <w:t>Groh v. Ramirez</w:t>
      </w:r>
      <w:r w:rsidRPr="00C9228B">
        <w:t xml:space="preserve">, 540 U.S. 551, 564 (2004) (“No reasonable officer could claim to be unaware of the basic rule, well established by our cases, that, absent consent or exigency, a warrantless search of the home is presumptively unconstitutional.”); </w:t>
      </w:r>
      <w:r w:rsidRPr="00C9228B">
        <w:rPr>
          <w:i/>
        </w:rPr>
        <w:t>Halsey v. Pfeiffer</w:t>
      </w:r>
      <w:r w:rsidRPr="00C9228B">
        <w:t xml:space="preserve">, 750 F.3d 273, 296 (3d Cir. 2014) (holding that even though it had not previously decided on the viability of a stand-alone claim for fabrication of evidence, reasonable officers should have known that “they certainly could not fabricate inculpatory evidence”); </w:t>
      </w:r>
      <w:r w:rsidRPr="00C9228B">
        <w:rPr>
          <w:i/>
          <w:iCs/>
        </w:rPr>
        <w:t>Schneyder v. Smith</w:t>
      </w:r>
      <w:r w:rsidRPr="00C9228B">
        <w:t xml:space="preserve">,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 </w:t>
      </w:r>
      <w:r w:rsidRPr="00C9228B">
        <w:rPr>
          <w:i/>
          <w:iCs/>
        </w:rPr>
        <w:t>Abbott v. Latshaw</w:t>
      </w:r>
      <w:r w:rsidRPr="00C9228B">
        <w:t xml:space="preserve">, 164 F.3d 141, 148 (3d Cir. 1998) (denying qualified immunity and noting that “it is the domain of the courts,” not law enforcement officers,  “to decide who is entitled to possession of property,” that “citizens are to have a meaningful opportunity to be heard as to their rights before they are finally deprived of possession of property,” and that the officer’s “curbside courtroom, in which he </w:t>
      </w:r>
      <w:r w:rsidRPr="00C9228B">
        <w:lastRenderedPageBreak/>
        <w:t xml:space="preserve">decided who was entitled to possession, is precisely the situation and deprivation of rights to be avoided”); </w:t>
      </w:r>
      <w:r w:rsidRPr="00C9228B">
        <w:rPr>
          <w:i/>
        </w:rPr>
        <w:t>cf</w:t>
      </w:r>
      <w:r w:rsidRPr="00C9228B">
        <w:t xml:space="preserve">. </w:t>
      </w:r>
      <w:r w:rsidRPr="00C9228B">
        <w:rPr>
          <w:i/>
        </w:rPr>
        <w:t>Estate of Lagano v. Bergen Cnty. Prosecutor's Office</w:t>
      </w:r>
      <w:r w:rsidRPr="00C9228B">
        <w:t xml:space="preserve">, 769 F.3d 850, 859 (3d Cir. 2014) (vacating grant of qualified immunity because plaintiff can overcome qualified immunity “without proving that we have previously issued a binding decision recognizing a state-created danger in the context of the disclosure of a confidential informant's status”); </w:t>
      </w:r>
      <w:r w:rsidRPr="00C9228B">
        <w:rPr>
          <w:i/>
        </w:rPr>
        <w:t>L.R. v. School District of Philadelphia</w:t>
      </w:r>
      <w:r w:rsidRPr="00C9228B">
        <w:t xml:space="preserve">,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 </w:t>
      </w:r>
      <w:r w:rsidRPr="00852A74">
        <w:rPr>
          <w:i/>
        </w:rPr>
        <w:t>Kedra v. Schroeter</w:t>
      </w:r>
      <w:r w:rsidRPr="00852A74">
        <w:t>, 876 F.3d 424, 450 (3d Cir. 2017)</w:t>
      </w:r>
      <w:r w:rsidR="005E3571">
        <w:t xml:space="preserve"> </w:t>
      </w:r>
      <w:r w:rsidRPr="00852A74">
        <w:t xml:space="preserve">(holding that, under prior precedent, “no reasonable officer who was aware of the lethal risk involved in demonstrating the use of deadly force on another person and who proceeded to conduct the demonstration in a manner directly contrary to known safety protocols could think his conduct was lawful”). </w:t>
      </w:r>
      <w:r w:rsidRPr="00852A74">
        <w:rPr>
          <w:i/>
          <w:iCs/>
        </w:rPr>
        <w:t>See also</w:t>
      </w:r>
      <w:r w:rsidRPr="00852A74">
        <w:t xml:space="preserve"> </w:t>
      </w:r>
      <w:r w:rsidRPr="00852A74">
        <w:rPr>
          <w:i/>
          <w:iCs/>
        </w:rPr>
        <w:t xml:space="preserve">District of Columbia v. Wesby, </w:t>
      </w:r>
      <w:r w:rsidRPr="00852A74">
        <w:rPr>
          <w:iCs/>
        </w:rPr>
        <w:t>138 S. Ct. 577, 590 (2018) (noting that</w:t>
      </w:r>
      <w:r w:rsidRPr="00852A74">
        <w:rPr>
          <w:i/>
          <w:iCs/>
        </w:rPr>
        <w:t xml:space="preserve"> </w:t>
      </w:r>
      <w:r w:rsidRPr="00852A74">
        <w:rPr>
          <w:iCs/>
        </w:rPr>
        <w:t>there can be “the rare ‘obvious case,’ where the unlawfulness of the officer’s conduct is sufficiently clear even though existing precedent does not address similar circumstances, [b]ut ‘a body of relevant case law’ is usually necessary” to overcome qualified immunity when probable cause is at issue) (citation omitted</w:t>
      </w:r>
      <w:r w:rsidRPr="00954538">
        <w:rPr>
          <w:iCs/>
        </w:rPr>
        <w:t>)</w:t>
      </w:r>
      <w:r w:rsidR="00D6597B" w:rsidRPr="00954538">
        <w:rPr>
          <w:iCs/>
        </w:rPr>
        <w:t>;</w:t>
      </w:r>
      <w:r w:rsidR="00D6597B" w:rsidRPr="00954538">
        <w:rPr>
          <w:i/>
        </w:rPr>
        <w:t xml:space="preserve"> Russell v. Richardson</w:t>
      </w:r>
      <w:r w:rsidR="00D6597B" w:rsidRPr="00954538">
        <w:t xml:space="preserve">, 905 F.3d 239, 252 (3d Cir. 2018) (finding an “obvious case” where marshal </w:t>
      </w:r>
      <w:r w:rsidR="00D6597B" w:rsidRPr="00954538">
        <w:rPr>
          <w:iCs/>
        </w:rPr>
        <w:t>used deadly force against a minor as he exited his bedroom wearing only underwear, and there was no indication the minor “was then engaged in any misconduct beyond disobeying his mother”);</w:t>
      </w:r>
      <w:r w:rsidR="00D6597B" w:rsidRPr="00742BCF">
        <w:t xml:space="preserve"> </w:t>
      </w:r>
      <w:r w:rsidR="00D6597B" w:rsidRPr="00742BCF">
        <w:rPr>
          <w:i/>
          <w:iCs/>
        </w:rPr>
        <w:t>Kane v. Barger</w:t>
      </w:r>
      <w:r w:rsidR="00D6597B" w:rsidRPr="00742BCF">
        <w:rPr>
          <w:iCs/>
        </w:rPr>
        <w:t>, 902 F.3d 185 (3d Cir. 2018)</w:t>
      </w:r>
      <w:r w:rsidR="00D6597B">
        <w:rPr>
          <w:iCs/>
        </w:rPr>
        <w:t xml:space="preserve"> (relying on </w:t>
      </w:r>
      <w:r w:rsidR="00D6597B" w:rsidRPr="00742BCF">
        <w:rPr>
          <w:iCs/>
        </w:rPr>
        <w:t xml:space="preserve">some analogous cases </w:t>
      </w:r>
      <w:r w:rsidR="00D6597B">
        <w:rPr>
          <w:iCs/>
        </w:rPr>
        <w:t xml:space="preserve">in </w:t>
      </w:r>
      <w:r w:rsidR="00D6597B" w:rsidRPr="00742BCF">
        <w:rPr>
          <w:iCs/>
        </w:rPr>
        <w:t>reject</w:t>
      </w:r>
      <w:r w:rsidR="00D6597B">
        <w:rPr>
          <w:iCs/>
        </w:rPr>
        <w:t>ing</w:t>
      </w:r>
      <w:r w:rsidR="00D6597B" w:rsidRPr="00742BCF">
        <w:rPr>
          <w:iCs/>
        </w:rPr>
        <w:t xml:space="preserve"> qualified immunity for a police officer who touched the victim of a sexual assault and photographed her intimate areas with his personal cell phone for personal gratification rather than investigate ends</w:t>
      </w:r>
      <w:r w:rsidR="00D6597B">
        <w:rPr>
          <w:iCs/>
        </w:rPr>
        <w:t xml:space="preserve">, but </w:t>
      </w:r>
      <w:r w:rsidR="00D6597B" w:rsidRPr="00742BCF">
        <w:rPr>
          <w:iCs/>
        </w:rPr>
        <w:t>also stat</w:t>
      </w:r>
      <w:r w:rsidR="00D6597B">
        <w:rPr>
          <w:iCs/>
        </w:rPr>
        <w:t>ing</w:t>
      </w:r>
      <w:r w:rsidR="00D6597B" w:rsidRPr="00742BCF">
        <w:rPr>
          <w:iCs/>
        </w:rPr>
        <w:t>, “given the egregiousness of Barger’s violation of Kane’s personal security and bodily integrity, the right here is so ‘obvious’ that it could be deemed clearly established even without materially similar cases”</w:t>
      </w:r>
      <w:r w:rsidR="00D6597B">
        <w:rPr>
          <w:iCs/>
        </w:rPr>
        <w:t>).</w:t>
      </w:r>
      <w:r w:rsidRPr="00852A74">
        <w:rPr>
          <w:iCs/>
        </w:rPr>
        <w:t xml:space="preserve"> </w:t>
      </w:r>
      <w:r w:rsidRPr="00852A74">
        <w:rPr>
          <w:i/>
          <w:iCs/>
        </w:rPr>
        <w:t xml:space="preserve"> </w:t>
      </w:r>
    </w:p>
    <w:p w14:paraId="0C6A99B5" w14:textId="77777777" w:rsidR="00C9228B" w:rsidRPr="00852A74" w:rsidRDefault="00C9228B" w:rsidP="00C9228B">
      <w:pPr>
        <w:ind w:firstLine="720"/>
        <w:jc w:val="both"/>
      </w:pPr>
    </w:p>
    <w:p w14:paraId="0C9B2372" w14:textId="5D179F41" w:rsidR="00C9228B" w:rsidRPr="00852A74" w:rsidRDefault="00C9228B" w:rsidP="00C9228B">
      <w:pPr>
        <w:ind w:firstLine="720"/>
        <w:jc w:val="both"/>
      </w:pPr>
      <w:r w:rsidRPr="00C9228B">
        <w:t xml:space="preserve">Courts 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 </w:t>
      </w:r>
      <w:r w:rsidRPr="00C9228B">
        <w:rPr>
          <w:i/>
          <w:iCs/>
        </w:rPr>
        <w:t>Ashcroft v. Al-Kidd</w:t>
      </w:r>
      <w:r w:rsidRPr="00C9228B">
        <w:t xml:space="preserve">, 131 S. Ct. 2074, 2084-85 (2011); </w:t>
      </w:r>
      <w:r w:rsidRPr="00C9228B">
        <w:rPr>
          <w:i/>
        </w:rPr>
        <w:t>Ziglar v. Abbasi</w:t>
      </w:r>
      <w:r w:rsidRPr="00C9228B">
        <w:t xml:space="preserve">, 137 S. Ct. 1843 (2017) (“When courts are divided on an issue so central to the cause of action alleged, a reasonable official lacks the notice required before imposing liability.”); </w:t>
      </w:r>
      <w:r w:rsidR="00D6597B" w:rsidRPr="006B45E6">
        <w:rPr>
          <w:i/>
        </w:rPr>
        <w:t>Kisela v. Hughes</w:t>
      </w:r>
      <w:r w:rsidR="00D6597B" w:rsidRPr="006B45E6">
        <w:t xml:space="preserve">, 138 S. Ct. 1148 (2018) </w:t>
      </w:r>
      <w:r w:rsidR="00D6597B">
        <w:t xml:space="preserve">(noting that </w:t>
      </w:r>
      <w:r w:rsidR="00D6597B" w:rsidRPr="006B45E6">
        <w:t>even if controlling circuit precedent could constitute clearly established law, the most analogous precedent favored the officer</w:t>
      </w:r>
      <w:r w:rsidR="00D6597B">
        <w:t xml:space="preserve">); </w:t>
      </w:r>
      <w:r w:rsidRPr="00C9228B">
        <w:rPr>
          <w:i/>
          <w:iCs/>
        </w:rPr>
        <w:t>Safford Unified School Dist. No. 1 v. Redding</w:t>
      </w:r>
      <w:r w:rsidRPr="00C9228B">
        <w:t>, 129 S. Ct. 2633, 2644 (2009) (“[T]he cases viewing school strip searches differently from the way we see them are numerous enough, with well</w:t>
      </w:r>
      <w:r w:rsidRPr="00C9228B">
        <w:noBreakHyphen/>
        <w:t xml:space="preserve">reasoned majority and dissenting opinions, to counsel doubt that we were sufficiently clear in the prior statement of law.”); </w:t>
      </w:r>
      <w:r w:rsidRPr="00C9228B">
        <w:rPr>
          <w:i/>
        </w:rPr>
        <w:t>Stanton v. Sims</w:t>
      </w:r>
      <w:r w:rsidRPr="00C9228B">
        <w:t xml:space="preserve">, 134 S. Ct. 3 (2013) (summarily reversing for failure to recognize qualified immunity and stating that it is “especially troubling” that the court of appeals “would conclude that [the officer] was plainly incompetent – and subject to personal liability in damages – based on </w:t>
      </w:r>
      <w:r w:rsidRPr="00C9228B">
        <w:lastRenderedPageBreak/>
        <w:t xml:space="preserve">actions that were lawful according to courts in the jurisdiction where he acted”); </w:t>
      </w:r>
      <w:r w:rsidRPr="00C9228B">
        <w:rPr>
          <w:i/>
        </w:rPr>
        <w:t>Davenport v. Borough of Homestead</w:t>
      </w:r>
      <w:r w:rsidRPr="00C9228B">
        <w:t>, 870 F.3d 27</w:t>
      </w:r>
      <w:r w:rsidR="00CB00F3">
        <w:t>3</w:t>
      </w:r>
      <w:r w:rsidRPr="00C9228B">
        <w:t xml:space="preserve">, 282 (3d Cir. 2017) (holding that police officers were protected by qualified immunity because of the “near absence of cases” dealing with the rights of a passenger involved in a dangerous vehicle pursuit); </w:t>
      </w:r>
      <w:r w:rsidRPr="00C9228B">
        <w:rPr>
          <w:i/>
        </w:rPr>
        <w:t>Fields v. City of Philadelphia</w:t>
      </w:r>
      <w:r w:rsidRPr="00C9228B">
        <w:t xml:space="preserve">, 862 F.3d 353, 361-62 (3d Cir. 2017) (because other cases recognizing a first amendment right to photograph the police were arguably distinguishable, they did not establish that right clearly enough to overcome qualified immunity); </w:t>
      </w:r>
      <w:r w:rsidRPr="00C9228B">
        <w:rPr>
          <w:i/>
          <w:iCs/>
        </w:rPr>
        <w:t>Ray v. Township of Warren</w:t>
      </w:r>
      <w:r w:rsidRPr="00C9228B">
        <w:t xml:space="preserve">, 626 F.3d 170, 177 (3d Cir. 2010) (holding that the inapplicability of the community caretaking doctrine to warrantless entries into homes was not clearly established in light of, inter alia, “the conflicting precedents on this issue from other Circuits); </w:t>
      </w:r>
      <w:r w:rsidRPr="00C9228B">
        <w:rPr>
          <w:i/>
        </w:rPr>
        <w:t>Marcavage v. National Park Serv.</w:t>
      </w:r>
      <w:r w:rsidRPr="00C9228B">
        <w:t xml:space="preserve">, 666 F.3d 856, 857, 859-60 (3d Cir. 2012) (holding that plaintiff’s conviction for misdemeanors stemming from events at issue supported qualified immunity defense of arresting officer and his supervisor, even though conviction was later reversed). </w:t>
      </w:r>
      <w:r w:rsidRPr="00C9228B">
        <w:rPr>
          <w:i/>
        </w:rPr>
        <w:t>See also</w:t>
      </w:r>
      <w:r w:rsidRPr="00C9228B">
        <w:t xml:space="preserve"> </w:t>
      </w:r>
      <w:r w:rsidRPr="00C9228B">
        <w:rPr>
          <w:i/>
        </w:rPr>
        <w:t>White v. Pauly</w:t>
      </w:r>
      <w:r w:rsidRPr="00C9228B">
        <w:t xml:space="preserve">, 137 S. Ct. 548, 552 (2017) (reiterating the need to avoid a high level of generality and stating that the factual uniqueness of the case “alone should have been an important indication” that the defendant did not violate clearly established law); </w:t>
      </w:r>
      <w:r w:rsidRPr="00C9228B">
        <w:rPr>
          <w:i/>
        </w:rPr>
        <w:t>Mann v. Palmerton Area School District</w:t>
      </w:r>
      <w:r w:rsidRPr="00C9228B">
        <w:t xml:space="preserve">, 872 F.3d 165, 174 (3d Cir. 2017) (holding that “it was not so plainly obvious that requiring a student-athlete, fully clothed in protective gear, to continue to participate in practice after sustaining a violent hit and exhibiting concussion symptoms implicated the student athlete’s constitutional rights”); </w:t>
      </w:r>
      <w:r w:rsidRPr="00852A74">
        <w:rPr>
          <w:i/>
        </w:rPr>
        <w:t>Barna v. Board of School Directors of the Panther Valley School District</w:t>
      </w:r>
      <w:r w:rsidRPr="00852A74">
        <w:t>, 877 F.3d 136, 144 (3d Cir. 2017) (observing that “there was, at best, disagreement in the Courts of Appeals as to the existence of a clearly established right to participate in school board meetings despite engaging in a pattern of threatening and disruptive behavior”).</w:t>
      </w:r>
    </w:p>
    <w:p w14:paraId="5EB5BDB9" w14:textId="77777777" w:rsidR="00C9228B" w:rsidRPr="00C9228B" w:rsidRDefault="00C9228B" w:rsidP="00C9228B">
      <w:pPr>
        <w:ind w:firstLine="720"/>
        <w:jc w:val="both"/>
      </w:pPr>
    </w:p>
    <w:p w14:paraId="48CAF7A5" w14:textId="5FE9A056" w:rsidR="00D6597B" w:rsidRPr="00CE325D" w:rsidRDefault="00C9228B" w:rsidP="00C9228B">
      <w:pPr>
        <w:ind w:firstLine="720"/>
        <w:jc w:val="both"/>
      </w:pPr>
      <w:r w:rsidRPr="00C9228B">
        <w:t xml:space="preserve">Courts should also be cautious about concluding that the law is clearly established based only on one or two opinions from their own circuit. </w:t>
      </w:r>
      <w:r w:rsidRPr="00C9228B">
        <w:rPr>
          <w:i/>
        </w:rPr>
        <w:t>Taylor v. Barkes</w:t>
      </w:r>
      <w:r w:rsidRPr="00C9228B">
        <w:t xml:space="preserve">, 135 S. Ct. 2042 (2015) (summarily reversing Court of Appeals for the Third Circuit); </w:t>
      </w:r>
      <w:r w:rsidRPr="00C9228B">
        <w:rPr>
          <w:i/>
        </w:rPr>
        <w:t>Carroll v. Carman</w:t>
      </w:r>
      <w:r w:rsidRPr="00C9228B">
        <w:t>, 135 S. Ct. 348 (2014) (same</w:t>
      </w:r>
      <w:r w:rsidRPr="00852A74">
        <w:t>).</w:t>
      </w:r>
      <w:r w:rsidRPr="00852A74">
        <w:rPr>
          <w:i/>
        </w:rPr>
        <w:t xml:space="preserve"> See also District of Columbia v. Wesby</w:t>
      </w:r>
      <w:r w:rsidRPr="00852A74">
        <w:t xml:space="preserve">, 138 S. Ct. 577,  591 n.8 (2018) (noting that the Court has not yet decided what precedents, other than its own, qualify as controlling authority for purposes of qualified immunity); </w:t>
      </w:r>
      <w:r w:rsidRPr="00852A74">
        <w:rPr>
          <w:i/>
        </w:rPr>
        <w:t>Barna v. Bd. of Sch. Directors of Panther Valley Sch. Dist</w:t>
      </w:r>
      <w:r w:rsidRPr="00852A74">
        <w:t xml:space="preserve">., 877 F.3d 136, 144–45 (3d Cir. 2017) (“Even if a right can be clearly established by circuit precedent despite disagreement in the courts of appeals, there does not appear to be any such consensus—much less the robust consensus—that we require”) (internal quotation marks and citation omitted); </w:t>
      </w:r>
      <w:r w:rsidRPr="00C9228B">
        <w:rPr>
          <w:i/>
        </w:rPr>
        <w:t>Mammaro v. New Jersey Div. of Child Prot. &amp; Permanency</w:t>
      </w:r>
      <w:r w:rsidRPr="00C9228B">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w:t>
      </w:r>
      <w:r w:rsidR="00D6597B" w:rsidRPr="00CE325D">
        <w:rPr>
          <w:i/>
        </w:rPr>
        <w:t>But see</w:t>
      </w:r>
      <w:r w:rsidR="00D6597B" w:rsidRPr="00CE325D">
        <w:t xml:space="preserve"> </w:t>
      </w:r>
      <w:r w:rsidR="00D6597B" w:rsidRPr="00CE325D">
        <w:rPr>
          <w:i/>
        </w:rPr>
        <w:t>Sauers v. Borough of Nesquehoning</w:t>
      </w:r>
      <w:r w:rsidR="00D6597B" w:rsidRPr="00CE325D">
        <w:t xml:space="preserve">, </w:t>
      </w:r>
      <w:r w:rsidR="00CE325D" w:rsidRPr="00CE325D">
        <w:t>905 F.3d 711, 715</w:t>
      </w:r>
      <w:r w:rsidR="00D6597B" w:rsidRPr="00CE325D">
        <w:t xml:space="preserve">, </w:t>
      </w:r>
      <w:r w:rsidR="00CE325D" w:rsidRPr="00CE325D">
        <w:t>723</w:t>
      </w:r>
      <w:r w:rsidR="00D6597B" w:rsidRPr="00CE325D">
        <w:t xml:space="preserve"> (3d Cir. Oct. 2, 2018) (acknowledging circuit split, while stating, “We hope . . . to establish the law clearly now,” and “our opinion today should resolve any ambiguity . . . . within this Circuit.”).</w:t>
      </w:r>
    </w:p>
    <w:p w14:paraId="579225B0" w14:textId="77777777" w:rsidR="00D6597B" w:rsidRPr="00CE325D" w:rsidRDefault="00D6597B" w:rsidP="00C9228B">
      <w:pPr>
        <w:ind w:firstLine="720"/>
        <w:jc w:val="both"/>
      </w:pPr>
    </w:p>
    <w:p w14:paraId="36AB9240" w14:textId="137DAE3D" w:rsidR="00C9228B" w:rsidRDefault="00C9228B" w:rsidP="00C9228B">
      <w:pPr>
        <w:ind w:firstLine="720"/>
        <w:jc w:val="both"/>
      </w:pPr>
      <w:r w:rsidRPr="00C9228B">
        <w:t xml:space="preserve">It is nonetheless possible for a principle of law to be clearly established, even if a member </w:t>
      </w:r>
      <w:r w:rsidRPr="00C9228B">
        <w:lastRenderedPageBreak/>
        <w:t xml:space="preserve">of the court does not believe that principle to be a correct statement of the law at all. In </w:t>
      </w:r>
      <w:r w:rsidRPr="00C9228B">
        <w:rPr>
          <w:i/>
        </w:rPr>
        <w:t>Mack v. Warden Loretto FCI</w:t>
      </w:r>
      <w:r w:rsidRPr="00C9228B">
        <w:t xml:space="preserve">, 839 F.3d 286 (3d Cir. 2016), while 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C9228B">
        <w:rPr>
          <w:i/>
        </w:rPr>
        <w:t>Id</w:t>
      </w:r>
      <w:r w:rsidRPr="00C9228B">
        <w:t xml:space="preserve">. at 306. </w:t>
      </w:r>
      <w:r w:rsidRPr="00C9228B">
        <w:rPr>
          <w:i/>
        </w:rPr>
        <w:t>See also Groh v. Ramirez</w:t>
      </w:r>
      <w:r w:rsidRPr="00C9228B">
        <w:t>, 540 U.S. 551 (2004) (denying qualified immunity in a Fourth Amendment search case, over a dissent that found no constitutional violation).</w:t>
      </w:r>
    </w:p>
    <w:p w14:paraId="327C1957" w14:textId="77777777" w:rsidR="00C9228B" w:rsidRPr="00C9228B" w:rsidRDefault="00C9228B" w:rsidP="00C9228B">
      <w:pPr>
        <w:ind w:firstLine="720"/>
        <w:jc w:val="both"/>
      </w:pPr>
    </w:p>
    <w:p w14:paraId="6F165FD0" w14:textId="6E456A69" w:rsidR="00C9228B" w:rsidRPr="00C9228B" w:rsidRDefault="00C9228B" w:rsidP="00C9228B">
      <w:pPr>
        <w:ind w:firstLine="720"/>
        <w:jc w:val="both"/>
      </w:pPr>
      <w:r w:rsidRPr="00C9228B">
        <w:t xml:space="preserve">Explaining its focus on reasonableness under the circumstances, the Court stated in </w:t>
      </w:r>
      <w:r w:rsidRPr="00C9228B">
        <w:rPr>
          <w:i/>
        </w:rPr>
        <w:t>Saucier</w:t>
      </w:r>
      <w:r w:rsidRPr="00C9228B">
        <w:t xml:space="preserve"> that “[b]ecause ‘police officers are often forced to make split</w:t>
      </w:r>
      <w:r w:rsidRPr="00C9228B">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C9228B">
        <w:noBreakHyphen/>
        <w:t xml:space="preserve">scene perspective.”  </w:t>
      </w:r>
      <w:r w:rsidRPr="00C9228B">
        <w:rPr>
          <w:i/>
        </w:rPr>
        <w:t>Saucier</w:t>
      </w:r>
      <w:r w:rsidRPr="00C9228B">
        <w:t xml:space="preserve">, 533 U.S. at 205 (quoting </w:t>
      </w:r>
      <w:r w:rsidRPr="00C9228B">
        <w:rPr>
          <w:i/>
        </w:rPr>
        <w:t>Graham v. Connor</w:t>
      </w:r>
      <w:r w:rsidRPr="00C9228B">
        <w:t xml:space="preserve">, 490 U.S. 386, 397 (1989)). </w:t>
      </w:r>
      <w:r w:rsidRPr="00C9228B">
        <w:rPr>
          <w:i/>
        </w:rPr>
        <w:t xml:space="preserve">See </w:t>
      </w:r>
      <w:r w:rsidRPr="00CE325D">
        <w:rPr>
          <w:i/>
        </w:rPr>
        <w:t>also</w:t>
      </w:r>
      <w:r w:rsidR="00EC6584" w:rsidRPr="00CE325D">
        <w:rPr>
          <w:i/>
        </w:rPr>
        <w:t xml:space="preserve"> Bland v. City of Newark</w:t>
      </w:r>
      <w:r w:rsidR="00EC6584" w:rsidRPr="00CE325D">
        <w:t xml:space="preserve">, 900 F.3d 77 (3d Cir. 2018) (upholding qualified immunity for officers who shot driver of car after it crashed and was entangled in scaffolding because Bland threatened to kill the officers, the officers had reason to believe Bland was armed, and the officers had seen Bland extricate the car he was driving from an earlier crash and continue to flee); </w:t>
      </w:r>
      <w:r w:rsidRPr="00C9228B">
        <w:rPr>
          <w:i/>
        </w:rPr>
        <w:t>Mammaro v. New Jersey Div. of Child Prot. &amp; Permanency</w:t>
      </w:r>
      <w:r w:rsidRPr="00C9228B">
        <w:t xml:space="preserve">, 814 F.3d 164, 171 (3d Cir. 2016) (finding child protection caseworkers protected by qualified immunity and noting “that the failure to act quickly and decisively in these situations may have devastating consequences for vulnerable children”). Conversely, the court of appeals has suggested that qualified immunity analysis can take into account the fact that a defendant had time to deliberate before acting.  </w:t>
      </w:r>
      <w:r w:rsidRPr="00A55758">
        <w:rPr>
          <w:i/>
        </w:rPr>
        <w:t>See</w:t>
      </w:r>
      <w:r w:rsidRPr="00C9228B">
        <w:t xml:space="preserve"> </w:t>
      </w:r>
      <w:r w:rsidRPr="00C9228B">
        <w:rPr>
          <w:i/>
        </w:rPr>
        <w:t>Reedy v. Evanson</w:t>
      </w:r>
      <w:r w:rsidRPr="00C9228B">
        <w:t>, 615 F.3d 197, 224 n.37 (3d Cir. 2010) (in the course of holding that summary judgment on qualified-immunity grounds was inappropriate, noting that “[t]here were no ‘split</w:t>
      </w:r>
      <w:r w:rsidRPr="00C9228B">
        <w:noBreakHyphen/>
        <w:t>second’ decisions made in this case”).</w:t>
      </w:r>
    </w:p>
    <w:p w14:paraId="78E5CF49" w14:textId="77777777" w:rsidR="00C9228B" w:rsidRDefault="00C9228B">
      <w:pPr>
        <w:ind w:firstLine="720"/>
        <w:jc w:val="both"/>
      </w:pPr>
    </w:p>
    <w:p w14:paraId="229F2148" w14:textId="378EB5EB"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lastRenderedPageBreak/>
        <w:t>Saucier</w:t>
      </w:r>
      <w:r>
        <w:t>, 533 U.S. at 205.</w:t>
      </w:r>
      <w:r>
        <w:rPr>
          <w:rStyle w:val="FootnoteReference"/>
        </w:rPr>
        <w:footnoteReference w:id="98"/>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77777777"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rPr>
        <w:footnoteReference w:id="99"/>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 xml:space="preserve">decide the objective reasonableness issue once all the historical facts are no </w:t>
      </w:r>
      <w:r>
        <w:lastRenderedPageBreak/>
        <w:t>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rPr>
        <w:footnoteReference w:id="100"/>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rPr>
        <w:footnoteReference w:id="101"/>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rPr>
        <w:footnoteReference w:id="102"/>
      </w:r>
      <w:r>
        <w:t xml:space="preserve">  Rather, the court </w:t>
      </w:r>
      <w:r>
        <w:lastRenderedPageBreak/>
        <w:t>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rPr>
        <w:footnoteReference w:id="103"/>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rPr>
        <w:footnoteReference w:id="104"/>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rPr>
        <w:footnoteReference w:id="105"/>
      </w:r>
      <w:r>
        <w:t xml:space="preserve"> raises the possibility </w:t>
      </w:r>
      <w:r>
        <w:lastRenderedPageBreak/>
        <w:t>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14:paraId="5317CF7D" w14:textId="77777777" w:rsidR="00A610BD" w:rsidRDefault="00A610BD">
      <w:pPr>
        <w:jc w:val="both"/>
      </w:pPr>
    </w:p>
    <w:p w14:paraId="537FE339" w14:textId="1F3250BE"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8B1545">
        <w:t>’ ”</w:t>
      </w:r>
      <w:r w:rsidR="00AC6A18">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rPr>
        <w:footnoteReference w:id="106"/>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rPr>
        <w:footnoteReference w:id="107"/>
      </w:r>
      <w:r>
        <w:t xml:space="preserve"> </w:t>
      </w:r>
    </w:p>
    <w:p w14:paraId="6C3CE25D" w14:textId="77777777"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7C2EEDEB" w14:textId="77777777"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14:paraId="2F6A47B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B4EB86A" w14:textId="68503B00"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rPr>
        <w:footnoteReference w:id="108"/>
      </w:r>
      <w:r>
        <w:t xml:space="preserve"> [by a preponderance of the evidence]</w:t>
      </w:r>
      <w:r>
        <w:rPr>
          <w:rStyle w:val="FootnoteReference"/>
        </w:rPr>
        <w:footnoteReference w:id="109"/>
      </w:r>
      <w:r>
        <w:t xml:space="preserve"> that [plaintiff] agreed to the release and that [plaintiff</w:t>
      </w:r>
      <w:r w:rsidR="000D09A4">
        <w:t>’</w:t>
      </w:r>
      <w:r>
        <w:t>s] decision to agree to the release was deliberate, informed and voluntary.</w:t>
      </w:r>
      <w:r>
        <w:rPr>
          <w:rStyle w:val="FootnoteReference"/>
        </w:rPr>
        <w:footnoteReference w:id="110"/>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t>Whether [plaintiff] was in custody at the time [he/she] entered into the release;</w:t>
      </w:r>
    </w:p>
    <w:p w14:paraId="2207CB85" w14:textId="77777777"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rPr>
        <w:footnoteReference w:id="111"/>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rPr>
        <w:footnoteReference w:id="112"/>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lastRenderedPageBreak/>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rPr>
        <w:footnoteReference w:id="113"/>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rPr>
        <w:footnoteReference w:id="114"/>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rPr>
        <w:footnoteReference w:id="115"/>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xml:space="preserve">, notwithstanding that the evidence of misconduct was not known, or reasonably knowable, by the </w:t>
      </w:r>
      <w:r w:rsidR="00A610BD">
        <w:lastRenderedPageBreak/>
        <w:t>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t>The objective inquiry (whether there existed a valid public interest in the release) is for the court,</w:t>
      </w:r>
      <w:r>
        <w:rPr>
          <w:rStyle w:val="FootnoteReference"/>
        </w:rPr>
        <w:footnoteReference w:id="116"/>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28"/>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rPr>
        <w:footnoteReference w:id="117"/>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rPr>
        <w:footnoteReference w:id="118"/>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rPr>
        <w:footnoteReference w:id="119"/>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 xml:space="preserve">The reasonable value of each day of confinement after the time [plaintiff] would have been </w:t>
      </w:r>
      <w:r>
        <w:lastRenderedPageBreak/>
        <w:t>released if [defendant] had not taken the actions that [plaintiff] alleges.</w:t>
      </w:r>
      <w:r>
        <w:rPr>
          <w:rStyle w:val="FootnoteReference"/>
        </w:rPr>
        <w:footnoteReference w:id="120"/>
      </w:r>
    </w:p>
    <w:p w14:paraId="58B4EDFD" w14:textId="77777777" w:rsidR="00A610BD" w:rsidRPr="00BD7231" w:rsidRDefault="00A610BD">
      <w:pPr>
        <w:ind w:firstLine="720"/>
        <w:jc w:val="both"/>
      </w:pPr>
      <w:r w:rsidRPr="00BD7231">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rPr>
        <w:footnoteReference w:id="121"/>
      </w:r>
    </w:p>
    <w:p w14:paraId="5E4409B8" w14:textId="68F44EC2"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8B1545">
        <w:t>’ ”</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xml:space="preserve">, 929 F.2d 31, 35 (1st Cir. 1991) (in assessing </w:t>
      </w:r>
      <w:r>
        <w:lastRenderedPageBreak/>
        <w:t>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w:t>
      </w:r>
      <w:r w:rsidR="001B783C">
        <w:t xml:space="preserve"> </w:t>
      </w:r>
      <w:r>
        <w:t>Supp.</w:t>
      </w:r>
      <w:r w:rsidR="001B783C">
        <w:t xml:space="preserve"> </w:t>
      </w:r>
      <w:r>
        <w:t>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F7E478F"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8B1545">
        <w:t>’ ”</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3DC30A6" w:rsidR="00A610BD" w:rsidRDefault="00A610BD">
      <w:pPr>
        <w:jc w:val="both"/>
      </w:pP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xml:space="preserve">, 435 </w:t>
      </w:r>
      <w:r>
        <w:lastRenderedPageBreak/>
        <w:t>U.S. 247, 257</w:t>
      </w:r>
      <w:r>
        <w:noBreakHyphen/>
        <w:t>258 (1978).</w:t>
      </w:r>
      <w:r>
        <w:rPr>
          <w:rStyle w:val="FootnoteReference"/>
        </w:rPr>
        <w:footnoteReference w:id="122"/>
      </w:r>
      <w:r>
        <w:t xml:space="preserve">  The </w:t>
      </w:r>
      <w:r>
        <w:rPr>
          <w:i/>
          <w:iCs/>
        </w:rPr>
        <w:t>Carey</w:t>
      </w:r>
      <w:r>
        <w:t xml:space="preserve"> Court also noted, however, that </w:t>
      </w:r>
      <w:r w:rsidR="00733FCD">
        <w:t>“the</w:t>
      </w:r>
      <w:r>
        <w:t xml:space="preserve"> rules governing 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16DA7453"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8B1545">
        <w:t>’ ”</w:t>
      </w:r>
      <w:r>
        <w:t xml:space="preserve"> within the meaning of Section 1997e(e)).</w:t>
      </w:r>
      <w:r>
        <w:rPr>
          <w:rStyle w:val="FootnoteReference"/>
        </w:rPr>
        <w:footnoteReference w:id="123"/>
      </w:r>
      <w:r>
        <w:t xml:space="preserve">  At least one district court has interpreted Section 1997e(e) to preclude the award of damages for emotional injury absent a finding of physical injury.  </w:t>
      </w:r>
      <w:r>
        <w:rPr>
          <w:i/>
          <w:iCs/>
        </w:rPr>
        <w:t>See Tate v. Dragovich</w:t>
      </w:r>
      <w:r>
        <w:t>, 2003 WL 21978141, at *9 (E</w:t>
      </w:r>
      <w:r w:rsidR="0077488E">
        <w:t>.D. Pa.</w:t>
      </w:r>
      <w:r>
        <w:t xml:space="preserve">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rPr>
        <w:footnoteReference w:id="124"/>
      </w:r>
      <w:r>
        <w:t xml:space="preserve"> the court should incorporate this consideration into the </w:t>
      </w:r>
      <w:r>
        <w:lastRenderedPageBreak/>
        <w:t>instructions.</w:t>
      </w:r>
      <w:r>
        <w:rPr>
          <w:rStyle w:val="FootnoteReference"/>
        </w:rPr>
        <w:footnoteReference w:id="125"/>
      </w:r>
    </w:p>
    <w:p w14:paraId="55AD5F01" w14:textId="77777777" w:rsidR="00E73FD6" w:rsidRDefault="00E73FD6">
      <w:pPr>
        <w:ind w:firstLine="720"/>
        <w:jc w:val="both"/>
      </w:pPr>
    </w:p>
    <w:p w14:paraId="6553C457" w14:textId="77777777" w:rsidR="00A610BD" w:rsidRDefault="00A610BD">
      <w:pPr>
        <w:ind w:firstLine="720"/>
        <w:jc w:val="both"/>
      </w:pPr>
      <w:r>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w:t>
      </w:r>
      <w:r>
        <w:lastRenderedPageBreak/>
        <w:t>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29"/>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0111B7" w:rsidRDefault="00A610BD" w:rsidP="000111B7">
      <w:pPr>
        <w:ind w:firstLine="720"/>
        <w:jc w:val="both"/>
        <w:rPr>
          <w:u w:val="single"/>
        </w:rPr>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rPr>
        <w:footnoteReference w:id="126"/>
      </w:r>
      <w:r>
        <w:t xml:space="preserve"> it is error to instruct the jury on nominal damages, at least if the nominal damages instruction is emphasized to the exclusion of appropriate instructions on compensatory damages.</w:t>
      </w:r>
      <w:r>
        <w:rPr>
          <w:rStyle w:val="FootnoteReference"/>
        </w:rPr>
        <w:footnoteReference w:id="127"/>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5314BD60"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sidR="0077488E">
        <w:rPr>
          <w:b/>
          <w:bCs/>
          <w:sz w:val="28"/>
          <w:szCs w:val="28"/>
        </w:rPr>
        <w:t>–</w:t>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30"/>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t xml:space="preserve">Model </w:t>
      </w:r>
      <w:r>
        <w:rPr>
          <w:rStyle w:val="FootnoteReference"/>
        </w:rPr>
        <w:footnoteReference w:id="128"/>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0DF72172" w:rsidR="00A610BD" w:rsidRDefault="00A610BD" w:rsidP="00A55758">
      <w:pPr>
        <w:pStyle w:val="ListParagraph"/>
        <w:numPr>
          <w:ilvl w:val="0"/>
          <w:numId w:val="18"/>
        </w:numPr>
        <w:jc w:val="both"/>
      </w:pP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6D8BE5AA" w:rsidR="00A610BD" w:rsidRDefault="00A610BD" w:rsidP="00A55758">
      <w:pPr>
        <w:pStyle w:val="ListParagraph"/>
        <w:numPr>
          <w:ilvl w:val="0"/>
          <w:numId w:val="18"/>
        </w:numPr>
        <w:jc w:val="both"/>
      </w:pPr>
      <w:r>
        <w:t>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rPr>
        <w:footnoteReference w:id="129"/>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rPr>
        <w:footnoteReference w:id="130"/>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 xml:space="preserve">s act posed a risk to health or safety; whether the defendant acted in a deliberately </w:t>
      </w:r>
      <w:r>
        <w:lastRenderedPageBreak/>
        <w:t>deceptive manner; and whether the defendant engaged in repeated misconduct, or a single act.]  You should also consider the amount of harm actually caused by the defendant</w:t>
      </w:r>
      <w:r w:rsidR="000D09A4">
        <w:t>’</w:t>
      </w:r>
      <w:r>
        <w:t>s act, [as well as the harm the defendant</w:t>
      </w:r>
      <w:r w:rsidR="000D09A4">
        <w:t>’</w:t>
      </w:r>
      <w:r>
        <w:t>s act could have caused]</w:t>
      </w:r>
      <w:r>
        <w:rPr>
          <w:rStyle w:val="FootnoteReference"/>
        </w:rPr>
        <w:footnoteReference w:id="131"/>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rPr>
        <w:footnoteReference w:id="132"/>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2AF6A737"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w:t>
      </w:r>
      <w:r w:rsidR="00A610BD">
        <w:lastRenderedPageBreak/>
        <w:t xml:space="preserve">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rPr>
        <w:footnoteReference w:id="133"/>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8B1545">
        <w:t xml:space="preserve"> </w:t>
      </w:r>
      <w:r w:rsidR="00B558F3">
        <w:t>“</w:t>
      </w:r>
      <w:r w:rsidR="00A610BD">
        <w:t>criminal indifference to civil obligations.</w:t>
      </w:r>
      <w:r w:rsidR="008B1545" w:rsidRPr="008B1545">
        <w:t xml:space="preserve"> </w:t>
      </w:r>
      <w:r w:rsidR="008B1545">
        <w:t>” ’ ”</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rPr>
        <w:footnoteReference w:id="134"/>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rPr>
        <w:footnoteReference w:id="135"/>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rPr>
        <w:footnoteReference w:id="136"/>
      </w:r>
      <w:r>
        <w:t xml:space="preserve"> (though the </w:t>
      </w:r>
      <w:r>
        <w:rPr>
          <w:i/>
          <w:iCs/>
        </w:rPr>
        <w:t>Gore</w:t>
      </w:r>
      <w:r>
        <w:t xml:space="preserve"> factors may </w:t>
      </w:r>
      <w:r>
        <w:lastRenderedPageBreak/>
        <w:t>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rPr>
        <w:footnoteReference w:id="137"/>
      </w:r>
      <w:r>
        <w:t xml:space="preserve">  However, given the </w:t>
      </w:r>
      <w:r>
        <w:lastRenderedPageBreak/>
        <w:t>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rPr>
        <w:footnoteReference w:id="138"/>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rPr>
        <w:footnoteReference w:id="139"/>
      </w:r>
      <w:r>
        <w:t xml:space="preserve">  The jury can also take into </w:t>
      </w:r>
      <w:r>
        <w:lastRenderedPageBreak/>
        <w:t xml:space="preserve">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rPr>
        <w:footnoteReference w:id="140"/>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rPr>
        <w:footnoteReference w:id="141"/>
      </w:r>
      <w:r>
        <w:t xml:space="preserve">  However, the Court</w:t>
      </w:r>
      <w:r w:rsidR="000D09A4">
        <w:t>’</w:t>
      </w:r>
      <w:r>
        <w:t xml:space="preserve">s decision in </w:t>
      </w:r>
      <w:r>
        <w:rPr>
          <w:i/>
          <w:iCs/>
        </w:rPr>
        <w:t>Philip Morris USA v. Williams</w:t>
      </w:r>
      <w:r>
        <w:t>, 127 S.</w:t>
      </w:r>
      <w:r w:rsidR="001B783C">
        <w:t xml:space="preserve"> </w:t>
      </w:r>
      <w:r>
        <w:t>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w:t>
      </w:r>
      <w:r>
        <w:lastRenderedPageBreak/>
        <w:t>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rPr>
        <w:footnoteReference w:id="142"/>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 xml:space="preserve">upon </w:t>
      </w:r>
      <w:r>
        <w:lastRenderedPageBreak/>
        <w:t>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rPr>
        <w:footnoteReference w:id="143"/>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rPr>
        <w:footnoteReference w:id="144"/>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xml:space="preserve">, 538 U.S. at 425.  However, the analysis is complicated by </w:t>
      </w:r>
      <w:r>
        <w:lastRenderedPageBreak/>
        <w:t>the possibility that the permissible ratio will vary inversely to the size of the compensatory damages award.</w:t>
      </w:r>
      <w:r>
        <w:rPr>
          <w:rStyle w:val="FootnoteReference"/>
        </w:rPr>
        <w:footnoteReference w:id="145"/>
      </w:r>
      <w:r>
        <w:t xml:space="preserve">  </w:t>
      </w:r>
      <w:r>
        <w:rPr>
          <w:i/>
          <w:iCs/>
        </w:rPr>
        <w:t>See id.</w:t>
      </w:r>
      <w:r>
        <w:t xml:space="preserve"> (stating </w:t>
      </w:r>
      <w:r w:rsidR="001D2816">
        <w:t>that “</w:t>
      </w:r>
      <w:r>
        <w:t>ratios greater than those we have previously upheld may 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rPr>
        <w:footnoteReference w:id="146"/>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 xml:space="preserve">Due to the complexities and potential downsides of a proportionality instruction, the Committee has not included proportionality language in the model instruction.  However, in a case </w:t>
      </w:r>
      <w:r>
        <w:lastRenderedPageBreak/>
        <w:t>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rPr>
        <w:footnoteReference w:id="147"/>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rPr>
        <w:footnoteReference w:id="148"/>
      </w:r>
      <w:r>
        <w:t xml:space="preserve">  Elsewhere, the Court has noted its concern that evidence of wealth could </w:t>
      </w:r>
      <w:r>
        <w:lastRenderedPageBreak/>
        <w:t>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rPr>
        <w:footnoteReference w:id="149"/>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5379B794"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w:t>
      </w:r>
      <w:r w:rsidR="0077488E">
        <w:t>.D. Pa.</w:t>
      </w:r>
      <w:r>
        <w:t xml:space="preserve"> 1998) (rejecting</w:t>
      </w:r>
      <w:r w:rsidR="007514A3">
        <w:t xml:space="preserve"> “</w:t>
      </w:r>
      <w:r>
        <w:t xml:space="preserve">defendants argument, based on Judge Higginbotham's dissent in </w:t>
      </w:r>
      <w:r>
        <w:rPr>
          <w:i/>
          <w:iCs/>
        </w:rPr>
        <w:t>Keenan</w:t>
      </w:r>
      <w:r>
        <w:t xml:space="preserve"> . . . , that a prerequisite to the </w:t>
      </w:r>
      <w:r>
        <w:lastRenderedPageBreak/>
        <w:t>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rPr>
        <w:footnoteReference w:id="150"/>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 xml:space="preserve">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w:t>
      </w:r>
      <w:r>
        <w:lastRenderedPageBreak/>
        <w:t>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t>the number of persons with whom [defendant] had to contend; and</w:t>
      </w:r>
    </w:p>
    <w:p w14:paraId="51B2B3C1" w14:textId="77777777" w:rsidR="00A610BD" w:rsidRDefault="00A610BD" w:rsidP="0062691A">
      <w:pPr>
        <w:pStyle w:val="ListParagraph"/>
        <w:numPr>
          <w:ilvl w:val="0"/>
          <w:numId w:val="7"/>
        </w:numPr>
        <w:jc w:val="both"/>
      </w:pPr>
      <w:r>
        <w:lastRenderedPageBreak/>
        <w:t>whether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F84975B"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8B1545">
        <w:t>’ ”</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14:paraId="3DFDE43D" w14:textId="77777777" w:rsidR="00A610BD" w:rsidRDefault="00A610BD">
      <w:pPr>
        <w:jc w:val="both"/>
      </w:pPr>
    </w:p>
    <w:p w14:paraId="5029BD51" w14:textId="77777777" w:rsidR="00A610BD" w:rsidRDefault="00A610BD">
      <w:pPr>
        <w:ind w:firstLine="720"/>
        <w:jc w:val="both"/>
      </w:pPr>
      <w:r>
        <w:t xml:space="preserve">Because the excessive force standards differ depending on the source of the constitutional protection, it will be necessary to determine which standard ought to apply.  The Fourth </w:t>
      </w:r>
      <w:r>
        <w:lastRenderedPageBreak/>
        <w:t>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78FAC0B6" w14:textId="77777777" w:rsidR="00BE7BA2" w:rsidRDefault="00A610BD" w:rsidP="00BE7BA2">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AE149FD" w14:textId="77777777" w:rsidR="00BE7BA2" w:rsidRDefault="00BE7BA2" w:rsidP="00BE7BA2">
      <w:pPr>
        <w:jc w:val="both"/>
      </w:pPr>
    </w:p>
    <w:p w14:paraId="6645F2A1" w14:textId="24CBC176" w:rsidR="00BE7BA2" w:rsidRPr="00BE7BA2" w:rsidRDefault="00BE7BA2" w:rsidP="00BE7BA2">
      <w:pPr>
        <w:ind w:firstLine="720"/>
        <w:jc w:val="both"/>
      </w:pPr>
      <w:r w:rsidRPr="00BE7BA2">
        <w:t xml:space="preserve"> A passenger shot by an officer during a vehicular pursuit may seek relief under the Fourth Amendment, not under substantive due process. </w:t>
      </w:r>
      <w:r w:rsidRPr="00BE7BA2">
        <w:rPr>
          <w:i/>
        </w:rPr>
        <w:t>Davenport v. Borough of Homestead</w:t>
      </w:r>
      <w:r w:rsidRPr="00BE7BA2">
        <w:t xml:space="preserve">, </w:t>
      </w:r>
      <w:r w:rsidR="007A7790">
        <w:t>870 F.3d 273</w:t>
      </w:r>
      <w:r w:rsidRPr="00BE7BA2">
        <w:t xml:space="preserve"> (3d Cir.</w:t>
      </w:r>
      <w:r w:rsidR="007A7790">
        <w:t xml:space="preserve"> </w:t>
      </w:r>
      <w:r w:rsidRPr="00BE7BA2">
        <w:t>2017).</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1B8A92FC" w14:textId="1CAF8229" w:rsidR="00A610BD" w:rsidRPr="00BE7BA2"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w:t>
      </w:r>
      <w:r>
        <w:lastRenderedPageBreak/>
        <w:t>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8B1545">
        <w:t>’ ”</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rPr>
        <w:footnoteReference w:id="151"/>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rPr>
        <w:footnoteReference w:id="152"/>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xml:space="preserve">, 361 F.3d 772, 777 (3d Cir. </w:t>
      </w:r>
      <w:r w:rsidRPr="00BE7BA2">
        <w:t>2004).</w:t>
      </w:r>
      <w:r w:rsidR="00BE7BA2" w:rsidRPr="00BE7BA2">
        <w:rPr>
          <w:i/>
        </w:rPr>
        <w:t xml:space="preserve"> See also</w:t>
      </w:r>
      <w:r w:rsidR="00BE7BA2" w:rsidRPr="00BE7BA2">
        <w:t xml:space="preserve"> </w:t>
      </w:r>
      <w:r w:rsidR="00BE7BA2" w:rsidRPr="00BE7BA2">
        <w:rPr>
          <w:i/>
        </w:rPr>
        <w:t>Davenport v. Borough of Homestead</w:t>
      </w:r>
      <w:r w:rsidR="00BE7BA2" w:rsidRPr="00BE7BA2">
        <w:t xml:space="preserve">, </w:t>
      </w:r>
      <w:r w:rsidR="00FC585C">
        <w:t xml:space="preserve">870 F.3d 273, 280 </w:t>
      </w:r>
      <w:r w:rsidR="00BE7BA2" w:rsidRPr="00BE7BA2">
        <w:t>(3d Cir.</w:t>
      </w:r>
      <w:r w:rsidR="00FC585C">
        <w:t xml:space="preserve"> </w:t>
      </w:r>
      <w:r w:rsidR="00BE7BA2" w:rsidRPr="00BE7BA2">
        <w:t>2017) (holding that a police shooting was reasonable because “video evidence indisputably shows a heavy pedestrian presence during the course of the pursuit,” and the driver “continuously swerved between inbound and outbound lanes, which ultimately led to his colliding with three other vehicles”).</w:t>
      </w:r>
    </w:p>
    <w:p w14:paraId="2E359FBF" w14:textId="77777777" w:rsidR="00A610BD" w:rsidRPr="00BE7BA2" w:rsidRDefault="00A610BD">
      <w:pPr>
        <w:jc w:val="both"/>
      </w:pPr>
    </w:p>
    <w:p w14:paraId="5A3E1FD4" w14:textId="77777777"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2FD5DEF7" w:rsidR="000F1DF0" w:rsidRDefault="000F1DF0" w:rsidP="000F1DF0">
      <w:pPr>
        <w:ind w:firstLine="720"/>
        <w:jc w:val="both"/>
      </w:pPr>
      <w:r w:rsidRPr="00E35963">
        <w:t xml:space="preserve">In the past, the court of appeals treated the use of deadly force as subject to more 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r w:rsidR="00BE7BA2" w:rsidRPr="00BE7BA2">
        <w:t xml:space="preserve"> </w:t>
      </w:r>
      <w:r w:rsidR="00BE7BA2" w:rsidRPr="00BE7BA2">
        <w:rPr>
          <w:i/>
        </w:rPr>
        <w:t>See also Cty. of Los Angeles, Calif. v. Mendez</w:t>
      </w:r>
      <w:r w:rsidR="00BE7BA2" w:rsidRPr="00BE7BA2">
        <w:t>, 137 S. Ct. 1539, 1547 (2017) (“</w:t>
      </w:r>
      <w:r w:rsidR="00BE7BA2" w:rsidRPr="00BE7BA2">
        <w:rPr>
          <w:i/>
        </w:rPr>
        <w:t>The</w:t>
      </w:r>
      <w:r w:rsidR="00BE7BA2" w:rsidRPr="00BE7BA2">
        <w:t xml:space="preserve"> framework for analyzing excessive force claims is set out in </w:t>
      </w:r>
      <w:r w:rsidR="00BE7BA2" w:rsidRPr="00BE7BA2">
        <w:rPr>
          <w:i/>
        </w:rPr>
        <w:t>Graham</w:t>
      </w:r>
      <w:r w:rsidR="00BE7BA2" w:rsidRPr="00BE7BA2">
        <w:t xml:space="preserve">.”) (emphasis in original). </w:t>
      </w:r>
    </w:p>
    <w:p w14:paraId="3244FBE3" w14:textId="77777777" w:rsidR="000F1DF0" w:rsidRDefault="000F1DF0" w:rsidP="000F1DF0">
      <w:pPr>
        <w:ind w:firstLine="720"/>
        <w:jc w:val="both"/>
      </w:pPr>
    </w:p>
    <w:p w14:paraId="1B7FF747" w14:textId="6CF6F72B" w:rsidR="000F1DF0" w:rsidRPr="00BE7BA2"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w:t>
      </w:r>
      <w:r w:rsidRPr="00DA02B8">
        <w:rPr>
          <w:i/>
        </w:rPr>
        <w:t>Id</w:t>
      </w:r>
      <w:r w:rsidRPr="00DA02B8">
        <w:t>. at 349-50.</w:t>
      </w:r>
      <w:r w:rsidR="00BE7BA2">
        <w:t xml:space="preserve"> </w:t>
      </w:r>
      <w:r w:rsidR="00BE7BA2" w:rsidRPr="00BE7BA2">
        <w:t xml:space="preserve">(In </w:t>
      </w:r>
      <w:r w:rsidR="00BE7BA2" w:rsidRPr="00BE7BA2">
        <w:rPr>
          <w:i/>
        </w:rPr>
        <w:t>Davenport v. Homestead</w:t>
      </w:r>
      <w:r w:rsidR="00BE7BA2" w:rsidRPr="00BE7BA2">
        <w:t xml:space="preserve">, </w:t>
      </w:r>
      <w:r w:rsidR="007A7790">
        <w:t xml:space="preserve">870 F.3d 273, 281 </w:t>
      </w:r>
      <w:r w:rsidR="00BE7BA2" w:rsidRPr="00BE7BA2">
        <w:t>(</w:t>
      </w:r>
      <w:r w:rsidR="007A7790">
        <w:t xml:space="preserve">3d Cir. </w:t>
      </w:r>
      <w:r w:rsidR="00BE7BA2" w:rsidRPr="00BE7BA2">
        <w:t xml:space="preserve">2017), without citing </w:t>
      </w:r>
      <w:r w:rsidR="00BE7BA2" w:rsidRPr="00BE7BA2">
        <w:rPr>
          <w:i/>
        </w:rPr>
        <w:t>Johnson</w:t>
      </w:r>
      <w:r w:rsidR="00BE7BA2" w:rsidRPr="00BE7BA2">
        <w:t xml:space="preserve">, the court of appeals stated that the Supreme Court “has applied </w:t>
      </w:r>
      <w:r w:rsidR="00BE7BA2" w:rsidRPr="00BE7BA2">
        <w:rPr>
          <w:i/>
        </w:rPr>
        <w:t>Garner’s</w:t>
      </w:r>
      <w:r w:rsidR="00BE7BA2" w:rsidRPr="00BE7BA2">
        <w:t xml:space="preserve"> ‘general’ test for excessive force in only the ‘obvious’ case,” but in context, this appears to be a statement about when qualified immunity is overcome.)</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lastRenderedPageBreak/>
        <w:t xml:space="preserve">A literal reading of </w:t>
      </w:r>
      <w:r w:rsidRPr="00DA02B8">
        <w:rPr>
          <w:i/>
        </w:rPr>
        <w:t>Johnson</w:t>
      </w:r>
      <w:r w:rsidRPr="00DA02B8">
        <w:t xml:space="preserve"> suggests that Instruction 4.9 should be used in all excessive force cases.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F1C47A3"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rPr>
        <w:footnoteReference w:id="153"/>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7AF52DB3" w14:textId="25464B3F" w:rsidR="00C73B9C" w:rsidRDefault="00C73B9C">
      <w:pPr>
        <w:ind w:firstLine="720"/>
        <w:jc w:val="both"/>
      </w:pPr>
    </w:p>
    <w:p w14:paraId="6157A6CB" w14:textId="35E82A6E" w:rsidR="00EC6584" w:rsidRPr="00EC6584" w:rsidRDefault="00C73B9C" w:rsidP="00EC6584">
      <w:pPr>
        <w:ind w:firstLine="720"/>
        <w:jc w:val="both"/>
      </w:pPr>
      <w:r w:rsidRPr="00C73B9C">
        <w:t xml:space="preserve">An otherwise reasonable use of force does not become unreasonable because the officers had committed a separate Fourth Amendment violation that contributed to the need to use force. </w:t>
      </w:r>
      <w:r w:rsidRPr="00C73B9C">
        <w:rPr>
          <w:i/>
        </w:rPr>
        <w:t>Cty. of Los Angeles, Calif. v. Mendez</w:t>
      </w:r>
      <w:r w:rsidRPr="00C73B9C">
        <w:t>, 137 S. Ct. 1539, 1546 (2017) (rejecting the provocation rule because it has a “fundamental flaw” of using “another constitutional violation to manufacture an excessive force claim where one would not otherwise exist”).</w:t>
      </w:r>
    </w:p>
    <w:p w14:paraId="7AA6B30D" w14:textId="77777777" w:rsidR="00EC6584" w:rsidRPr="00EC6584" w:rsidRDefault="00EC6584" w:rsidP="00EC6584">
      <w:pPr>
        <w:ind w:firstLine="720"/>
        <w:jc w:val="both"/>
      </w:pPr>
    </w:p>
    <w:p w14:paraId="19E0797F" w14:textId="68F536FB" w:rsidR="00C73B9C" w:rsidRPr="00C73B9C" w:rsidRDefault="00EC6584" w:rsidP="00EC6584">
      <w:pPr>
        <w:ind w:firstLine="720"/>
        <w:jc w:val="both"/>
      </w:pPr>
      <w:r w:rsidRPr="00EC6584">
        <w:t xml:space="preserve">Even when it is undisputed that some one of a group of officers committed a constitutional violation, a plaintiff must prove that a particular defendant used excessive force; if there is no evidence identifying the particular actor, the excessive force claim fails. </w:t>
      </w:r>
      <w:r w:rsidRPr="00EC6584">
        <w:rPr>
          <w:i/>
        </w:rPr>
        <w:t>Jutrowski v. Twp. of Riverdale</w:t>
      </w:r>
      <w:r w:rsidRPr="00EC6584">
        <w:t xml:space="preserve">, </w:t>
      </w:r>
      <w:r w:rsidR="00B71E1F">
        <w:t xml:space="preserve">904 F.3d 280 </w:t>
      </w:r>
      <w:r w:rsidRPr="00EC6584">
        <w:t>(3d Cir.</w:t>
      </w:r>
      <w:r w:rsidR="00B71E1F">
        <w:t xml:space="preserve"> </w:t>
      </w:r>
      <w:r w:rsidRPr="00EC6584">
        <w:t>2018). In such cases, however, there may be a viable claim for an after-the-fact conspiracy to deny the plaintiff his constitutional right of access to the courts.</w:t>
      </w:r>
    </w:p>
    <w:p w14:paraId="14C173ED" w14:textId="0424441A" w:rsidR="00C73B9C" w:rsidRDefault="00C73B9C">
      <w:pPr>
        <w:ind w:firstLine="720"/>
        <w:jc w:val="both"/>
      </w:pPr>
    </w:p>
    <w:p w14:paraId="1DD50774" w14:textId="77777777"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rPr>
        <w:footnoteReference w:id="154"/>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14:paraId="108BBF6A"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C3B09EA" w14:textId="77777777"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0F0DA85D" w14:textId="1A009FB9" w:rsidR="00D226C8" w:rsidRPr="00D226C8" w:rsidRDefault="000F1DF0" w:rsidP="00D226C8">
      <w:pPr>
        <w:ind w:firstLine="720"/>
        <w:jc w:val="both"/>
        <w:rPr>
          <w:b/>
          <w:bCs/>
          <w:i/>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r w:rsidRPr="00D226C8">
        <w:rPr>
          <w:i/>
        </w:rPr>
        <w:t>.</w:t>
      </w:r>
      <w:r w:rsidR="00D226C8" w:rsidRPr="00D226C8">
        <w:rPr>
          <w:i/>
        </w:rPr>
        <w:t xml:space="preserve"> In light of this limited utility, the committee has not updated Instruction 4.9.1 and Comment 4.9.1 since Johnson; instead, relevant updates in this area of the law have been made only to 4.9. </w:t>
      </w:r>
    </w:p>
    <w:p w14:paraId="46D4D95E" w14:textId="77777777" w:rsidR="000F1DF0" w:rsidRPr="00CE7164" w:rsidRDefault="000F1DF0" w:rsidP="00DA02B8">
      <w:pPr>
        <w:ind w:firstLine="720"/>
        <w:jc w:val="both"/>
        <w:rPr>
          <w:b/>
          <w:bCs/>
          <w:i/>
          <w:sz w:val="28"/>
          <w:szCs w:val="28"/>
        </w:rPr>
      </w:pP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lastRenderedPageBreak/>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rPr>
        <w:footnoteReference w:id="155"/>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t>Comment</w:t>
      </w:r>
    </w:p>
    <w:p w14:paraId="7EA23BAA" w14:textId="77777777" w:rsidR="00A610BD" w:rsidRDefault="00A610BD">
      <w:pPr>
        <w:ind w:firstLine="720"/>
        <w:jc w:val="both"/>
      </w:pPr>
      <w:r>
        <w:lastRenderedPageBreak/>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rPr>
        <w:footnoteReference w:id="156"/>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t>
      </w:r>
      <w:r>
        <w:lastRenderedPageBreak/>
        <w:t xml:space="preserve">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r w:rsidR="00A610BD">
        <w:rPr>
          <w:u w:val="single"/>
        </w:rPr>
        <w:t>force.</w:t>
      </w:r>
      <w:r w:rsidR="00A610BD">
        <w:rPr>
          <w:rStyle w:val="FootnoteReference"/>
        </w:rPr>
        <w:footnoteReference w:id="157"/>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552388AA"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rPr>
        <w:footnoteReference w:id="158"/>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rPr>
        <w:footnoteReference w:id="159"/>
      </w:r>
      <w:r>
        <w:t xml:space="preserve">  The </w:t>
      </w:r>
      <w:r>
        <w:lastRenderedPageBreak/>
        <w:t>extraordinary facts of that case, coupled with the fact that none of the opinions handed down clearly commanded a majority of the panel on the definitional question,</w:t>
      </w:r>
      <w:r>
        <w:rPr>
          <w:rStyle w:val="FootnoteReference"/>
        </w:rPr>
        <w:footnoteReference w:id="160"/>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8B1545">
        <w:t>’ ”</w:t>
      </w:r>
      <w:r>
        <w:rPr>
          <w:rStyle w:val="FootnoteReference"/>
        </w:rPr>
        <w:footnoteReference w:id="161"/>
      </w:r>
      <w:r>
        <w:t xml:space="preserve"> and one district court has since followed the MPC definition, </w:t>
      </w:r>
      <w:r>
        <w:rPr>
          <w:i/>
          <w:iCs/>
        </w:rPr>
        <w:t>see</w:t>
      </w:r>
      <w:r>
        <w:t xml:space="preserve"> </w:t>
      </w:r>
      <w:r>
        <w:rPr>
          <w:i/>
          <w:iCs/>
        </w:rPr>
        <w:t>Schall v. Vazquez</w:t>
      </w:r>
      <w:r>
        <w:t>, 322 F.</w:t>
      </w:r>
      <w:r w:rsidR="001B783C">
        <w:t xml:space="preserve"> </w:t>
      </w:r>
      <w:r>
        <w:t>Supp.</w:t>
      </w:r>
      <w:r w:rsidR="001B783C">
        <w:t xml:space="preserve"> </w:t>
      </w:r>
      <w:r>
        <w:t>2d 594, 600 (E</w:t>
      </w:r>
      <w:r w:rsidR="0077488E">
        <w:t>.D. Pa.</w:t>
      </w:r>
      <w:r>
        <w:t xml:space="preserve">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4F3EBF58"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8B1545">
        <w:t>’ ”</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w:t>
      </w:r>
      <w:r>
        <w:lastRenderedPageBreak/>
        <w:t>the court should rule on this question and should provide either Instruction 4.9 or Instruction 4.9.1 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rPr>
        <w:footnoteReference w:id="162"/>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rPr>
        <w:footnoteReference w:id="163"/>
      </w:r>
      <w:r>
        <w:t xml:space="preserve"> or to a third person.</w:t>
      </w:r>
      <w:r>
        <w:rPr>
          <w:rStyle w:val="FootnoteReference"/>
        </w:rPr>
        <w:footnoteReference w:id="164"/>
      </w:r>
      <w:r>
        <w:t xml:space="preserve">  The jury should</w:t>
      </w:r>
      <w:r w:rsidR="00941010">
        <w:t xml:space="preserve"> “</w:t>
      </w:r>
      <w:r>
        <w:t xml:space="preserve">determine, after deciding what the real risk . . . was, what was </w:t>
      </w:r>
      <w:r>
        <w:lastRenderedPageBreak/>
        <w:t>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rPr>
        <w:footnoteReference w:id="165"/>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rPr>
        <w:footnoteReference w:id="166"/>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r>
        <w:t>at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rPr>
        <w:footnoteReference w:id="167"/>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pPr>
      <w:r>
        <w:rPr>
          <w:b/>
          <w:bCs/>
          <w:sz w:val="28"/>
          <w:szCs w:val="28"/>
        </w:rPr>
        <w:t>Comment</w:t>
      </w:r>
    </w:p>
    <w:p w14:paraId="7669A719" w14:textId="54F917BA" w:rsidR="00A610BD" w:rsidRDefault="00A610BD">
      <w:pPr>
        <w:ind w:firstLine="720"/>
        <w:jc w:val="both"/>
      </w:pPr>
      <w:r>
        <w:rPr>
          <w:u w:val="single"/>
        </w:rPr>
        <w:lastRenderedPageBreak/>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8B1545">
        <w:t>’ ”</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w:t>
      </w:r>
      <w:r w:rsidR="0077488E">
        <w:t>127</w:t>
      </w:r>
      <w:r>
        <w:t>40</w:t>
      </w:r>
      <w:r w:rsidR="00E70106">
        <w:t>[?]</w:t>
      </w:r>
      <w:r>
        <w:t xml:space="preserve">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77777777"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xml:space="preserve">, 503 U.S. 1, 6-7 </w:t>
      </w:r>
      <w:r>
        <w:lastRenderedPageBreak/>
        <w:t>(1992).</w:t>
      </w:r>
      <w:r>
        <w:rPr>
          <w:rStyle w:val="FootnoteReference"/>
        </w:rPr>
        <w:footnoteReference w:id="168"/>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3298040E"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 xml:space="preserve">Smith v. </w:t>
      </w:r>
      <w:r>
        <w:rPr>
          <w:i/>
          <w:iCs/>
        </w:rPr>
        <w:lastRenderedPageBreak/>
        <w:t>Mensinger</w:t>
      </w:r>
      <w:r>
        <w:t>, 293 F.3d 641, 648-49 (3d Cir. 2002).</w:t>
      </w:r>
      <w:r w:rsidR="00EE7050" w:rsidRPr="00A55758">
        <w:rPr>
          <w:rStyle w:val="FootnoteReference"/>
        </w:rPr>
        <w:footnoteReference w:id="169"/>
      </w:r>
      <w:r>
        <w:t xml:space="preserve">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59B855E0"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w:t>
      </w:r>
      <w:r w:rsidR="0077488E">
        <w:t xml:space="preserve"> Fifth</w:t>
      </w:r>
      <w:r>
        <w:t xml:space="preserve"> Circuit (Civil) Instruction 10.5;</w:t>
      </w:r>
      <w:r w:rsidR="0077488E">
        <w:t xml:space="preserve"> Eighth </w:t>
      </w:r>
      <w:r>
        <w:t xml:space="preserve">Circuit (Civil) Instruction 4.30; </w:t>
      </w:r>
      <w:r w:rsidR="0077488E">
        <w:t xml:space="preserve">Ninth </w:t>
      </w:r>
      <w:r>
        <w:t xml:space="preserve">Circuit (Civil) Instruction 11.9; </w:t>
      </w:r>
      <w:r w:rsidR="0077488E">
        <w:t xml:space="preserve">Eleventh </w:t>
      </w:r>
      <w:r>
        <w:t>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rPr>
        <w:footnoteReference w:id="170"/>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xml:space="preserve">, 503 U.S. at 9, proof of physical pain or intense </w:t>
      </w:r>
      <w:r>
        <w:lastRenderedPageBreak/>
        <w:t>fear or emotional pain should also suffice, even absent significant physical injury.</w:t>
      </w:r>
      <w:r>
        <w:rPr>
          <w:rStyle w:val="FootnoteReference"/>
        </w:rPr>
        <w:footnoteReference w:id="171"/>
      </w:r>
    </w:p>
    <w:p w14:paraId="12E4C280" w14:textId="77777777" w:rsidR="009853FF" w:rsidRDefault="009853FF">
      <w:pPr>
        <w:ind w:firstLine="720"/>
        <w:jc w:val="both"/>
      </w:pPr>
    </w:p>
    <w:p w14:paraId="6D065501" w14:textId="4192F12F"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rsidR="00691ADE">
        <w:t>—</w:t>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693470E0"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w:t>
      </w:r>
      <w:r w:rsidR="0077488E">
        <w:t xml:space="preserve">Fifth </w:t>
      </w:r>
      <w:r>
        <w:t xml:space="preserve">Circuit (Civil) Instruction 10.5; </w:t>
      </w:r>
      <w:r w:rsidR="0077488E">
        <w:t xml:space="preserve">Ninth </w:t>
      </w:r>
      <w:r>
        <w:t>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 xml:space="preserve">is later determined to have been </w:t>
      </w:r>
      <w:r>
        <w:lastRenderedPageBreak/>
        <w:t>unnecessary,</w:t>
      </w:r>
      <w:r w:rsidR="00326D5E">
        <w:t>”</w:t>
      </w:r>
      <w:r>
        <w:t xml:space="preserve"> </w:t>
      </w:r>
      <w:r>
        <w:rPr>
          <w:i/>
          <w:iCs/>
        </w:rPr>
        <w:t>id.</w:t>
      </w:r>
      <w:r>
        <w:t xml:space="preserve"> at 1233.</w:t>
      </w:r>
      <w:r>
        <w:rPr>
          <w:rStyle w:val="FootnoteReference"/>
        </w:rPr>
        <w:footnoteReference w:id="172"/>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34"/>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35"/>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rPr>
        <w:footnoteReference w:id="173"/>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lastRenderedPageBreak/>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74"/>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lastRenderedPageBreak/>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rPr>
        <w:footnoteReference w:id="175"/>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rPr>
        <w:footnoteReference w:id="176"/>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w:t>
      </w:r>
      <w:r>
        <w:lastRenderedPageBreak/>
        <w:t xml:space="preserve">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1BDB264E"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n.22.</w:t>
      </w:r>
      <w:r>
        <w:rPr>
          <w:rStyle w:val="FootnoteReference"/>
        </w:rPr>
        <w:footnoteReference w:id="177"/>
      </w:r>
    </w:p>
    <w:p w14:paraId="2620114F" w14:textId="77777777" w:rsidR="00A610BD" w:rsidRDefault="00A610BD">
      <w:pPr>
        <w:ind w:firstLine="720"/>
        <w:jc w:val="both"/>
      </w:pPr>
      <w:r>
        <w:rPr>
          <w:u w:val="single"/>
        </w:rPr>
        <w:lastRenderedPageBreak/>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7777777"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479 F.</w:t>
      </w:r>
      <w:r w:rsidR="001B783C">
        <w:t xml:space="preserve"> </w:t>
      </w:r>
      <w:r>
        <w:t xml:space="preserve">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xml:space="preserve">, 808 F.3d 203, 207 (3d Cir. 2015) (“Because there is no authority establishing—let alone ‘clearly’ establishing—a right for prisoners to receive treatment for conditions resulting in </w:t>
      </w:r>
      <w:r w:rsidR="006174B2" w:rsidRPr="001D6386">
        <w:lastRenderedPageBreak/>
        <w:t>impotence and/or infertility, such as retrograde ejaculation or erectile dysfunction, Appellants are entitled to qualified immunity.”).</w:t>
      </w:r>
    </w:p>
    <w:p w14:paraId="476D60CE" w14:textId="77777777"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rPr>
        <w:footnoteReference w:id="178"/>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rPr>
        <w:footnoteReference w:id="179"/>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330AC52D"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w:t>
      </w:r>
      <w:r>
        <w:lastRenderedPageBreak/>
        <w:t>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rPr>
        <w:footnoteReference w:id="180"/>
      </w:r>
    </w:p>
    <w:p w14:paraId="3F3B2D16" w14:textId="77777777" w:rsidR="00245CC6" w:rsidRDefault="00245CC6">
      <w:pPr>
        <w:ind w:firstLine="720"/>
        <w:jc w:val="both"/>
      </w:pPr>
    </w:p>
    <w:p w14:paraId="5F6B29A2" w14:textId="77777777"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41594B83"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8B1545">
        <w:t>’ ”</w:t>
      </w:r>
      <w:r w:rsidR="00A610BD">
        <w:t>;</w:t>
      </w:r>
      <w:r w:rsidR="00A610BD">
        <w:rPr>
          <w:rStyle w:val="FootnoteReference"/>
        </w:rPr>
        <w:footnoteReference w:id="181"/>
      </w:r>
    </w:p>
    <w:p w14:paraId="21B3D102" w14:textId="77777777" w:rsidR="00D95514" w:rsidRDefault="00D95514" w:rsidP="00D95514">
      <w:pPr>
        <w:pStyle w:val="ListParagraph"/>
        <w:jc w:val="both"/>
      </w:pPr>
    </w:p>
    <w:p w14:paraId="0A6605C8" w14:textId="19B2BDE1"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8B1545">
        <w:t>’ ”</w:t>
      </w:r>
      <w:r w:rsidR="00A610BD">
        <w:t>;</w:t>
      </w:r>
      <w:r w:rsidR="00A610BD">
        <w:rPr>
          <w:rStyle w:val="FootnoteReference"/>
        </w:rPr>
        <w:footnoteReference w:id="182"/>
      </w:r>
    </w:p>
    <w:p w14:paraId="06F88B26" w14:textId="77777777" w:rsidR="00D95514" w:rsidRDefault="00D95514" w:rsidP="00D95514">
      <w:pPr>
        <w:pStyle w:val="ListParagraph"/>
        <w:jc w:val="both"/>
      </w:pPr>
    </w:p>
    <w:p w14:paraId="07FEDAD8" w14:textId="73242A59"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rPr>
        <w:footnoteReference w:id="183"/>
      </w:r>
    </w:p>
    <w:p w14:paraId="25754AE9" w14:textId="77777777" w:rsidR="00245CC6" w:rsidRDefault="00245CC6" w:rsidP="00245CC6">
      <w:pPr>
        <w:pStyle w:val="ListParagraph"/>
      </w:pPr>
    </w:p>
    <w:p w14:paraId="3E8ED32F" w14:textId="792B19AE"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8B1545">
        <w:t>’ ”</w:t>
      </w:r>
      <w:r w:rsidR="00A610BD">
        <w:t>;</w:t>
      </w:r>
      <w:r w:rsidR="00A610BD">
        <w:rPr>
          <w:rStyle w:val="FootnoteReference"/>
        </w:rPr>
        <w:footnoteReference w:id="184"/>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rPr>
        <w:footnoteReference w:id="185"/>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 xml:space="preserve">deny access to [a] physician capable of evaluating the need for ... </w:t>
      </w:r>
      <w:r>
        <w:lastRenderedPageBreak/>
        <w:t>treatment</w:t>
      </w:r>
      <w:r w:rsidR="00663CA4">
        <w:t>”</w:t>
      </w:r>
      <w:r>
        <w:t xml:space="preserve"> of a serious medical need;</w:t>
      </w:r>
      <w:r>
        <w:rPr>
          <w:rStyle w:val="FootnoteReference"/>
        </w:rPr>
        <w:footnoteReference w:id="186"/>
      </w:r>
    </w:p>
    <w:p w14:paraId="64940300" w14:textId="05852A37"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8B1545">
        <w:t>’ ”</w:t>
      </w:r>
      <w:r w:rsidR="00A610BD">
        <w:rPr>
          <w:rStyle w:val="FootnoteReference"/>
        </w:rPr>
        <w:footnoteReference w:id="187"/>
      </w:r>
    </w:p>
    <w:p w14:paraId="1D43FB55" w14:textId="77777777" w:rsidR="00A610BD" w:rsidRDefault="00A610BD">
      <w:pPr>
        <w:jc w:val="both"/>
      </w:pPr>
    </w:p>
    <w:p w14:paraId="540DA7AC" w14:textId="71D030C1" w:rsidR="00A610BD" w:rsidRPr="00990274"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r w:rsidRPr="00990274">
        <w:t>).</w:t>
      </w:r>
      <w:r w:rsidR="00990274" w:rsidRPr="00990274">
        <w:t xml:space="preserve"> The “same division of labor concerns that underlie that rule apply when a nurse knows that a prisoner is under a physician</w:t>
      </w:r>
      <w:r w:rsidR="00F03549">
        <w:t>’</w:t>
      </w:r>
      <w:r w:rsidR="00990274" w:rsidRPr="00990274">
        <w:t xml:space="preserve">s care and has no reason to believe the doctor is mistreating the prisoner.” </w:t>
      </w:r>
      <w:r w:rsidR="00990274" w:rsidRPr="00990274">
        <w:rPr>
          <w:i/>
        </w:rPr>
        <w:t>Pearson v. Prison Health Serv</w:t>
      </w:r>
      <w:r w:rsidR="00990274" w:rsidRPr="00990274">
        <w:t>., 850 F.3d 526, 540 n.4 (3d Cir. 2017).</w:t>
      </w:r>
    </w:p>
    <w:p w14:paraId="2AE64960" w14:textId="77777777" w:rsidR="00A610BD" w:rsidRDefault="00A610BD">
      <w:pPr>
        <w:jc w:val="both"/>
      </w:pPr>
    </w:p>
    <w:p w14:paraId="5F99C42F" w14:textId="431F398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xml:space="preserve">, </w:t>
      </w:r>
      <w:r w:rsidR="0077488E">
        <w:t xml:space="preserve">Fifth </w:t>
      </w:r>
      <w:r>
        <w:t>Circuit (Civil) Instruction 10.6;</w:t>
      </w:r>
      <w:r w:rsidR="0077488E">
        <w:t xml:space="preserve"> Eighth</w:t>
      </w:r>
      <w:r>
        <w:t xml:space="preserve"> Circuit (Civil) Instruction 4.31; </w:t>
      </w:r>
      <w:r w:rsidR="0077488E">
        <w:t xml:space="preserve">Ninth </w:t>
      </w:r>
      <w:r>
        <w:t>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rPr>
        <w:footnoteReference w:id="188"/>
      </w:r>
      <w:r>
        <w:t xml:space="preserve">  Assuming that the plaintiff must prove some harm, proof of physical injury clearly </w:t>
      </w:r>
      <w:r>
        <w:lastRenderedPageBreak/>
        <w:t xml:space="preserve">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1FEEC5EA" w14:textId="77777777" w:rsidR="00245CC6" w:rsidRDefault="00245CC6">
      <w:pPr>
        <w:ind w:firstLine="720"/>
        <w:jc w:val="both"/>
      </w:pPr>
    </w:p>
    <w:p w14:paraId="3B2E66F3" w14:textId="67B4E56C"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8B1545">
        <w:t>’ ”</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14:paraId="49CFE8B0" w14:textId="77777777" w:rsidR="00A610BD" w:rsidRDefault="00A610BD">
      <w:pPr>
        <w:jc w:val="both"/>
      </w:pPr>
    </w:p>
    <w:p w14:paraId="7E3052DD" w14:textId="77777777" w:rsidR="00A610BD" w:rsidRDefault="00A610BD" w:rsidP="00245CC6">
      <w:pPr>
        <w:ind w:left="720" w:righ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rPr>
        <w:footnoteReference w:id="189"/>
      </w:r>
    </w:p>
    <w:p w14:paraId="7BD9D4E0" w14:textId="15C2A213"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rPr>
        <w:footnoteReference w:id="190"/>
      </w:r>
    </w:p>
    <w:p w14:paraId="66D069BF" w14:textId="77777777" w:rsidR="006C47CF" w:rsidRDefault="006C47CF">
      <w:pPr>
        <w:ind w:firstLine="720"/>
        <w:jc w:val="both"/>
      </w:pPr>
    </w:p>
    <w:p w14:paraId="21A8EEB9"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w:t>
      </w:r>
      <w:r>
        <w:lastRenderedPageBreak/>
        <w:t xml:space="preserve">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68DAED2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36"/>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47BAAF3F" w:rsidR="00A610BD" w:rsidRDefault="00A610BD">
      <w:pPr>
        <w:ind w:firstLine="720"/>
        <w:jc w:val="both"/>
      </w:pPr>
      <w:r>
        <w:t>[Plaintiff] must show that [defendant] actually knew of the risk.</w:t>
      </w:r>
      <w:r w:rsidR="00D226C8" w:rsidRPr="00D226C8">
        <w:rPr>
          <w:vertAlign w:val="superscript"/>
        </w:rPr>
        <w:t xml:space="preserve"> </w:t>
      </w:r>
      <w:r w:rsidR="00D226C8" w:rsidRPr="00D226C8">
        <w:rPr>
          <w:vertAlign w:val="superscript"/>
        </w:rPr>
        <w:footnoteReference w:id="191"/>
      </w:r>
      <w:r w:rsidR="00D226C8" w:rsidRPr="00D226C8">
        <w:t xml:space="preserve">  </w:t>
      </w:r>
      <w:r>
        <w:t xml:space="preserve">  [If a prison official </w:t>
      </w:r>
      <w:r>
        <w:lastRenderedPageBreak/>
        <w:t>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2"/>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22DE0193" w14:textId="21D24158" w:rsidR="00D226C8" w:rsidRDefault="00A610BD" w:rsidP="00D226C8">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8B1545">
        <w:t>’ ”</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r w:rsidR="00D226C8">
        <w:t xml:space="preserve"> </w:t>
      </w:r>
      <w:r w:rsidR="00D226C8" w:rsidRPr="00D226C8">
        <w:t xml:space="preserve">This requirement does not “demand a heightened showing at the pleading stage . . . that the plaintiff’s suicide was temporally imminent or somehow clinically inevitable.” </w:t>
      </w:r>
      <w:r w:rsidR="00D226C8" w:rsidRPr="00D226C8">
        <w:rPr>
          <w:i/>
        </w:rPr>
        <w:t>Palakovic v. Wetzel</w:t>
      </w:r>
      <w:r w:rsidR="00D226C8" w:rsidRPr="00D226C8">
        <w:t>, 854 F.3d 209, 230 (3d Cir. 2017) (noting that the detainee’s “suicidal propensities were so readily apparent that his fellow inmates nicknamed him ‘Suicide.’ ”).</w:t>
      </w:r>
    </w:p>
    <w:p w14:paraId="13B90941" w14:textId="267C6806" w:rsidR="0099484E" w:rsidRPr="0099484E" w:rsidRDefault="00A610BD" w:rsidP="0099484E">
      <w:pPr>
        <w:ind w:firstLine="720"/>
        <w:jc w:val="both"/>
      </w:pPr>
      <w:r>
        <w:rPr>
          <w:u w:val="single"/>
        </w:rPr>
        <w:lastRenderedPageBreak/>
        <w:t>Deliberate indifference.</w:t>
      </w:r>
      <w:r>
        <w:t xml:space="preserve"> </w:t>
      </w:r>
      <w:r w:rsidR="0099484E" w:rsidRPr="0099484E">
        <w:t xml:space="preserve">Prior to the Supreme Court’s decision in </w:t>
      </w:r>
      <w:r w:rsidR="0099484E" w:rsidRPr="0099484E">
        <w:rPr>
          <w:i/>
          <w:iCs/>
        </w:rPr>
        <w:t>Farmer v. Brennan</w:t>
      </w:r>
      <w:r w:rsidR="0099484E" w:rsidRPr="0099484E">
        <w:t>, 511 U.S. 825 (1994), the court of appeals had articulated an objective test for prison suicide cases:</w:t>
      </w:r>
      <w:r w:rsidR="0099484E" w:rsidRPr="0099484E">
        <w:rPr>
          <w:u w:val="single"/>
        </w:rPr>
        <w:t xml:space="preserve"> </w:t>
      </w:r>
      <w:r>
        <w:t xml:space="preserve">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rsidR="0099484E">
        <w:t xml:space="preserve"> </w:t>
      </w:r>
      <w:r w:rsidR="0099484E" w:rsidRPr="0099484E">
        <w:rPr>
          <w:i/>
          <w:iCs/>
        </w:rPr>
        <w:t>Colburn v. Upper Darby Township</w:t>
      </w:r>
      <w:r w:rsidR="0099484E" w:rsidRPr="0099484E">
        <w:t xml:space="preserve">, 946 F.2d 1017, 1023 (3d Cir. 1991). </w:t>
      </w:r>
      <w:r w:rsidR="0099484E" w:rsidRPr="0099484E">
        <w:rPr>
          <w:i/>
        </w:rPr>
        <w:t>Colburn</w:t>
      </w:r>
      <w:r w:rsidR="0099484E" w:rsidRPr="0099484E">
        <w:t xml:space="preserve"> involved a pre-trial detainee, whose claim was governed by the Due Process Clause rather than the Eighth Amendment, but the court of appeals drew on Eighth Amendment jurisprudence to fashion this test. It explained that the “should have known” requirement is a “phrase of art with a meaning distinct from its usual meaning in the context of the law of torts. . . . It connotes something more than a negligent failure to appreciate the risk of suicide presented by the particular detainee, though something less than subjective appreciation of that risk.” </w:t>
      </w:r>
      <w:r w:rsidR="0099484E" w:rsidRPr="0099484E">
        <w:rPr>
          <w:i/>
        </w:rPr>
        <w:t>Id</w:t>
      </w:r>
      <w:r w:rsidR="0099484E" w:rsidRPr="0099484E">
        <w:t xml:space="preserve">. at 1025. The court of appeals applied the </w:t>
      </w:r>
      <w:r w:rsidR="0099484E" w:rsidRPr="0099484E">
        <w:rPr>
          <w:i/>
        </w:rPr>
        <w:t>Colburn</w:t>
      </w:r>
      <w:r w:rsidR="0099484E" w:rsidRPr="0099484E">
        <w:t xml:space="preserve"> standard in an Eighth Amendment case. </w:t>
      </w:r>
      <w:r w:rsidR="0099484E" w:rsidRPr="0099484E">
        <w:rPr>
          <w:i/>
        </w:rPr>
        <w:t>Young v. Quinlan</w:t>
      </w:r>
      <w:r w:rsidR="0099484E" w:rsidRPr="0099484E">
        <w:t xml:space="preserve">, 960 F.2d 351, 360 (3d Cir. 1992). </w:t>
      </w:r>
    </w:p>
    <w:p w14:paraId="3CA4B9E9" w14:textId="77777777" w:rsidR="0099484E" w:rsidRPr="0099484E" w:rsidRDefault="0099484E" w:rsidP="0099484E">
      <w:pPr>
        <w:ind w:firstLine="720"/>
        <w:jc w:val="both"/>
      </w:pPr>
    </w:p>
    <w:p w14:paraId="167CFB6F" w14:textId="77777777" w:rsidR="0099484E" w:rsidRPr="0099484E" w:rsidRDefault="0099484E" w:rsidP="0099484E">
      <w:pPr>
        <w:ind w:firstLine="720"/>
        <w:jc w:val="both"/>
      </w:pPr>
      <w:r w:rsidRPr="0099484E">
        <w:t xml:space="preserve">In </w:t>
      </w:r>
      <w:r w:rsidRPr="0099484E">
        <w:rPr>
          <w:i/>
        </w:rPr>
        <w:t>Farmer</w:t>
      </w:r>
      <w:r w:rsidRPr="0099484E">
        <w:t xml:space="preserve">, the Supreme Court granted certiorari “because Courts of Appeals had adopted inconsistent tests for ‘deliberate indifference,’ ” and pointed to a decision from the Seventh Circuit requiring a “subjective standard” and the </w:t>
      </w:r>
      <w:r w:rsidRPr="0099484E">
        <w:rPr>
          <w:i/>
        </w:rPr>
        <w:t>Young</w:t>
      </w:r>
      <w:r w:rsidRPr="0099484E">
        <w:t xml:space="preserve"> case from the Third Circuit adopting the “knows or should have known” standard. 511 U.S. at 832. In resolving this conflict, </w:t>
      </w:r>
      <w:r w:rsidRPr="0099484E">
        <w:rPr>
          <w:i/>
        </w:rPr>
        <w:t>Farmer</w:t>
      </w:r>
      <w:r w:rsidRPr="0099484E">
        <w:t xml:space="preserve"> expressly held that “a prison official cannot be found liable under the Eighth Amendment for denying an inmate humane conditions of confinement unless the official knows of and disregards an excessive risk to inmate health or safety; . . . . an official’s failure to alleviate a significant risk that he should have perceived but did not, while no cause for commendation, cannot under our cases be condemned as the infliction of punishment.” 511 U.S. at 837-38. It explained that a “factfinder may conclude that a prison official knew of a substantial risk from the very fact that the risk was obvious,” but cautioned: “When instructing juries in deliberate indifference cases with such issues of proof, courts should be careful to ensure that the requirement of subjective culpability is not lost. It is not enough to find that a reasonable person would have known, or that the defendant should have known, and juries should be instructed accordingly.” 511 U.S. at 842-43 &amp; n.8.</w:t>
      </w:r>
    </w:p>
    <w:p w14:paraId="53C6985B" w14:textId="77777777" w:rsidR="0099484E" w:rsidRPr="0099484E" w:rsidRDefault="0099484E" w:rsidP="0099484E">
      <w:pPr>
        <w:ind w:firstLine="720"/>
        <w:jc w:val="both"/>
      </w:pPr>
      <w:r w:rsidRPr="0099484E">
        <w:t xml:space="preserve"> </w:t>
      </w:r>
    </w:p>
    <w:p w14:paraId="201D2462" w14:textId="329B4786" w:rsidR="00A610BD" w:rsidRDefault="0099484E">
      <w:pPr>
        <w:ind w:firstLine="720"/>
        <w:jc w:val="both"/>
      </w:pPr>
      <w:r w:rsidRPr="0099484E">
        <w:t xml:space="preserve">The court of appeals applied </w:t>
      </w:r>
      <w:r w:rsidRPr="0099484E">
        <w:rPr>
          <w:i/>
        </w:rPr>
        <w:t>Farmer’s</w:t>
      </w:r>
      <w:r w:rsidRPr="0099484E">
        <w:t xml:space="preserve"> requirement of actual knowledge in a subsequent Eighth Amendment prison suicide case.</w:t>
      </w:r>
      <w:r>
        <w:t xml:space="preserve"> </w:t>
      </w:r>
      <w:r w:rsidR="00A610BD">
        <w:rPr>
          <w:i/>
          <w:iCs/>
        </w:rPr>
        <w:t>Singletary v. Pennsylvania Dept. of Corrections</w:t>
      </w:r>
      <w:r w:rsidR="00A610BD">
        <w:t xml:space="preserve">, 266 F.3d 186, 192 n.2 (3d Cir. 2001); </w:t>
      </w:r>
      <w:r w:rsidR="00A610BD">
        <w:rPr>
          <w:i/>
          <w:iCs/>
        </w:rPr>
        <w:t>see also</w:t>
      </w:r>
      <w:r w:rsidR="00A610BD">
        <w:t xml:space="preserve"> Comments 4.11.1 &amp; 4.11.3.  The model instruction is designed for use in Eighth Amendment cases and it employs the </w:t>
      </w:r>
      <w:r w:rsidR="00A610BD">
        <w:rPr>
          <w:i/>
          <w:iCs/>
        </w:rPr>
        <w:t>Farmer</w:t>
      </w:r>
      <w:r w:rsidR="00A610BD">
        <w:t xml:space="preserve"> standard.</w:t>
      </w:r>
    </w:p>
    <w:p w14:paraId="19097B33" w14:textId="77777777" w:rsidR="00A610BD" w:rsidRDefault="00A610BD">
      <w:pPr>
        <w:jc w:val="both"/>
      </w:pPr>
    </w:p>
    <w:p w14:paraId="1BC824D4" w14:textId="1A219008" w:rsidR="00A610BD" w:rsidRDefault="0099484E" w:rsidP="0099484E">
      <w:pPr>
        <w:ind w:firstLine="720"/>
        <w:jc w:val="both"/>
      </w:pPr>
      <w:r w:rsidRPr="0099484E">
        <w:t xml:space="preserve">In  </w:t>
      </w:r>
      <w:r w:rsidRPr="0099484E">
        <w:rPr>
          <w:i/>
          <w:iCs/>
        </w:rPr>
        <w:t>Woloszyn v. County of Lawrence</w:t>
      </w:r>
      <w:r w:rsidRPr="0099484E">
        <w:t>, 396 F.3d 314 (3d Cir. 2005), the court of appeals confronted a suicide case involving a pretrial detainee.</w:t>
      </w:r>
      <w:r>
        <w:t xml:space="preserve"> </w:t>
      </w:r>
      <w:r w:rsidR="00A610BD">
        <w:t xml:space="preserve">Claims regarding pretrial detainees are substantive due process claims, and it is not clear whether such claims should be analyzed under </w:t>
      </w:r>
      <w:r w:rsidR="00A610BD">
        <w:rPr>
          <w:i/>
          <w:iCs/>
        </w:rPr>
        <w:t>Farmer</w:t>
      </w:r>
      <w:r w:rsidR="000D09A4">
        <w:t>’</w:t>
      </w:r>
      <w:r w:rsidR="00A610BD">
        <w:t xml:space="preserve">s stringent Eighth Amendment test.  </w:t>
      </w:r>
      <w:r w:rsidR="00A610BD">
        <w:rPr>
          <w:i/>
          <w:iCs/>
        </w:rPr>
        <w:t>See</w:t>
      </w:r>
      <w:r w:rsidR="00A610BD">
        <w:t xml:space="preserve"> Comment 4.11.1 (noting that the substantive due process test for claims concerning treatment of pretrial detainees may be less rigorous than the Eighth Amendment test for claims concerning treatment of convicted prisoners); </w:t>
      </w:r>
      <w:r w:rsidR="00A610BD">
        <w:rPr>
          <w:i/>
          <w:iCs/>
        </w:rPr>
        <w:t xml:space="preserve">see also Owens </w:t>
      </w:r>
      <w:r w:rsidR="00A610BD">
        <w:rPr>
          <w:i/>
          <w:iCs/>
        </w:rPr>
        <w:lastRenderedPageBreak/>
        <w:t>v. City of Philadelphia</w:t>
      </w:r>
      <w:r w:rsidR="00A610BD">
        <w:t>, 6 F. Supp. 2d 373, 380 n.6 (E</w:t>
      </w:r>
      <w:r w:rsidR="0077488E">
        <w:t>.D. Pa.</w:t>
      </w:r>
      <w:r w:rsidR="00A610BD">
        <w:t xml:space="preserve"> 1998) </w:t>
      </w:r>
      <w:r w:rsidR="00356C5B">
        <w:t>(“</w:t>
      </w:r>
      <w:r w:rsidR="00A610BD">
        <w:t>The Eighth Amendment's cruel and unusual punishments clause</w:t>
      </w:r>
      <w:r w:rsidR="000E077A">
        <w:t xml:space="preserve"> – </w:t>
      </w:r>
      <w:r w:rsidR="00A610BD">
        <w:t xml:space="preserve">which  underpins the subjective </w:t>
      </w:r>
      <w:r w:rsidR="009510BB">
        <w:t>‘</w:t>
      </w:r>
      <w:r w:rsidR="00A610BD">
        <w:t>criminal recklessness</w:t>
      </w:r>
      <w:r w:rsidR="000D09A4">
        <w:t>’</w:t>
      </w:r>
      <w:r w:rsidR="00A610BD">
        <w:t xml:space="preserve"> standard articulated in </w:t>
      </w:r>
      <w:r w:rsidR="00A610BD">
        <w:rPr>
          <w:i/>
          <w:iCs/>
        </w:rPr>
        <w:t>Farmer</w:t>
      </w:r>
      <w:r w:rsidR="000E077A">
        <w:t xml:space="preserve"> – </w:t>
      </w:r>
      <w:r w:rsidR="00A610BD">
        <w:t>seems rather remote from the values appropriate for determining the due process rights of those who, although in detention, have not been convicted of any crime.</w:t>
      </w:r>
      <w:r w:rsidR="00FD4B4D">
        <w:t>”</w:t>
      </w:r>
      <w:r w:rsidR="00A610BD">
        <w:t xml:space="preserve">).  </w:t>
      </w:r>
      <w:r w:rsidRPr="0099484E">
        <w:t xml:space="preserve">The court of appeals in </w:t>
      </w:r>
      <w:r w:rsidRPr="0099484E">
        <w:rPr>
          <w:i/>
          <w:iCs/>
        </w:rPr>
        <w:t xml:space="preserve">Woloszyn </w:t>
      </w:r>
      <w:r w:rsidRPr="0099484E">
        <w:t xml:space="preserve">observed that </w:t>
      </w:r>
      <w:r w:rsidRPr="0099484E">
        <w:rPr>
          <w:i/>
        </w:rPr>
        <w:t>Farmer</w:t>
      </w:r>
      <w:r w:rsidRPr="0099484E">
        <w:t xml:space="preserve"> did not “directly control” the analysis because </w:t>
      </w:r>
      <w:r w:rsidRPr="0099484E">
        <w:rPr>
          <w:i/>
        </w:rPr>
        <w:t>Farmer</w:t>
      </w:r>
      <w:r w:rsidRPr="0099484E">
        <w:t xml:space="preserve"> involved the Eighth Amendment and a pre-trial detainee’s claim arises under the Due Process Clause. It nevertheless suggested that “ ‘deliberate indifference’ may be equivalent to the ‘should have known’ element required” by </w:t>
      </w:r>
      <w:r w:rsidRPr="0099484E">
        <w:rPr>
          <w:i/>
        </w:rPr>
        <w:t>Colburn</w:t>
      </w:r>
      <w:r w:rsidRPr="0099484E">
        <w:t xml:space="preserve">, but did “not attempt to reconcile those two phrases . . . because there is no evidence . . . that Woloszyn had a particular vulnerability to suicide,” and therefore the first element of the claim could not be established. </w:t>
      </w:r>
      <w:r w:rsidRPr="0099484E">
        <w:rPr>
          <w:i/>
          <w:iCs/>
        </w:rPr>
        <w:t>Woloszyn</w:t>
      </w:r>
      <w:r w:rsidRPr="0099484E">
        <w:t>, 396 F.3d at 321.</w:t>
      </w:r>
    </w:p>
    <w:p w14:paraId="07096F46" w14:textId="67BFC66B" w:rsidR="0099484E" w:rsidRPr="007F1BA7" w:rsidRDefault="0099484E" w:rsidP="0099484E">
      <w:pPr>
        <w:ind w:firstLine="720"/>
        <w:jc w:val="both"/>
      </w:pPr>
    </w:p>
    <w:p w14:paraId="6BC35632" w14:textId="77777777" w:rsidR="0099484E" w:rsidRPr="007F1BA7" w:rsidRDefault="0099484E" w:rsidP="0099484E">
      <w:pPr>
        <w:ind w:firstLine="720"/>
        <w:jc w:val="both"/>
      </w:pPr>
      <w:r w:rsidRPr="007F1BA7">
        <w:t xml:space="preserve">In </w:t>
      </w:r>
      <w:r w:rsidRPr="007F1BA7">
        <w:rPr>
          <w:i/>
        </w:rPr>
        <w:t>Palakovic v. Wetzel</w:t>
      </w:r>
      <w:r w:rsidRPr="007F1BA7">
        <w:t xml:space="preserve">, 854 F.3d 209, 223 (3d Cir. 2017), an Eighth Amendment case involving the suicide of a sentenced prisoner, the court of appeals cited this passage from </w:t>
      </w:r>
      <w:r w:rsidRPr="007F1BA7">
        <w:rPr>
          <w:i/>
        </w:rPr>
        <w:t>Woloszyn</w:t>
      </w:r>
      <w:r w:rsidRPr="007F1BA7">
        <w:t xml:space="preserve"> and stated that the Eighth Amendment  “deliberate indifference” standard is “probably” equivalent to the “should have known” standard for pretrial detainees. It declared that the Due Process and Eight Amendment claims are “essentially equivalent,” and that “whether a pre-trial detainee or a convicted prisoner,” a plaintiff needs to show: </w:t>
      </w:r>
    </w:p>
    <w:p w14:paraId="3FCEB972" w14:textId="77777777" w:rsidR="0099484E" w:rsidRPr="007F1BA7" w:rsidRDefault="0099484E" w:rsidP="0099484E">
      <w:pPr>
        <w:ind w:firstLine="720"/>
        <w:jc w:val="both"/>
      </w:pPr>
    </w:p>
    <w:p w14:paraId="78AD18DC" w14:textId="77777777" w:rsidR="0099484E" w:rsidRPr="007F1BA7" w:rsidRDefault="0099484E" w:rsidP="007F1BA7">
      <w:pPr>
        <w:ind w:left="720" w:right="720"/>
        <w:jc w:val="both"/>
      </w:pPr>
      <w:r w:rsidRPr="007F1BA7">
        <w:t>(1) that the individual had a particular vulnerability to suicide, meaning that there was a “strong likelihood, rather than a mere possibility,” that a suicide would be attempted; (2) that the prison official knew or should have known of the individual's particular vulnerability; and (3) that the official acted with reckless or deliberate indifference, meaning something beyond mere negligence, to the individual's particular vulnerability.</w:t>
      </w:r>
    </w:p>
    <w:p w14:paraId="239FB6F2" w14:textId="77777777" w:rsidR="0099484E" w:rsidRPr="007F1BA7" w:rsidRDefault="0099484E" w:rsidP="0099484E">
      <w:pPr>
        <w:ind w:firstLine="720"/>
        <w:jc w:val="both"/>
      </w:pPr>
    </w:p>
    <w:p w14:paraId="413A21AE" w14:textId="77777777" w:rsidR="0099484E" w:rsidRPr="007F1BA7" w:rsidRDefault="0099484E" w:rsidP="007F1BA7">
      <w:pPr>
        <w:jc w:val="both"/>
      </w:pPr>
      <w:r w:rsidRPr="007F1BA7">
        <w:t xml:space="preserve"> </w:t>
      </w:r>
      <w:r w:rsidRPr="007F1BA7">
        <w:rPr>
          <w:i/>
        </w:rPr>
        <w:t>Palakovic v. Wetzel</w:t>
      </w:r>
      <w:r w:rsidRPr="007F1BA7">
        <w:t>, 854 F.3d 209, 223–24 (3d Cir. 2017) (footnote omitted).</w:t>
      </w:r>
    </w:p>
    <w:p w14:paraId="6E2AD9CA" w14:textId="77777777" w:rsidR="0099484E" w:rsidRPr="007F1BA7" w:rsidRDefault="0099484E" w:rsidP="0099484E">
      <w:pPr>
        <w:ind w:firstLine="720"/>
        <w:jc w:val="both"/>
      </w:pPr>
    </w:p>
    <w:p w14:paraId="7CF20274" w14:textId="77777777" w:rsidR="0099484E" w:rsidRPr="007F1BA7" w:rsidRDefault="0099484E" w:rsidP="0099484E">
      <w:pPr>
        <w:ind w:firstLine="720"/>
        <w:jc w:val="both"/>
      </w:pPr>
      <w:r w:rsidRPr="007F1BA7">
        <w:t xml:space="preserve">It found it unnecessary to determine whether there is any difference between deliberate indifference and reckless indifference, because something beyond mere negligence is required under both formulations. 854 F.3d at 224 n.15.  </w:t>
      </w:r>
    </w:p>
    <w:p w14:paraId="6B5527E1" w14:textId="77777777" w:rsidR="0099484E" w:rsidRPr="007F1BA7" w:rsidRDefault="0099484E" w:rsidP="0099484E">
      <w:pPr>
        <w:ind w:firstLine="720"/>
        <w:jc w:val="both"/>
      </w:pPr>
    </w:p>
    <w:p w14:paraId="3CE7D9CD" w14:textId="6130B5EE" w:rsidR="0099484E" w:rsidRPr="00460B22" w:rsidRDefault="0099484E" w:rsidP="0099484E">
      <w:pPr>
        <w:ind w:firstLine="720"/>
        <w:jc w:val="both"/>
      </w:pPr>
      <w:r w:rsidRPr="007F1BA7">
        <w:t xml:space="preserve">But </w:t>
      </w:r>
      <w:r w:rsidRPr="007F1BA7">
        <w:rPr>
          <w:i/>
        </w:rPr>
        <w:t>Palakovic</w:t>
      </w:r>
      <w:r w:rsidRPr="007F1BA7">
        <w:t xml:space="preserve"> was </w:t>
      </w:r>
      <w:r w:rsidR="007F1BA7" w:rsidRPr="007F1BA7">
        <w:t>clear</w:t>
      </w:r>
      <w:r w:rsidRPr="007F1BA7">
        <w:t xml:space="preserve"> that the district court “erroneously applied a subjective test,” by examining what the officials were actually aware of as opposed to what they should have been aware of. Citing </w:t>
      </w:r>
      <w:r w:rsidRPr="007F1BA7">
        <w:rPr>
          <w:i/>
          <w:iCs/>
        </w:rPr>
        <w:t>Colburn</w:t>
      </w:r>
      <w:r w:rsidRPr="007F1BA7">
        <w:rPr>
          <w:i/>
        </w:rPr>
        <w:t xml:space="preserve"> </w:t>
      </w:r>
      <w:r w:rsidRPr="007F1BA7">
        <w:t>and</w:t>
      </w:r>
      <w:r w:rsidRPr="007F1BA7">
        <w:rPr>
          <w:i/>
        </w:rPr>
        <w:t xml:space="preserve"> Woloszyn</w:t>
      </w:r>
      <w:r w:rsidRPr="007F1BA7">
        <w:t xml:space="preserve">—both pre-trial detainee cases—it </w:t>
      </w:r>
      <w:r w:rsidR="007F1BA7" w:rsidRPr="007F1BA7">
        <w:t>held</w:t>
      </w:r>
      <w:r w:rsidRPr="007F1BA7">
        <w:t xml:space="preserve"> that “our case law is clear: It is not necessary for the custodian to have a subjective appreciation of the detainee’s particular vulnerability.” </w:t>
      </w:r>
      <w:r w:rsidRPr="007F1BA7">
        <w:rPr>
          <w:i/>
        </w:rPr>
        <w:t>Id</w:t>
      </w:r>
      <w:r w:rsidRPr="007F1BA7">
        <w:t xml:space="preserve">. at 231. It did not explain how this standard is consistent with </w:t>
      </w:r>
      <w:r w:rsidRPr="007F1BA7">
        <w:rPr>
          <w:i/>
        </w:rPr>
        <w:t>Farmer</w:t>
      </w:r>
      <w:r w:rsidRPr="007F1BA7">
        <w:t xml:space="preserve">, perhaps because the defendants took the position that </w:t>
      </w:r>
      <w:r w:rsidRPr="007F1BA7">
        <w:rPr>
          <w:i/>
          <w:iCs/>
        </w:rPr>
        <w:t>Colburn</w:t>
      </w:r>
      <w:r w:rsidRPr="007F1BA7">
        <w:t xml:space="preserve"> governed. </w:t>
      </w:r>
      <w:r w:rsidRPr="00A55758">
        <w:rPr>
          <w:i/>
        </w:rPr>
        <w:t>See</w:t>
      </w:r>
      <w:r w:rsidRPr="007F1BA7">
        <w:t xml:space="preserve"> Brief for Correction Officers, 2016 WL 5846656, at </w:t>
      </w:r>
      <w:r w:rsidR="00B215A9">
        <w:t>*</w:t>
      </w:r>
      <w:r w:rsidRPr="007F1BA7">
        <w:t xml:space="preserve">23 (quoting </w:t>
      </w:r>
      <w:r w:rsidRPr="007F1BA7">
        <w:rPr>
          <w:i/>
        </w:rPr>
        <w:t>Colburn</w:t>
      </w:r>
      <w:r w:rsidRPr="007F1BA7">
        <w:t xml:space="preserve"> as “set[ting] forth a clear standard for establishing liability in prison suicide cases”); Brief for Dr. Rathore, Dr. Eidsvoog, and MHM, Inc., 2016 WL 5845936, at </w:t>
      </w:r>
      <w:r w:rsidR="00B215A9">
        <w:t>*</w:t>
      </w:r>
      <w:r w:rsidRPr="007F1BA7">
        <w:t xml:space="preserve">14 &amp; n.5 (relying on </w:t>
      </w:r>
      <w:r w:rsidRPr="007F1BA7">
        <w:rPr>
          <w:i/>
        </w:rPr>
        <w:t>Colburn</w:t>
      </w:r>
      <w:r w:rsidRPr="007F1BA7">
        <w:t xml:space="preserve"> and noting that while it was a pre-trial </w:t>
      </w:r>
      <w:r w:rsidRPr="007F1BA7">
        <w:lastRenderedPageBreak/>
        <w:t>detainee case, it “still applies to a convicted prisoner whose Eighth Amendment protections have attached”).</w:t>
      </w:r>
      <w:r w:rsidR="00AA5858">
        <w:t xml:space="preserve"> </w:t>
      </w:r>
      <w:r w:rsidR="00AA5858" w:rsidRPr="00460B22">
        <w:rPr>
          <w:i/>
        </w:rPr>
        <w:t>See also</w:t>
      </w:r>
      <w:r w:rsidR="00AA5858" w:rsidRPr="00460B22">
        <w:t xml:space="preserve"> </w:t>
      </w:r>
      <w:r w:rsidR="00AA5858" w:rsidRPr="00460B22">
        <w:rPr>
          <w:i/>
        </w:rPr>
        <w:t>Mullin v. Balicki</w:t>
      </w:r>
      <w:r w:rsidR="00AA5858" w:rsidRPr="00460B22">
        <w:t xml:space="preserve">, 875 F.3d 140, 149, 158-59 (3d Cir. 2017) (describing </w:t>
      </w:r>
      <w:r w:rsidR="00AA5858" w:rsidRPr="00460B22">
        <w:rPr>
          <w:i/>
        </w:rPr>
        <w:t xml:space="preserve">Palakovic </w:t>
      </w:r>
      <w:r w:rsidR="00AA5858" w:rsidRPr="00460B22">
        <w:t xml:space="preserve">as “clarify[ying] our vulnerability-to-suicide precedent,” and explaining that a “vulnerability-to-suicide claim, which is simply a more specific articulation of the Eighth Amendment rule that prison officials must not be deliberately indifferent to a prisoner's serious medical needs, requires showing (1) the existence of a particular vulnerability to suicide, (2) that a prison official knew or should have known of the individual's particularly vulnerability, and (3) that the official acted with reckless or deliberate indifference to the particular vulnerability.”); </w:t>
      </w:r>
      <w:r w:rsidR="00AA5858" w:rsidRPr="00460B22">
        <w:rPr>
          <w:i/>
        </w:rPr>
        <w:t>Kedra v. Schroeter</w:t>
      </w:r>
      <w:r w:rsidR="00AA5858" w:rsidRPr="00460B22">
        <w:t xml:space="preserve">, 876 F.3d 424, 440 (3d Cir. 2017) (describing </w:t>
      </w:r>
      <w:r w:rsidR="00AA5858" w:rsidRPr="00460B22">
        <w:rPr>
          <w:i/>
        </w:rPr>
        <w:t>Palakovic</w:t>
      </w:r>
      <w:r w:rsidR="00AA5858" w:rsidRPr="00460B22">
        <w:t xml:space="preserve"> as holding that the deliberate indifference standard in the prison suicide context is objective and that “the relevant inquiry for both substantive due process claims and Eighth Amendment claims [is] whether the prison official knew or should have known of the individual's particular vulnerability.</w:t>
      </w:r>
      <w:r w:rsidR="00AC6A18">
        <w:t>”)</w:t>
      </w:r>
    </w:p>
    <w:p w14:paraId="7D98FD74" w14:textId="076169BB" w:rsidR="00AA5858" w:rsidRPr="00460B22" w:rsidRDefault="00AA5858" w:rsidP="0099484E">
      <w:pPr>
        <w:ind w:firstLine="720"/>
        <w:jc w:val="both"/>
      </w:pPr>
    </w:p>
    <w:p w14:paraId="53B5124E" w14:textId="146AE111" w:rsidR="0099484E" w:rsidRPr="00460B22" w:rsidRDefault="00AA5858" w:rsidP="0099484E">
      <w:pPr>
        <w:ind w:firstLine="720"/>
        <w:jc w:val="both"/>
      </w:pPr>
      <w:r w:rsidRPr="00460B22">
        <w:t xml:space="preserve">In light of the apparent tension between the decision in </w:t>
      </w:r>
      <w:r w:rsidRPr="00460B22">
        <w:rPr>
          <w:i/>
        </w:rPr>
        <w:t>Farmer</w:t>
      </w:r>
      <w:r w:rsidRPr="00460B22">
        <w:t xml:space="preserve"> and the decisions in </w:t>
      </w:r>
      <w:r w:rsidRPr="00460B22">
        <w:rPr>
          <w:i/>
        </w:rPr>
        <w:t>Palakovic</w:t>
      </w:r>
      <w:r w:rsidRPr="00460B22">
        <w:t xml:space="preserve">, </w:t>
      </w:r>
      <w:r w:rsidRPr="00460B22">
        <w:rPr>
          <w:i/>
        </w:rPr>
        <w:t>Mullin</w:t>
      </w:r>
      <w:r w:rsidRPr="00460B22">
        <w:t xml:space="preserve">, and </w:t>
      </w:r>
      <w:r w:rsidRPr="00460B22">
        <w:rPr>
          <w:i/>
        </w:rPr>
        <w:t>Kedra</w:t>
      </w:r>
      <w:r w:rsidRPr="00460B22">
        <w:t xml:space="preserve">, </w:t>
      </w:r>
      <w:r w:rsidR="0099484E" w:rsidRPr="00460B22">
        <w:t>the committee has decided to re</w:t>
      </w:r>
      <w:r w:rsidRPr="00460B22">
        <w:t xml:space="preserve">tain </w:t>
      </w:r>
      <w:r w:rsidR="0099484E" w:rsidRPr="00460B22">
        <w:t xml:space="preserve">the Instruction’s actual knowledge requirement, </w:t>
      </w:r>
      <w:r w:rsidRPr="00460B22">
        <w:t xml:space="preserve">and to offer an alternative in the relevant footnote to the Instruction. </w:t>
      </w:r>
    </w:p>
    <w:p w14:paraId="648C2375" w14:textId="77777777" w:rsidR="0099484E" w:rsidRPr="0099484E" w:rsidRDefault="0099484E" w:rsidP="0099484E">
      <w:pPr>
        <w:ind w:firstLine="720"/>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149F4C30"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2004 WL 225041, at *7 (E</w:t>
      </w:r>
      <w:r w:rsidR="0077488E">
        <w:t>.D. Pa.</w:t>
      </w:r>
      <w:r>
        <w:t xml:space="preserve">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w:t>
      </w:r>
      <w:r w:rsidRPr="0042151A">
        <w:lastRenderedPageBreak/>
        <w:t xml:space="preserve">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rPr>
        <w:footnoteReference w:id="193"/>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rPr>
        <w:footnoteReference w:id="194"/>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 xml:space="preserve">[If a prison official knew of facts that [he/she] strongly suspected to be true, and those facts indicated a substantial risk of serious harm to an inmate, the official cannot escape liability merely </w:t>
      </w:r>
      <w:r>
        <w:lastRenderedPageBreak/>
        <w:t>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5"/>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rPr>
        <w:footnoteReference w:id="196"/>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6924F800"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 xml:space="preserve">[P]rison officials have a duty ... to protect prisoners from violence at the hands of other </w:t>
      </w:r>
      <w:r>
        <w:lastRenderedPageBreak/>
        <w:t>prisoners.</w:t>
      </w:r>
      <w:r w:rsidR="008B1545">
        <w:t>’ ”</w:t>
      </w:r>
      <w:r>
        <w:t xml:space="preserve"> </w:t>
      </w:r>
      <w:r>
        <w:rPr>
          <w:i/>
          <w:iCs/>
        </w:rPr>
        <w:t>Farmer v. Brennan</w:t>
      </w:r>
      <w:r>
        <w:t xml:space="preserve">, 511 U.S. 825, 833 (1994) (quoting </w:t>
      </w:r>
      <w:r>
        <w:rPr>
          <w:i/>
          <w:iCs/>
        </w:rPr>
        <w:t>Cortes</w:t>
      </w:r>
      <w:r>
        <w:rPr>
          <w:i/>
          <w:iCs/>
        </w:rPr>
        <w:noBreakHyphen/>
        <w:t>Quinones v. Jimenez</w:t>
      </w:r>
      <w:r>
        <w:rPr>
          <w:i/>
          <w:iCs/>
        </w:rPr>
        <w:noBreakHyphen/>
        <w:t>Nettleship</w:t>
      </w:r>
      <w:r>
        <w:t>, 842 F.2d 556, 558 (1st Cir. 1988)).</w:t>
      </w:r>
      <w:r>
        <w:rPr>
          <w:rStyle w:val="FootnoteReference"/>
        </w:rPr>
        <w:footnoteReference w:id="197"/>
      </w:r>
      <w:r>
        <w:t xml:space="preserve"> </w:t>
      </w:r>
      <w:r w:rsidR="003E6E50">
        <w:t>“</w:t>
      </w:r>
      <w:r>
        <w:t xml:space="preserve">Being violently assaulted in prison is simply not </w:t>
      </w:r>
      <w:r w:rsidR="009510BB">
        <w:t>‘</w:t>
      </w:r>
      <w:r>
        <w:t>part of the penalty that criminal offenders pay for their offenses against society.</w:t>
      </w:r>
      <w:r w:rsidR="008B1545">
        <w:t>’ ”</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77777777"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rPr>
        <w:footnoteReference w:id="198"/>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w:t>
      </w:r>
      <w:r>
        <w:lastRenderedPageBreak/>
        <w:t>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4A4B0685"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rPr>
        <w:footnoteReference w:id="199"/>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8B1545">
        <w:t>’ ”</w:t>
      </w:r>
      <w:r>
        <w:t xml:space="preserve"> </w:t>
      </w:r>
      <w:r>
        <w:rPr>
          <w:i/>
          <w:iCs/>
        </w:rPr>
        <w:t>Id.</w:t>
      </w:r>
      <w:r>
        <w:t xml:space="preserve"> at 842-43 (quoting respondents</w:t>
      </w:r>
      <w:r w:rsidR="000D09A4">
        <w:t>’</w:t>
      </w:r>
      <w:r>
        <w:t xml:space="preserve"> brief).</w:t>
      </w:r>
      <w:r>
        <w:rPr>
          <w:rStyle w:val="FootnoteReference"/>
        </w:rPr>
        <w:footnoteReference w:id="200"/>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rPr>
        <w:footnoteReference w:id="201"/>
      </w:r>
    </w:p>
    <w:p w14:paraId="40518DD4" w14:textId="77777777" w:rsidR="00A610BD" w:rsidRDefault="00A610BD">
      <w:pPr>
        <w:ind w:firstLine="720"/>
        <w:jc w:val="both"/>
      </w:pPr>
      <w:r>
        <w:lastRenderedPageBreak/>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rPr>
        <w:footnoteReference w:id="202"/>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w:t>
      </w:r>
      <w:r>
        <w:lastRenderedPageBreak/>
        <w:t xml:space="preserve">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r>
        <w:t>subjected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77777777"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317C2247" w14:textId="77777777" w:rsidR="00A610BD" w:rsidRDefault="00A610BD">
      <w:pPr>
        <w:ind w:firstLine="720"/>
        <w:jc w:val="both"/>
      </w:pPr>
      <w:r>
        <w:lastRenderedPageBreak/>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rPr>
        <w:footnoteReference w:id="203"/>
      </w:r>
    </w:p>
    <w:p w14:paraId="0097C56D" w14:textId="77777777" w:rsidR="00A610BD" w:rsidRDefault="00A610BD">
      <w:pPr>
        <w:jc w:val="both"/>
      </w:pPr>
    </w:p>
    <w:p w14:paraId="597D97E6" w14:textId="57C3F389"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rPr>
        <w:footnoteReference w:id="204"/>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rPr>
        <w:footnoteReference w:id="205"/>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8B1545">
        <w:t>’ ”</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8B1545">
        <w:t>’ ”</w:t>
      </w:r>
      <w:r>
        <w:t xml:space="preserve"> (quoting </w:t>
      </w:r>
      <w:r>
        <w:rPr>
          <w:i/>
          <w:iCs/>
        </w:rPr>
        <w:t>Bostick</w:t>
      </w:r>
      <w:r>
        <w:t>, 501 U.S. at 438))</w:t>
      </w:r>
      <w:r w:rsidR="00CC2B9A">
        <w:t>;</w:t>
      </w:r>
      <w:r w:rsidR="00CC2B9A" w:rsidRPr="00CC2B9A">
        <w:rPr>
          <w:i/>
        </w:rPr>
        <w:t xml:space="preserve"> </w:t>
      </w:r>
      <w:r w:rsidR="00CC2B9A" w:rsidRPr="00811DD2">
        <w:rPr>
          <w:i/>
        </w:rPr>
        <w:t>United States v. De Castro</w:t>
      </w:r>
      <w:r w:rsidR="006C47CF">
        <w:t xml:space="preserve">, 905 F.3d 676 </w:t>
      </w:r>
      <w:r w:rsidR="00CC2B9A" w:rsidRPr="00811DD2">
        <w:t>(3d Cir. 2018)</w:t>
      </w:r>
      <w:r w:rsidR="00CC2B9A">
        <w:t xml:space="preserve"> (holding that </w:t>
      </w:r>
      <w:r w:rsidR="00CC2B9A" w:rsidRPr="00811DD2">
        <w:t>a police officer’s request that De Castro remove his hands from his pockets did not constitute a seizure</w:t>
      </w:r>
      <w:r w:rsidR="00CC2B9A">
        <w:t xml:space="preserve"> because t</w:t>
      </w:r>
      <w:r w:rsidR="00CC2B9A" w:rsidRPr="00811DD2">
        <w:t>he request was made once, in a polite conversational tone, and no threats were made or weapons drawn</w:t>
      </w:r>
      <w:r w:rsidR="00CC2B9A">
        <w:t xml:space="preserve">); </w:t>
      </w:r>
      <w:r w:rsidR="00CC2B9A" w:rsidRPr="00811DD2">
        <w:rPr>
          <w:i/>
        </w:rPr>
        <w:t>Haberle v. Troxell</w:t>
      </w:r>
      <w:r w:rsidR="00CC2B9A" w:rsidRPr="00811DD2">
        <w:t xml:space="preserve">, 885 </w:t>
      </w:r>
      <w:r w:rsidR="00CC2B9A" w:rsidRPr="00811DD2">
        <w:lastRenderedPageBreak/>
        <w:t>F.3d 170 (3d Cir. 2018)</w:t>
      </w:r>
      <w:r w:rsidR="00CC2B9A">
        <w:t xml:space="preserve"> (holding </w:t>
      </w:r>
      <w:r w:rsidR="00CC2B9A" w:rsidRPr="00811DD2">
        <w:t>that an officer who merely knocked on the door of an apartment and announced his presence did not seize the person in the apartment —even if the action was unwise, crude, and had tragic consequences</w:t>
      </w:r>
      <w:r w:rsidR="00CC2B9A">
        <w:t>).</w:t>
      </w:r>
      <w:r>
        <w:rPr>
          <w:rStyle w:val="FootnoteReference"/>
        </w:rPr>
        <w:footnoteReference w:id="206"/>
      </w:r>
      <w:r w:rsidR="008D05CB">
        <w:t xml:space="preserve"> </w:t>
      </w:r>
      <w:r w:rsidR="008B5850" w:rsidRPr="008B5850">
        <w:t>When a police 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 xml:space="preserve">As discussed below, the degree of justification required to render a seizure reasonable </w:t>
      </w:r>
      <w:r>
        <w:lastRenderedPageBreak/>
        <w:t>under the Fourth Amendment varies with the nature and scope of the seizure.</w:t>
      </w:r>
      <w:r>
        <w:rPr>
          <w:rStyle w:val="FootnoteReference"/>
        </w:rPr>
        <w:footnoteReference w:id="207"/>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rPr>
        <w:footnoteReference w:id="208"/>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w:t>
      </w:r>
      <w:r w:rsidR="001B783C">
        <w:t xml:space="preserve"> </w:t>
      </w:r>
      <w:r>
        <w:t>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w:t>
      </w:r>
      <w:r w:rsidR="001B783C">
        <w:t xml:space="preserve"> </w:t>
      </w:r>
      <w:r>
        <w:t>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w:t>
      </w:r>
      <w:r>
        <w:lastRenderedPageBreak/>
        <w:t>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rPr>
        <w:footnoteReference w:id="209"/>
      </w:r>
      <w:r>
        <w:t xml:space="preserve">  As to any given Section 1983 defendant, the </w:t>
      </w:r>
      <w:r>
        <w:lastRenderedPageBreak/>
        <w:t>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33B9DF3A"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rPr>
        <w:footnoteReference w:id="210"/>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rPr>
        <w:footnoteReference w:id="211"/>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127 S.</w:t>
      </w:r>
      <w:r w:rsidR="001B783C">
        <w:t xml:space="preserve"> </w:t>
      </w:r>
      <w:r>
        <w:t xml:space="preserve">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8B1545">
        <w:t>’ ”</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xml:space="preserve">).  Regarding malicious prosecution </w:t>
      </w:r>
      <w:r>
        <w:lastRenderedPageBreak/>
        <w:t>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rPr>
        <w:footnoteReference w:id="212"/>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rPr>
        <w:footnoteReference w:id="213"/>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 xml:space="preserve">[When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w:t>
      </w:r>
      <w:r>
        <w:lastRenderedPageBreak/>
        <w:t>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rPr>
        <w:footnoteReference w:id="214"/>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CB580DE"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8B1545">
        <w:t>’ ”</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rPr>
        <w:footnoteReference w:id="215"/>
      </w:r>
    </w:p>
    <w:p w14:paraId="37EB6389" w14:textId="7976D3A4" w:rsidR="00A610BD"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w:t>
      </w:r>
      <w:r>
        <w:lastRenderedPageBreak/>
        <w:t xml:space="preserve">considers </w:t>
      </w:r>
      <w:r w:rsidR="002478ED">
        <w:t>“</w:t>
      </w:r>
      <w:r>
        <w:t>the facts available to the officer at the moment of the seizure</w:t>
      </w:r>
      <w:r w:rsidR="00FD4B4D">
        <w:t>”</w:t>
      </w:r>
      <w:r>
        <w:t>);</w:t>
      </w:r>
      <w:r>
        <w:rPr>
          <w:rStyle w:val="FootnoteReference"/>
        </w:rPr>
        <w:footnoteReference w:id="216"/>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rPr>
        <w:footnoteReference w:id="217"/>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rPr>
        <w:footnoteReference w:id="218"/>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rPr>
        <w:footnoteReference w:id="219"/>
      </w:r>
      <w:r w:rsidR="003645E2">
        <w:t xml:space="preserve"> </w:t>
      </w:r>
      <w:r w:rsidR="003645E2" w:rsidRPr="00C44B83">
        <w:rPr>
          <w:i/>
        </w:rPr>
        <w:t>United States v. Graves</w:t>
      </w:r>
      <w:r w:rsidR="003645E2" w:rsidRPr="00C44B83">
        <w:t xml:space="preserve">, 877 F.3d 494, 499 (3d Cir. 2017) (finding reasonable </w:t>
      </w:r>
      <w:r w:rsidR="003645E2" w:rsidRPr="00C44B83">
        <w:lastRenderedPageBreak/>
        <w:t>suspicion because the events occurred in a high crime area, the defendant and his companion were dressed in clothing similar to suspects described as walking away from the location of gunshots, and the defendant was walking in a manner that the officer viewed as indicating he was armed, even though “these factors standing in isolation may not have been sufficient”)</w:t>
      </w:r>
      <w:r w:rsidR="00DD1E61">
        <w:t>;</w:t>
      </w:r>
      <w:r w:rsidR="003645E2" w:rsidRPr="00C44B83">
        <w:t xml:space="preserve"> </w:t>
      </w:r>
      <w:r w:rsidR="00290198" w:rsidRPr="00603329">
        <w:rPr>
          <w:i/>
        </w:rPr>
        <w:t>United States v. Foster</w:t>
      </w:r>
      <w:r w:rsidR="00290198" w:rsidRPr="00603329">
        <w:t>, 891 F.3d 93</w:t>
      </w:r>
      <w:r w:rsidR="00290198">
        <w:t>, 105</w:t>
      </w:r>
      <w:r w:rsidR="00290198" w:rsidRPr="00603329">
        <w:t xml:space="preserve"> (3d Cir. 2018)</w:t>
      </w:r>
      <w:r w:rsidR="00290198">
        <w:t xml:space="preserve"> (finding reasonable suspicion even </w:t>
      </w:r>
      <w:r w:rsidR="00290198" w:rsidRPr="00603329">
        <w:t>though the only description that the officer had of the suspect was that he was a black male</w:t>
      </w:r>
      <w:r w:rsidR="00290198">
        <w:t>, because the “</w:t>
      </w:r>
      <w:r w:rsidR="00290198" w:rsidRPr="00603329">
        <w:t xml:space="preserve">geographic and temporal proximity of </w:t>
      </w:r>
      <w:r w:rsidR="00290198">
        <w:t>[the defendant]</w:t>
      </w:r>
      <w:r w:rsidR="00290198" w:rsidRPr="00603329">
        <w:t xml:space="preserve"> to the stolen car and the lack of any other suspect matching the general description of the suspect, along with </w:t>
      </w:r>
      <w:r w:rsidR="00290198">
        <w:t>[the officer’s]</w:t>
      </w:r>
      <w:r w:rsidR="00290198" w:rsidRPr="00603329">
        <w:t xml:space="preserve"> long experience and familiarity with the area</w:t>
      </w:r>
      <w:r w:rsidR="00290198">
        <w:t>,” which included his knowledge “</w:t>
      </w:r>
      <w:r w:rsidR="00290198" w:rsidRPr="00603329">
        <w:t xml:space="preserve">that it was rare to see anybody other than two white special needs adults walking along the stretch of road where </w:t>
      </w:r>
      <w:r w:rsidR="00290198">
        <w:t xml:space="preserve">[the defendant] </w:t>
      </w:r>
      <w:r w:rsidR="00290198" w:rsidRPr="00603329">
        <w:t>was stopped</w:t>
      </w:r>
      <w:r w:rsidR="00290198">
        <w:t xml:space="preserve">”); </w:t>
      </w:r>
      <w:r w:rsidR="00290198" w:rsidRPr="008141C3">
        <w:rPr>
          <w:i/>
        </w:rPr>
        <w:t>United States v. Green</w:t>
      </w:r>
      <w:r w:rsidR="00290198" w:rsidRPr="008141C3">
        <w:t>, 897 F.3d 173</w:t>
      </w:r>
      <w:r w:rsidR="00290198">
        <w:t>, 183-85</w:t>
      </w:r>
      <w:r w:rsidR="00290198" w:rsidRPr="008141C3">
        <w:t xml:space="preserve"> (3d Cir. 2018)</w:t>
      </w:r>
      <w:r w:rsidR="00290198">
        <w:t xml:space="preserve"> (</w:t>
      </w:r>
      <w:r w:rsidR="00290198" w:rsidRPr="008141C3">
        <w:t>emphasiz</w:t>
      </w:r>
      <w:r w:rsidR="00290198">
        <w:t xml:space="preserve">ing that </w:t>
      </w:r>
      <w:r w:rsidR="00290198" w:rsidRPr="008141C3">
        <w:t xml:space="preserve">the totality of the circumstances included a prior stop (and consensual search that found no contraband) of the same driver in the same car by the same officer the </w:t>
      </w:r>
      <w:r w:rsidR="00290198">
        <w:t xml:space="preserve">previous </w:t>
      </w:r>
      <w:r w:rsidR="00290198" w:rsidRPr="008141C3">
        <w:t>day</w:t>
      </w:r>
      <w:r w:rsidR="00290198">
        <w:t>).</w:t>
      </w:r>
      <w:r w:rsidR="00290198" w:rsidRPr="00603329">
        <w:t xml:space="preserve"> </w:t>
      </w:r>
      <w:r>
        <w:t>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rPr>
        <w:footnoteReference w:id="220"/>
      </w:r>
    </w:p>
    <w:p w14:paraId="4D9CDA80" w14:textId="77777777" w:rsidR="00290198" w:rsidRPr="00826EFF" w:rsidRDefault="00290198">
      <w:pPr>
        <w:ind w:firstLine="720"/>
        <w:jc w:val="both"/>
      </w:pPr>
    </w:p>
    <w:p w14:paraId="5C563D7C" w14:textId="6C95FE9B" w:rsidR="003070B2" w:rsidRDefault="00A610BD" w:rsidP="009D7FE9">
      <w:pPr>
        <w:ind w:firstLine="720"/>
        <w:jc w:val="both"/>
      </w:pPr>
      <w:r>
        <w:t>The scope of the ensuing stop</w:t>
      </w:r>
      <w:r>
        <w:rPr>
          <w:rStyle w:val="FootnoteReference"/>
        </w:rPr>
        <w:footnoteReference w:id="221"/>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rPr>
        <w:footnoteReference w:id="222"/>
      </w:r>
      <w:r>
        <w:t xml:space="preserve">  </w:t>
      </w:r>
      <w:r w:rsidR="004D583E">
        <w:t>“[</w:t>
      </w:r>
      <w:r>
        <w:t xml:space="preserve">T]here is no per se rule about the length of time a suspect </w:t>
      </w:r>
      <w:r>
        <w:lastRenderedPageBreak/>
        <w:t>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r w:rsidR="009D7FE9">
        <w:t>;</w:t>
      </w:r>
      <w:r w:rsidR="00DD1E61">
        <w:t xml:space="preserve"> </w:t>
      </w:r>
      <w:r w:rsidR="009D7FE9" w:rsidRPr="002540E4">
        <w:rPr>
          <w:i/>
        </w:rPr>
        <w:t>United States v. Foster</w:t>
      </w:r>
      <w:r w:rsidR="009D7FE9" w:rsidRPr="002540E4">
        <w:t>, 891 F.3d 93</w:t>
      </w:r>
      <w:r w:rsidR="009D7FE9">
        <w:t>,</w:t>
      </w:r>
      <w:r w:rsidR="009D7FE9" w:rsidRPr="002540E4">
        <w:t xml:space="preserve"> 106-07 (3d Cir. 2018)</w:t>
      </w:r>
      <w:r w:rsidR="009D7FE9">
        <w:t xml:space="preserve"> (holding </w:t>
      </w:r>
      <w:r w:rsidR="009D7FE9" w:rsidRPr="002540E4">
        <w:t xml:space="preserve">that the scope of a permissible </w:t>
      </w:r>
      <w:r w:rsidR="009D7FE9" w:rsidRPr="002540E4">
        <w:rPr>
          <w:i/>
        </w:rPr>
        <w:t>Terry</w:t>
      </w:r>
      <w:r w:rsidR="009D7FE9" w:rsidRPr="002540E4">
        <w:t xml:space="preserve"> stop was not exceeded even though the suspect was put in handcuffs and transported a short distance for identification</w:t>
      </w:r>
      <w:r w:rsidR="009D7FE9">
        <w:t>)</w:t>
      </w:r>
      <w:r w:rsidR="009D7FE9" w:rsidRPr="002540E4">
        <w:t>.</w:t>
      </w:r>
    </w:p>
    <w:p w14:paraId="73819928" w14:textId="77777777" w:rsidR="003070B2" w:rsidRDefault="003070B2" w:rsidP="003070B2">
      <w:pPr>
        <w:ind w:firstLine="720"/>
        <w:jc w:val="both"/>
      </w:pPr>
    </w:p>
    <w:p w14:paraId="4DDD8EF0" w14:textId="6767012F"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135 S. Ct. 1609 (2015)</w:t>
      </w:r>
      <w:r w:rsidR="009D7FE9">
        <w:t>;</w:t>
      </w:r>
      <w:r w:rsidR="009D7FE9" w:rsidRPr="009D7FE9">
        <w:t xml:space="preserve"> </w:t>
      </w:r>
      <w:r w:rsidR="009D7FE9">
        <w:t xml:space="preserve">see </w:t>
      </w:r>
      <w:r w:rsidR="009D7FE9" w:rsidRPr="00141D4B">
        <w:rPr>
          <w:i/>
        </w:rPr>
        <w:t>United States v. Green</w:t>
      </w:r>
      <w:r w:rsidR="009D7FE9" w:rsidRPr="00141D4B">
        <w:t>, 897 F.3d 173</w:t>
      </w:r>
      <w:r w:rsidR="009D7FE9">
        <w:t>, 179-82</w:t>
      </w:r>
      <w:r w:rsidR="009D7FE9" w:rsidRPr="00141D4B">
        <w:t xml:space="preserve"> (3d Cir. 2018)</w:t>
      </w:r>
      <w:r w:rsidR="009D7FE9">
        <w:t xml:space="preserve"> (d</w:t>
      </w:r>
      <w:r w:rsidR="009D7FE9" w:rsidRPr="00141D4B">
        <w:t>iscuss</w:t>
      </w:r>
      <w:r w:rsidR="009D7FE9">
        <w:t>ing</w:t>
      </w:r>
      <w:r w:rsidR="009D7FE9" w:rsidRPr="00141D4B">
        <w:t xml:space="preserve"> the difficulty in determining the moment—the “</w:t>
      </w:r>
      <w:r w:rsidR="009D7FE9" w:rsidRPr="00141D4B">
        <w:rPr>
          <w:i/>
        </w:rPr>
        <w:t>Rodriguez</w:t>
      </w:r>
      <w:r w:rsidR="009D7FE9" w:rsidRPr="00141D4B">
        <w:t xml:space="preserve"> moment”—when a valid </w:t>
      </w:r>
      <w:r w:rsidR="009D7FE9" w:rsidRPr="00141D4B">
        <w:rPr>
          <w:i/>
        </w:rPr>
        <w:t>Terry</w:t>
      </w:r>
      <w:r w:rsidR="009D7FE9" w:rsidRPr="00141D4B">
        <w:t xml:space="preserve"> stop for a traffic violation is unreasonably extended to investigate other crime</w:t>
      </w:r>
      <w:r w:rsidR="009D7FE9">
        <w:t xml:space="preserve">); </w:t>
      </w:r>
      <w:r w:rsidR="009D7FE9" w:rsidRPr="00B216DD">
        <w:rPr>
          <w:i/>
        </w:rPr>
        <w:t>United States v. Clark</w:t>
      </w:r>
      <w:r w:rsidR="009D7FE9" w:rsidRPr="00B216DD">
        <w:t>, 902 F.3d 404</w:t>
      </w:r>
      <w:r w:rsidR="009D7FE9">
        <w:t>, 411</w:t>
      </w:r>
      <w:r w:rsidR="009D7FE9" w:rsidRPr="00B216DD">
        <w:t xml:space="preserve"> (3d Cir. 2018)</w:t>
      </w:r>
      <w:r w:rsidR="009D7FE9">
        <w:t xml:space="preserve"> (holding that </w:t>
      </w:r>
      <w:r w:rsidR="009D7FE9" w:rsidRPr="00B216DD">
        <w:t>once the officer had confirmed that the vehicle belonged to the driver’s mother</w:t>
      </w:r>
      <w:r w:rsidR="009D7FE9">
        <w:t xml:space="preserve">, </w:t>
      </w:r>
      <w:r w:rsidR="009D7FE9" w:rsidRPr="00B216DD">
        <w:t>the officer could no longer have reasonably questioned the driver’s authority to operate the vehicle</w:t>
      </w:r>
      <w:r w:rsidR="009D7FE9">
        <w:t xml:space="preserve">; therefore, </w:t>
      </w:r>
      <w:r w:rsidR="009D7FE9" w:rsidRPr="00B216DD">
        <w:t>questions about the driver’s criminal history were not tied to the mission of the traffic stop and impermissibly extended the stop</w:t>
      </w:r>
      <w:r w:rsidR="009D7FE9">
        <w:t>)</w:t>
      </w:r>
      <w:r w:rsidR="009D7FE9" w:rsidRPr="00B216DD">
        <w:t>.</w:t>
      </w:r>
      <w:r w:rsidR="009D7FE9">
        <w:t xml:space="preserve">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294107C5" w14:textId="04F386B8"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xml:space="preserve">, 767 F. Supp. </w:t>
      </w:r>
      <w:r>
        <w:lastRenderedPageBreak/>
        <w:t>661, 667 (E</w:t>
      </w:r>
      <w:r w:rsidR="0077488E">
        <w:t>.D. Pa.</w:t>
      </w:r>
      <w:r>
        <w:t>)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14:paraId="3ED3E769"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62616EA0" w14:textId="77777777"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rPr>
        <w:footnoteReference w:id="223"/>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rPr>
        <w:footnoteReference w:id="224"/>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rPr>
        <w:footnoteReference w:id="225"/>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t xml:space="preserve">[Define the relevant crime[s].]  [Under [the relevant] law, the offense of [name offense] is </w:t>
      </w:r>
      <w:r>
        <w:lastRenderedPageBreak/>
        <w:t>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rPr>
        <w:footnoteReference w:id="226"/>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rPr>
        <w:footnoteReference w:id="227"/>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 xml:space="preserve">Clearly, an </w:t>
      </w:r>
      <w:r>
        <w:lastRenderedPageBreak/>
        <w:t>arrest without probable cause is a constitutional violation actionable under s 1983.</w:t>
      </w:r>
      <w:r w:rsidR="00FD4B4D">
        <w:t>”</w:t>
      </w:r>
      <w:r>
        <w:t>).</w:t>
      </w:r>
      <w:r>
        <w:rPr>
          <w:rStyle w:val="FootnoteReference"/>
        </w:rPr>
        <w:footnoteReference w:id="228"/>
      </w:r>
    </w:p>
    <w:p w14:paraId="43EC945A" w14:textId="77777777" w:rsidR="003A37F4" w:rsidRDefault="003A37F4">
      <w:pPr>
        <w:ind w:firstLine="720"/>
        <w:jc w:val="both"/>
      </w:pPr>
    </w:p>
    <w:p w14:paraId="55E97BDF" w14:textId="0D83F7FF"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rPr>
        <w:footnoteReference w:id="229"/>
      </w:r>
      <w:r w:rsidR="00A610BD">
        <w:t xml:space="preserve">  There must exist</w:t>
      </w:r>
      <w:r w:rsidR="00802411">
        <w:t xml:space="preserve"> “</w:t>
      </w:r>
      <w:r w:rsidR="00A610BD">
        <w:t xml:space="preserve">facts and circumstances </w:t>
      </w:r>
      <w:r w:rsidR="009510BB">
        <w:t>‘</w:t>
      </w:r>
      <w:r w:rsidR="00A610BD">
        <w:t xml:space="preserve">sufficient to warrant a prudent man in believing that the </w:t>
      </w:r>
      <w:r w:rsidR="00A610BD">
        <w:lastRenderedPageBreak/>
        <w:t>(suspect) had committed or was committing an offense.</w:t>
      </w:r>
      <w:r w:rsidR="008B1545">
        <w:t>’ ”</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w:t>
      </w:r>
      <w:r w:rsidR="00031580">
        <w:t xml:space="preserve"> </w:t>
      </w:r>
      <w:r w:rsidR="00031580" w:rsidRPr="003E40B5">
        <w:t xml:space="preserve">Nor does it require an officer to rule out innocent explanations, </w:t>
      </w:r>
      <w:r w:rsidR="00031580" w:rsidRPr="003E40B5">
        <w:rPr>
          <w:i/>
        </w:rPr>
        <w:t>District of Columbia v. Wesby</w:t>
      </w:r>
      <w:r w:rsidR="00031580" w:rsidRPr="003E40B5">
        <w:t xml:space="preserve">, 138 S. Ct. 577, 588 (2018), or to believe claims of innocence. </w:t>
      </w:r>
      <w:r w:rsidR="00031580" w:rsidRPr="003E40B5">
        <w:rPr>
          <w:i/>
        </w:rPr>
        <w:t>Id</w:t>
      </w:r>
      <w:r w:rsidR="00031580" w:rsidRPr="003E40B5">
        <w:t xml:space="preserve">. at 587-88; </w:t>
      </w:r>
      <w:r w:rsidR="00031580" w:rsidRPr="003E40B5">
        <w:rPr>
          <w:i/>
        </w:rPr>
        <w:t>Karns v. Shanahan</w:t>
      </w:r>
      <w:r w:rsidR="00031580" w:rsidRPr="003E40B5">
        <w:t xml:space="preserve">, 879 F.3d 504, 523 (3d Cir. 2018). A court should not view each fact in isolation, but rather as part of the totality of the circumstances. For example, in </w:t>
      </w:r>
      <w:r w:rsidR="00031580" w:rsidRPr="003E40B5">
        <w:rPr>
          <w:i/>
        </w:rPr>
        <w:t>Wesby</w:t>
      </w:r>
      <w:r w:rsidR="00031580" w:rsidRPr="003E40B5">
        <w:t xml:space="preserve">, the Supreme Court held that there was probable cause to arrest for unlawful entry where “the officers found a group of people who claimed to be having a bachelor party with no bachelor, in a near-empty house, with strippers in the living room and sexual activity in the bedroom, and who fled at the first sign of police,” even though the court of appeals had “identified innocent explanations for most of these circumstances in isolation,” because  “this kind of divide-and-conquer approach is improper.” </w:t>
      </w:r>
      <w:r w:rsidR="00031580" w:rsidRPr="003E40B5">
        <w:rPr>
          <w:i/>
        </w:rPr>
        <w:t>Wesby</w:t>
      </w:r>
      <w:r w:rsidR="00031580" w:rsidRPr="003E40B5">
        <w:t>, 138 S. Ct. at 589.</w:t>
      </w:r>
      <w:r w:rsidR="00031580">
        <w:t xml:space="preserve"> </w:t>
      </w:r>
      <w:r w:rsidR="00A610BD">
        <w:t>The analysis is a pragmatic one and should be based upon common sense.</w:t>
      </w:r>
      <w:r w:rsidR="00A610BD">
        <w:rPr>
          <w:rStyle w:val="FootnoteReference"/>
        </w:rPr>
        <w:footnoteReference w:id="230"/>
      </w:r>
    </w:p>
    <w:p w14:paraId="3769FAA0" w14:textId="77777777" w:rsidR="003A37F4" w:rsidRDefault="003A37F4">
      <w:pPr>
        <w:ind w:firstLine="720"/>
        <w:jc w:val="both"/>
      </w:pPr>
    </w:p>
    <w:p w14:paraId="7941FC51" w14:textId="77777777"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rPr>
        <w:footnoteReference w:id="231"/>
      </w:r>
    </w:p>
    <w:p w14:paraId="1A5FB2C3" w14:textId="77777777" w:rsidR="00A610BD" w:rsidRDefault="007508F2">
      <w:pPr>
        <w:ind w:firstLine="720"/>
        <w:jc w:val="both"/>
      </w:pPr>
      <w:r>
        <w:lastRenderedPageBreak/>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rPr>
        <w:footnoteReference w:id="232"/>
      </w:r>
    </w:p>
    <w:p w14:paraId="645995B7" w14:textId="77777777" w:rsidR="00A610BD" w:rsidRDefault="00A610BD">
      <w:pPr>
        <w:jc w:val="both"/>
      </w:pPr>
    </w:p>
    <w:p w14:paraId="5BD17421" w14:textId="1ACD9920"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 xml:space="preserve">see also Losch v. Borough of </w:t>
      </w:r>
      <w:r>
        <w:rPr>
          <w:i/>
          <w:iCs/>
        </w:rPr>
        <w:lastRenderedPageBreak/>
        <w:t>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rPr>
        <w:footnoteReference w:id="233"/>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rPr>
        <w:footnoteReference w:id="234"/>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w:t>
      </w:r>
      <w:r>
        <w:lastRenderedPageBreak/>
        <w:t xml:space="preserve">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1989 WL 14062 (E</w:t>
      </w:r>
      <w:r w:rsidR="0077488E">
        <w:t>.D. Pa.</w:t>
      </w:r>
      <w:r>
        <w:t xml:space="preserve">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14:paraId="33218956" w14:textId="77777777" w:rsidR="00031580" w:rsidRDefault="00031580">
      <w:pPr>
        <w:ind w:firstLine="720"/>
        <w:jc w:val="both"/>
      </w:pPr>
    </w:p>
    <w:p w14:paraId="5FBCF18F" w14:textId="77777777"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078B82BF" w14:textId="77777777"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rPr>
        <w:footnoteReference w:id="235"/>
      </w:r>
      <w:r>
        <w:t xml:space="preserve">  By contrast, an informant</w:t>
      </w:r>
      <w:r w:rsidR="000D09A4">
        <w:t>’</w:t>
      </w:r>
      <w:r>
        <w:t>s</w:t>
      </w:r>
      <w:r w:rsidR="00A0507F">
        <w:t xml:space="preserve"> “</w:t>
      </w:r>
      <w:r>
        <w:t>wholly conclusory statement</w:t>
      </w:r>
      <w:r w:rsidR="00FD4B4D">
        <w:t>”</w:t>
      </w:r>
      <w:r w:rsidR="00A0507F">
        <w:t xml:space="preserve"> – </w:t>
      </w:r>
      <w:r>
        <w:lastRenderedPageBreak/>
        <w:t>bereft of any supporting detail</w:t>
      </w:r>
      <w:r w:rsidR="00A0507F">
        <w:t xml:space="preserve"> – </w:t>
      </w:r>
      <w:r>
        <w:t xml:space="preserve">would not provide an appropriate basis for a finding of probable cause.  </w:t>
      </w:r>
      <w:r>
        <w:rPr>
          <w:i/>
          <w:iCs/>
        </w:rPr>
        <w:t xml:space="preserve">See id. </w:t>
      </w:r>
      <w:r>
        <w:t>at 239.</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5C782FE6"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w:t>
      </w:r>
      <w:r>
        <w:lastRenderedPageBreak/>
        <w:t xml:space="preserve">ordinance under which the plaintiff was arrested was not </w:t>
      </w:r>
      <w:r w:rsidR="00AC6A18">
        <w:t>“</w:t>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rPr>
        <w:footnoteReference w:id="236"/>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14:paraId="3A2260C2" w14:textId="77777777" w:rsidR="003070B2" w:rsidRDefault="003070B2" w:rsidP="003070B2">
      <w:pPr>
        <w:ind w:firstLine="720"/>
        <w:jc w:val="both"/>
      </w:pPr>
    </w:p>
    <w:p w14:paraId="53E6CAD8" w14:textId="3F045DE4"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rPr>
        <w:footnoteReference w:id="237"/>
      </w:r>
      <w:r w:rsidR="00031580">
        <w:t xml:space="preserve"> </w:t>
      </w:r>
      <w:r w:rsidR="00031580" w:rsidRPr="003E40B5">
        <w:t xml:space="preserve">“Because probable cause is an objective standard, an arrest is lawful if the officer had probable cause to arrest for any offense, not just the offense cited at the time of arrest or booking.” </w:t>
      </w:r>
      <w:r w:rsidR="00031580" w:rsidRPr="003E40B5">
        <w:rPr>
          <w:i/>
        </w:rPr>
        <w:t>Wesby</w:t>
      </w:r>
      <w:r w:rsidR="00031580" w:rsidRPr="003E40B5">
        <w:t xml:space="preserve">, 138 S. Ct. at 584, n.2 (2018); </w:t>
      </w:r>
      <w:r w:rsidR="00031580" w:rsidRPr="003E40B5">
        <w:rPr>
          <w:i/>
        </w:rPr>
        <w:t>Karns</w:t>
      </w:r>
      <w:r w:rsidR="00031580" w:rsidRPr="003E40B5">
        <w:t xml:space="preserve">, 879 F.3d at 523, n.11 (“Probable cause need only exist as to </w:t>
      </w:r>
      <w:r w:rsidR="00031580" w:rsidRPr="003E40B5">
        <w:rPr>
          <w:i/>
        </w:rPr>
        <w:t>any</w:t>
      </w:r>
      <w:r w:rsidR="00031580" w:rsidRPr="003E40B5">
        <w:t xml:space="preserve"> offense that could be charged under the circumstances”) (internal quotation marks and citation omitted). </w:t>
      </w:r>
      <w:r w:rsidR="00A610BD">
        <w:t>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031580">
        <w:rPr>
          <w:i/>
          <w:iCs/>
        </w:rPr>
        <w:t>Devenpeck</w:t>
      </w:r>
      <w:r w:rsidR="00031580">
        <w:t xml:space="preserve">, 543 U.S. </w:t>
      </w:r>
      <w:r w:rsidR="00A610BD">
        <w:t>at 153.</w:t>
      </w:r>
      <w:r w:rsidR="00A610BD">
        <w:rPr>
          <w:rStyle w:val="FootnoteReference"/>
        </w:rPr>
        <w:footnoteReference w:id="238"/>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rPr>
        <w:footnoteReference w:id="239"/>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09D26B24"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8B1545">
        <w:t>’ ”</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rPr>
        <w:footnoteReference w:id="240"/>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rPr>
        <w:footnoteReference w:id="241"/>
      </w:r>
      <w:r w:rsidR="00A610BD">
        <w:t xml:space="preserve">  </w:t>
      </w:r>
      <w:r w:rsidR="003A4828">
        <w:t>“</w:t>
      </w:r>
      <w:r w:rsidR="00A610BD">
        <w:t xml:space="preserve">A court makes the determination of whether there were exigent circumstances by reviewing the facts and reasonably discoverable information available to the officers at the time </w:t>
      </w:r>
      <w:r w:rsidR="00A610BD">
        <w:lastRenderedPageBreak/>
        <w:t>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127 S.</w:t>
      </w:r>
      <w:r w:rsidR="001B783C">
        <w:t xml:space="preserve"> </w:t>
      </w:r>
      <w:r>
        <w:t xml:space="preserve">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w:t>
      </w:r>
      <w:r>
        <w:lastRenderedPageBreak/>
        <w:t xml:space="preserve">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6864FCB9"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rPr>
        <w:footnoteReference w:id="242"/>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8B1545">
        <w:t>’ ”</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rPr>
        <w:footnoteReference w:id="243"/>
      </w:r>
    </w:p>
    <w:p w14:paraId="30C3DDB5" w14:textId="77777777" w:rsidR="00A610BD" w:rsidRDefault="00430018">
      <w:pPr>
        <w:ind w:firstLine="720"/>
        <w:jc w:val="both"/>
      </w:pPr>
      <w:r>
        <w:lastRenderedPageBreak/>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rPr>
        <w:footnoteReference w:id="244"/>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rPr>
        <w:footnoteReference w:id="245"/>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w:t>
      </w:r>
      <w:r>
        <w:lastRenderedPageBreak/>
        <w:t xml:space="preserve">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05402B57"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8B1545">
        <w:t>’ ”</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0C9E1CE6" w14:textId="70E620B9" w:rsidR="00477609" w:rsidRPr="00477609" w:rsidRDefault="002D1D62" w:rsidP="004871B4">
      <w:pPr>
        <w:ind w:firstLine="720"/>
        <w:jc w:val="both"/>
      </w:pPr>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A610BD">
        <w:t xml:space="preserve"> </w:t>
      </w:r>
      <w:r w:rsidR="00A610BD">
        <w:rPr>
          <w:i/>
          <w:iCs/>
        </w:rPr>
        <w:t>Reedy v. Evanson</w:t>
      </w:r>
      <w:r w:rsidR="00A610BD">
        <w:t xml:space="preserve">, 615 F.3d 197, 211-23 (3d </w:t>
      </w:r>
      <w:r w:rsidR="00A610BD">
        <w:lastRenderedPageBreak/>
        <w:t>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r w:rsidR="00720A9B" w:rsidRPr="00477609">
        <w:t>.)</w:t>
      </w:r>
      <w:r w:rsidR="00477609" w:rsidRPr="00477609">
        <w:t xml:space="preserve"> In </w:t>
      </w:r>
      <w:r w:rsidR="00477609" w:rsidRPr="00477609">
        <w:rPr>
          <w:i/>
        </w:rPr>
        <w:t>Andrews v. Scuilli</w:t>
      </w:r>
      <w:r w:rsidR="00477609" w:rsidRPr="00477609">
        <w:t xml:space="preserve">, 853 F.3d 690 (3d Cir. 2017), the district court decision predated </w:t>
      </w:r>
      <w:r w:rsidR="00477609" w:rsidRPr="00477609">
        <w:rPr>
          <w:i/>
        </w:rPr>
        <w:t>Dempsey</w:t>
      </w:r>
      <w:r w:rsidR="00477609" w:rsidRPr="00477609">
        <w:t xml:space="preserve">. In the interest of judicial economy, the court of appeals reconstructed the affidavit itself, and decided that while misrepresentations as to the perpetrator’s physical appearance (hair color and age estimates) were not material, misrepresentations regarding the description of cars were material. The victim had described her assailant’s car as a red, four-door sedan and provided a partial license plate. The next day, she saw a car that she thought was the same car. It was a red, three-door coupe, and the full license plate was quite different from the one she provided the day before. The affidavit seeking an arrest warrant for the owner of the car that she saw on the second day omitted the partial license plate from the description of the car she saw on the first day, failed to mention that the car she saw on the second day was a three door-coupe, and instead called it the “same vehicle described above.” As a result, the issuing judge faced an affidavit that described the car on day two as the “same vehicle” as the car on day one, but did not know about important discrepancies that, unlike age estimates, are “irreconcilable differences that are not easily or reasonably explained.” </w:t>
      </w:r>
      <w:r w:rsidR="00477609" w:rsidRPr="00477609">
        <w:rPr>
          <w:i/>
        </w:rPr>
        <w:t>Id</w:t>
      </w:r>
      <w:r w:rsidR="00477609" w:rsidRPr="00477609">
        <w:t>. at 703.</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xml:space="preserve">, 132 S. Ct. 1235, 1245, 1249 (2012) (holding that in light of magistrate’s issuance of warrant, defendant officers were entitled to qualified immunity unless their reliance on the warrant was </w:t>
      </w:r>
      <w:r w:rsidR="00B6244C" w:rsidRPr="00B6244C">
        <w:lastRenderedPageBreak/>
        <w:t>“plainly incompetent” or “entirely unreasonable”)</w:t>
      </w:r>
      <w:r>
        <w:t>.</w:t>
      </w:r>
      <w:r>
        <w:rPr>
          <w:rStyle w:val="FootnoteReference"/>
        </w:rPr>
        <w:footnoteReference w:id="246"/>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rPr>
        <w:footnoteReference w:id="247"/>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 xml:space="preserve">should be read against the background of </w:t>
      </w:r>
      <w:r>
        <w:lastRenderedPageBreak/>
        <w:t>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lastRenderedPageBreak/>
        <w:t>Egervary</w:t>
      </w:r>
      <w:r w:rsidR="000D09A4">
        <w:t>’</w:t>
      </w:r>
      <w:r>
        <w:t>s approach appears to be in some tension with Supreme Court precedent.</w:t>
      </w:r>
      <w:r>
        <w:rPr>
          <w:rStyle w:val="FootnoteReference"/>
        </w:rPr>
        <w:footnoteReference w:id="248"/>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09CB4BD3"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8B1545">
        <w:t>’ ”</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[plaintiff</w:t>
      </w:r>
      <w:r w:rsidR="000D09A4">
        <w:t>’</w:t>
      </w:r>
      <w:r>
        <w:t>s]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77777777" w:rsidR="00A610BD" w:rsidRDefault="00A610BD">
      <w:pPr>
        <w:ind w:left="720"/>
        <w:jc w:val="both"/>
      </w:pPr>
      <w:r>
        <w:t>First: [Defendant] initiated the criminal proceeding against [plaintiff].</w:t>
      </w:r>
    </w:p>
    <w:p w14:paraId="059DF83B" w14:textId="77777777" w:rsidR="00A610BD" w:rsidRDefault="00A610BD">
      <w:pPr>
        <w:jc w:val="both"/>
      </w:pPr>
    </w:p>
    <w:p w14:paraId="1848A7DB" w14:textId="77777777" w:rsidR="00A610BD" w:rsidRDefault="00A610BD">
      <w:pPr>
        <w:ind w:left="720"/>
        <w:jc w:val="both"/>
      </w:pPr>
      <w:r>
        <w:t>Second: [Defendant] lacked probable cause to initiate the proceeding.</w:t>
      </w:r>
      <w:r>
        <w:rPr>
          <w:rStyle w:val="FootnoteReference"/>
        </w:rPr>
        <w:footnoteReference w:id="249"/>
      </w:r>
    </w:p>
    <w:p w14:paraId="365C4DC8" w14:textId="77777777" w:rsidR="00A610BD" w:rsidRDefault="00A610BD">
      <w:pPr>
        <w:jc w:val="both"/>
      </w:pPr>
    </w:p>
    <w:p w14:paraId="0E20C79A" w14:textId="77777777" w:rsidR="00A610BD" w:rsidRDefault="00A610BD">
      <w:pPr>
        <w:ind w:left="720"/>
        <w:jc w:val="both"/>
      </w:pPr>
      <w:r>
        <w:t>Third: The criminal proceeding ended in [plaintiff</w:t>
      </w:r>
      <w:r w:rsidR="000D09A4">
        <w:t>’</w:t>
      </w:r>
      <w:r>
        <w:t>s] favor.</w:t>
      </w:r>
    </w:p>
    <w:p w14:paraId="1A961F89" w14:textId="77777777" w:rsidR="00A610BD" w:rsidRDefault="00A610BD">
      <w:pPr>
        <w:jc w:val="both"/>
      </w:pPr>
    </w:p>
    <w:p w14:paraId="0C449447" w14:textId="77777777"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77777777" w:rsidR="00A610BD" w:rsidRDefault="00A610BD">
      <w:pPr>
        <w:ind w:left="720"/>
        <w:jc w:val="both"/>
      </w:pPr>
      <w:r>
        <w:t>Fifth: As a consequence of the proceeding, [plaintiff] suffered a significant deprivation of liberty.</w:t>
      </w:r>
      <w:r>
        <w:rPr>
          <w:rStyle w:val="FootnoteReference"/>
        </w:rPr>
        <w:footnoteReference w:id="250"/>
      </w:r>
    </w:p>
    <w:p w14:paraId="61B60671" w14:textId="77777777" w:rsidR="00A610BD" w:rsidRDefault="00A610BD">
      <w:pPr>
        <w:jc w:val="both"/>
      </w:pPr>
    </w:p>
    <w:p w14:paraId="1F220F9E" w14:textId="77777777"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rPr>
        <w:footnoteReference w:id="251"/>
      </w:r>
    </w:p>
    <w:p w14:paraId="78BDEFD2" w14:textId="77777777" w:rsidR="00A610BD" w:rsidRDefault="00A610BD">
      <w:pPr>
        <w:jc w:val="both"/>
      </w:pPr>
    </w:p>
    <w:p w14:paraId="29A639CF" w14:textId="77777777" w:rsidR="00A610BD" w:rsidRDefault="00A610BD">
      <w:pPr>
        <w:ind w:firstLine="720"/>
        <w:jc w:val="both"/>
      </w:pPr>
      <w:r>
        <w:lastRenderedPageBreak/>
        <w:t>As to the second element of [plaintiff</w:t>
      </w:r>
      <w:r w:rsidR="000D09A4">
        <w:t>’</w:t>
      </w:r>
      <w:r>
        <w:t>s] malicious prosecution claim, [plaintiff] must prove that [defendant] lacked probable cause to initiate the proceeding.  To determine whether probable 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7F0345B0" w14:textId="77777777"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14:paraId="3B9567C6" w14:textId="77777777" w:rsidR="00A610BD" w:rsidRDefault="00A610BD">
      <w:pPr>
        <w:jc w:val="both"/>
      </w:pPr>
    </w:p>
    <w:p w14:paraId="6DBAF410" w14:textId="77777777" w:rsidR="00A610BD" w:rsidRDefault="00A610BD">
      <w:pPr>
        <w:ind w:firstLine="720"/>
        <w:jc w:val="both"/>
      </w:pPr>
      <w:r>
        <w:rPr>
          <w:u w:val="single"/>
        </w:rPr>
        <w:t>The pre-</w:t>
      </w:r>
      <w:r w:rsidRPr="00A55758">
        <w:rPr>
          <w:i/>
          <w:u w:val="single"/>
        </w:rPr>
        <w:t>Albright</w:t>
      </w:r>
      <w:r>
        <w:rPr>
          <w:u w:val="single"/>
        </w:rPr>
        <w:t xml:space="preserve">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 xml:space="preserve">law </w:t>
      </w:r>
      <w:r>
        <w:lastRenderedPageBreak/>
        <w:t>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14:paraId="3832018C" w14:textId="77777777" w:rsidR="00EF672B" w:rsidRDefault="00EF672B">
      <w:pPr>
        <w:ind w:firstLine="720"/>
        <w:jc w:val="both"/>
        <w:rPr>
          <w:u w:val="single"/>
        </w:rPr>
      </w:pPr>
    </w:p>
    <w:p w14:paraId="71723BE3" w14:textId="57289F5D" w:rsidR="00A610BD" w:rsidRDefault="00A610BD">
      <w:pPr>
        <w:ind w:firstLine="720"/>
        <w:jc w:val="both"/>
      </w:pPr>
      <w:r w:rsidRPr="00A55758">
        <w:rPr>
          <w:i/>
          <w:u w:val="single"/>
        </w:rPr>
        <w:t>Albright v. Oliver</w:t>
      </w:r>
      <w:r>
        <w:rPr>
          <w:u w:val="single"/>
        </w:rPr>
        <w:t>.</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8B1545">
        <w:t>’ ”</w:t>
      </w:r>
      <w:r>
        <w:t xml:space="preserve"> </w:t>
      </w:r>
      <w:r>
        <w:rPr>
          <w:i/>
          <w:iCs/>
        </w:rPr>
        <w:t>Id.</w:t>
      </w:r>
      <w:r>
        <w:t xml:space="preserve"> at 273 (quoting </w:t>
      </w:r>
      <w:r>
        <w:rPr>
          <w:i/>
          <w:iCs/>
        </w:rPr>
        <w:t>Graham v. Connor</w:t>
      </w:r>
      <w:r>
        <w:t>, 490 U.S. 386, 395 (1989)).</w:t>
      </w:r>
      <w:r>
        <w:rPr>
          <w:rStyle w:val="FootnoteReference"/>
        </w:rPr>
        <w:footnoteReference w:id="252"/>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14:paraId="4670601C" w14:textId="77777777" w:rsidR="00A610BD" w:rsidRDefault="00A610BD">
      <w:pPr>
        <w:jc w:val="both"/>
      </w:pPr>
    </w:p>
    <w:p w14:paraId="6023FAB2" w14:textId="77777777"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xml:space="preserve">, 510 U.S. at 285 (Kennedy, J., joined by Thomas, J., </w:t>
      </w:r>
      <w:r>
        <w:lastRenderedPageBreak/>
        <w:t>concurring in the judgment).</w:t>
      </w:r>
    </w:p>
    <w:p w14:paraId="5F55676A" w14:textId="77777777" w:rsidR="00A610BD" w:rsidRDefault="00A610BD">
      <w:pPr>
        <w:jc w:val="both"/>
      </w:pPr>
    </w:p>
    <w:p w14:paraId="6A6D24CC" w14:textId="77777777"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14:paraId="78299766" w14:textId="77777777" w:rsidR="00A610BD" w:rsidRDefault="00A610BD">
      <w:pPr>
        <w:jc w:val="both"/>
      </w:pPr>
    </w:p>
    <w:p w14:paraId="6EA21678" w14:textId="77777777"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14:paraId="5B44E185" w14:textId="77777777" w:rsidR="00A610BD" w:rsidRDefault="00A610BD">
      <w:pPr>
        <w:jc w:val="both"/>
      </w:pPr>
    </w:p>
    <w:p w14:paraId="7C8C82C1" w14:textId="77777777"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14:paraId="544BCDA3" w14:textId="77777777" w:rsidR="00A610BD" w:rsidRDefault="00A610BD">
      <w:pPr>
        <w:jc w:val="both"/>
      </w:pPr>
    </w:p>
    <w:p w14:paraId="7A8529B1" w14:textId="77777777" w:rsidR="00672C74" w:rsidRDefault="00A610BD">
      <w:pPr>
        <w:ind w:firstLine="720"/>
        <w:jc w:val="both"/>
      </w:pPr>
      <w:r>
        <w:rPr>
          <w:u w:val="single"/>
        </w:rPr>
        <w:t>Post-</w:t>
      </w:r>
      <w:r w:rsidRPr="00A55758">
        <w:rPr>
          <w:i/>
          <w:u w:val="single"/>
        </w:rPr>
        <w:t>Albright</w:t>
      </w:r>
      <w:r>
        <w:rPr>
          <w:u w:val="single"/>
        </w:rPr>
        <w:t xml:space="preserve"> cases.</w:t>
      </w:r>
      <w:r>
        <w:t xml:space="preserve">  </w:t>
      </w:r>
    </w:p>
    <w:p w14:paraId="0D24F702" w14:textId="77777777" w:rsidR="00672C74" w:rsidRDefault="00672C74">
      <w:pPr>
        <w:ind w:firstLine="720"/>
        <w:jc w:val="both"/>
      </w:pPr>
    </w:p>
    <w:p w14:paraId="25B4458F" w14:textId="77777777" w:rsidR="00672C74" w:rsidRPr="00672C74" w:rsidRDefault="00672C74" w:rsidP="00672C74">
      <w:pPr>
        <w:ind w:firstLine="720"/>
        <w:jc w:val="both"/>
      </w:pPr>
      <w:r w:rsidRPr="00672C74">
        <w:t xml:space="preserve">In </w:t>
      </w:r>
      <w:r w:rsidRPr="00672C74">
        <w:rPr>
          <w:i/>
        </w:rPr>
        <w:t>Manuel v. City of Joliet, Ill.</w:t>
      </w:r>
      <w:r w:rsidRPr="00672C74">
        <w:t xml:space="preserve">, 137 S. Ct. 911 (2017), the Court granted certiorari to decide “whether an individual’s Fourth Amendment right to be free from unreasonable seizure continues beyond legal process so as to allow a malicious prosecution claim based upon the Fourth Amendment.” The Court, however, decided only that “the Fourth Amendment governs a claim for unlawful pretrial detention even beyond the start of legal process,” </w:t>
      </w:r>
      <w:r w:rsidRPr="00672C74">
        <w:rPr>
          <w:i/>
        </w:rPr>
        <w:t>id</w:t>
      </w:r>
      <w:r w:rsidRPr="00672C74">
        <w:t xml:space="preserve">. at 920, and that “once a trial has occurred, the Fourth Amendment drops out,” so that a challenge to the sufficiency of the evidence to support a conviction and ensuing incarceration is brought under the Due Process Clause. </w:t>
      </w:r>
      <w:r w:rsidRPr="00672C74">
        <w:rPr>
          <w:i/>
        </w:rPr>
        <w:t>Id</w:t>
      </w:r>
      <w:r w:rsidRPr="00672C74">
        <w:t xml:space="preserve">. at 920 n.8. It left for the court of appeals on remand to decide the accrual date for such a Fourth Amendment claim, and whether malicious prosecution (with its favorable termination requirement) or false arrest is the better tort analogy. </w:t>
      </w:r>
      <w:r w:rsidRPr="00672C74">
        <w:rPr>
          <w:i/>
        </w:rPr>
        <w:t>Id</w:t>
      </w:r>
      <w:r w:rsidRPr="00672C74">
        <w:t xml:space="preserve">. at 920-22. </w:t>
      </w:r>
    </w:p>
    <w:p w14:paraId="342E5223" w14:textId="77777777" w:rsidR="00672C74" w:rsidRDefault="00672C74">
      <w:pPr>
        <w:ind w:firstLine="720"/>
        <w:jc w:val="both"/>
      </w:pPr>
    </w:p>
    <w:p w14:paraId="35812558" w14:textId="2BFA1618" w:rsidR="00A610BD" w:rsidRDefault="00A610BD">
      <w:pPr>
        <w:ind w:firstLine="720"/>
        <w:jc w:val="both"/>
      </w:pPr>
      <w:r>
        <w:t xml:space="preserve">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rPr>
        <w:footnoteReference w:id="253"/>
      </w:r>
      <w:r>
        <w:t xml:space="preserve">  Instruction 4.13 is designed for use in </w:t>
      </w:r>
      <w:r>
        <w:lastRenderedPageBreak/>
        <w:t>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4366CEA2" w14:textId="4C769816"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8B1545" w:rsidRPr="008B1545">
        <w:t xml:space="preserve"> </w:t>
      </w:r>
      <w:r w:rsidR="008B1545">
        <w:t>” ’ ”</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rPr>
        <w:footnoteReference w:id="254"/>
      </w:r>
      <w:r w:rsidR="00720A9B">
        <w:t xml:space="preserve"> with</w:t>
      </w:r>
      <w:r>
        <w:t xml:space="preserve"> </w:t>
      </w:r>
      <w:r w:rsidR="00720A9B" w:rsidRPr="00613629">
        <w:rPr>
          <w:i/>
        </w:rPr>
        <w:t>Black v. Montgomery County</w:t>
      </w:r>
      <w:r w:rsidR="00720A9B" w:rsidRPr="00613629">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00720A9B" w:rsidRPr="00613629">
        <w:rPr>
          <w:i/>
        </w:rPr>
        <w:t xml:space="preserve"> Curry v. Yachera</w:t>
      </w:r>
      <w:r w:rsidR="00720A9B" w:rsidRPr="00613629">
        <w:t xml:space="preserve">, 835 F.3d 373, 380 (3d Cir. 2016). </w:t>
      </w:r>
      <w:r>
        <w:t>The plaintiff also must show that the seizure was unreasonable under the Fourth Amendment; in the malicious prosecution context, that requirement typically will be equivalent to the traditional common law element of lack of probable cause, discussed below.</w:t>
      </w:r>
    </w:p>
    <w:p w14:paraId="5A120454" w14:textId="77777777" w:rsidR="00A610BD" w:rsidRDefault="00A610BD">
      <w:pPr>
        <w:jc w:val="both"/>
      </w:pPr>
    </w:p>
    <w:p w14:paraId="003CDE71" w14:textId="77777777"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xml:space="preserve">, the Court shaped the contours of a Section 1983 claim for unconstitutional conviction in part by </w:t>
      </w:r>
      <w:r>
        <w:lastRenderedPageBreak/>
        <w:t>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14:paraId="3A2E32F3" w14:textId="77777777" w:rsidR="00A610BD" w:rsidRDefault="00A610BD">
      <w:pPr>
        <w:jc w:val="both"/>
      </w:pPr>
    </w:p>
    <w:p w14:paraId="196559F7" w14:textId="77777777"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rPr>
        <w:footnoteReference w:id="255"/>
      </w:r>
      <w:r>
        <w:t xml:space="preserve">  Similarly, the Court of Appeals noted in </w:t>
      </w:r>
      <w:r>
        <w:rPr>
          <w:i/>
          <w:iCs/>
        </w:rPr>
        <w:t>Gallo</w:t>
      </w:r>
      <w:r>
        <w:t xml:space="preserve"> that</w:t>
      </w:r>
    </w:p>
    <w:p w14:paraId="603917BE" w14:textId="77777777" w:rsidR="00A610BD" w:rsidRDefault="00A610BD">
      <w:pPr>
        <w:jc w:val="both"/>
      </w:pPr>
    </w:p>
    <w:p w14:paraId="0950CB03" w14:textId="77777777"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14:paraId="7B88F6A5" w14:textId="77777777" w:rsidR="00A610BD" w:rsidRDefault="00A610BD">
      <w:pPr>
        <w:jc w:val="both"/>
      </w:pPr>
    </w:p>
    <w:p w14:paraId="506B1FDC" w14:textId="77777777" w:rsidR="00A610BD" w:rsidRDefault="00A610BD">
      <w:pPr>
        <w:jc w:val="both"/>
      </w:pPr>
      <w:r>
        <w:rPr>
          <w:i/>
          <w:iCs/>
        </w:rPr>
        <w:t>Gallo</w:t>
      </w:r>
      <w:r>
        <w:t>, 161 F.3d at 222 n.6.</w:t>
      </w:r>
    </w:p>
    <w:p w14:paraId="38B227F1" w14:textId="77777777" w:rsidR="00A610BD" w:rsidRDefault="00A610BD">
      <w:pPr>
        <w:jc w:val="both"/>
      </w:pPr>
    </w:p>
    <w:p w14:paraId="25B32D68" w14:textId="77777777"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rPr>
        <w:footnoteReference w:id="256"/>
      </w:r>
    </w:p>
    <w:p w14:paraId="65E1B4FD" w14:textId="77777777" w:rsidR="00A610BD" w:rsidRDefault="00A610BD">
      <w:pPr>
        <w:ind w:left="720" w:right="720"/>
        <w:jc w:val="both"/>
      </w:pPr>
      <w:r>
        <w:lastRenderedPageBreak/>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14:paraId="1EE92F52" w14:textId="77777777" w:rsidR="00A610BD" w:rsidRDefault="00A610BD">
      <w:pPr>
        <w:jc w:val="both"/>
      </w:pPr>
    </w:p>
    <w:p w14:paraId="72C9155B" w14:textId="6225A9C0"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 xml:space="preserve">see </w:t>
      </w:r>
      <w:r w:rsidRPr="00CD3984">
        <w:rPr>
          <w:i/>
          <w:iCs/>
        </w:rPr>
        <w:t xml:space="preserve">also </w:t>
      </w:r>
      <w:r w:rsidR="00971216" w:rsidRPr="00CD3984">
        <w:rPr>
          <w:i/>
          <w:iCs/>
        </w:rPr>
        <w:t xml:space="preserve">Zimmerman v. Corbett, </w:t>
      </w:r>
      <w:r w:rsidR="00971216" w:rsidRPr="00CD3984">
        <w:rPr>
          <w:iCs/>
        </w:rPr>
        <w:t>873 F.3d 414, 418 (3d Cir. 2017)</w:t>
      </w:r>
      <w:r w:rsidR="00971216" w:rsidRPr="00CD3984">
        <w:t>, petition for cert. filed, No. 17-1234 (March 5, 2018);</w:t>
      </w:r>
      <w:r w:rsidR="00971216">
        <w:rPr>
          <w:i/>
          <w:iCs/>
        </w:rPr>
        <w:t xml:space="preserve"> </w:t>
      </w:r>
      <w:r>
        <w:rPr>
          <w:i/>
          <w:iCs/>
        </w:rPr>
        <w:t>DiBella v. Borough of Beachwood</w:t>
      </w:r>
      <w:r>
        <w:t>, 407 F.3d 599, 601 (3d Cir. 2005).</w:t>
      </w:r>
    </w:p>
    <w:p w14:paraId="27454995" w14:textId="77777777" w:rsidR="00613629" w:rsidRDefault="00613629">
      <w:pPr>
        <w:jc w:val="both"/>
      </w:pPr>
    </w:p>
    <w:p w14:paraId="2824A6FB" w14:textId="77777777"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14:paraId="2126BA76" w14:textId="77777777" w:rsidR="00A610BD" w:rsidRDefault="00A610BD">
      <w:pPr>
        <w:jc w:val="both"/>
      </w:pPr>
    </w:p>
    <w:p w14:paraId="65CBFB16" w14:textId="77777777"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14:paraId="5D6C5A00" w14:textId="77777777" w:rsidR="00A610BD" w:rsidRDefault="00A610BD">
      <w:pPr>
        <w:jc w:val="both"/>
      </w:pPr>
    </w:p>
    <w:p w14:paraId="20C59821" w14:textId="7CB57402"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lastRenderedPageBreak/>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8B1545">
        <w:t>’ ”</w:t>
      </w:r>
      <w:r>
        <w:t xml:space="preserve"> (quoting 1A Martin A. Schwartz &amp; John E. Kirklin, Section 1983 Litigation, </w:t>
      </w:r>
      <w:r w:rsidR="00191CA5">
        <w:t xml:space="preserve">§ </w:t>
      </w:r>
      <w:r>
        <w:t>3.20, at 316 (3d ed. 1997).).</w:t>
      </w:r>
    </w:p>
    <w:p w14:paraId="5769F391" w14:textId="77777777" w:rsidR="00A610BD" w:rsidRDefault="00A610BD">
      <w:pPr>
        <w:jc w:val="both"/>
      </w:pPr>
    </w:p>
    <w:p w14:paraId="16B1E9C1" w14:textId="77777777"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14:paraId="4261500E" w14:textId="77777777" w:rsidR="00A610BD" w:rsidRDefault="00A610BD">
      <w:pPr>
        <w:jc w:val="both"/>
      </w:pPr>
    </w:p>
    <w:p w14:paraId="2A48F2BE" w14:textId="41A025BB"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w:t>
      </w:r>
      <w:r w:rsidR="00D44B69">
        <w:rPr>
          <w:i/>
          <w:iCs/>
        </w:rPr>
        <w:t xml:space="preserve"> </w:t>
      </w:r>
      <w:r w:rsidR="00D44B69" w:rsidRPr="00121C30">
        <w:rPr>
          <w:i/>
          <w:iCs/>
        </w:rPr>
        <w:t>Geness v. Cox</w:t>
      </w:r>
      <w:r w:rsidR="00D44B69" w:rsidRPr="00D6488F">
        <w:rPr>
          <w:iCs/>
        </w:rPr>
        <w:t>, 902 F.3d 344</w:t>
      </w:r>
      <w:r w:rsidR="00D44B69">
        <w:rPr>
          <w:iCs/>
        </w:rPr>
        <w:t>, 356</w:t>
      </w:r>
      <w:r w:rsidR="00D44B69" w:rsidRPr="00D6488F">
        <w:rPr>
          <w:iCs/>
        </w:rPr>
        <w:t xml:space="preserve"> (3d Cir. 2018)</w:t>
      </w:r>
      <w:r w:rsidR="00D44B69">
        <w:rPr>
          <w:iCs/>
        </w:rPr>
        <w:t xml:space="preserve"> (holding that </w:t>
      </w:r>
      <w:r w:rsidR="00D44B69" w:rsidRPr="00D6488F">
        <w:rPr>
          <w:iCs/>
        </w:rPr>
        <w:t>to determine whether a nolle prosequi order indicates innocence requires consideration of the underlying facts and particular circumstances</w:t>
      </w:r>
      <w:r w:rsidR="00D44B69">
        <w:rPr>
          <w:iCs/>
        </w:rPr>
        <w:t xml:space="preserve"> and that where </w:t>
      </w:r>
      <w:r w:rsidR="00D44B69" w:rsidRPr="00D6488F">
        <w:rPr>
          <w:iCs/>
        </w:rPr>
        <w:t>prosecutor anticipated that it would not be possible to prove the case beyond a reasonable doubt</w:t>
      </w:r>
      <w:r w:rsidR="00D44B69">
        <w:rPr>
          <w:iCs/>
        </w:rPr>
        <w:t xml:space="preserve">, the order </w:t>
      </w:r>
      <w:r w:rsidR="00D44B69" w:rsidRPr="00D6488F">
        <w:rPr>
          <w:iCs/>
        </w:rPr>
        <w:t>indicate</w:t>
      </w:r>
      <w:r w:rsidR="00D44B69">
        <w:rPr>
          <w:iCs/>
        </w:rPr>
        <w:t>d</w:t>
      </w:r>
      <w:r w:rsidR="00D44B69" w:rsidRPr="00D6488F">
        <w:rPr>
          <w:iCs/>
        </w:rPr>
        <w:t xml:space="preserve"> innocence and </w:t>
      </w:r>
      <w:r w:rsidR="00D44B69">
        <w:rPr>
          <w:iCs/>
        </w:rPr>
        <w:t xml:space="preserve">constituted </w:t>
      </w:r>
      <w:r w:rsidR="00D44B69" w:rsidRPr="00D6488F">
        <w:rPr>
          <w:iCs/>
        </w:rPr>
        <w:t>a favorable termination</w:t>
      </w:r>
      <w:r w:rsidR="00D44B69">
        <w:rPr>
          <w:iCs/>
        </w:rPr>
        <w:t>);</w:t>
      </w:r>
      <w:r>
        <w:rPr>
          <w:i/>
          <w:iCs/>
        </w:rPr>
        <w:t xml:space="preserve">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rPr>
        <w:footnoteReference w:id="257"/>
      </w:r>
    </w:p>
    <w:p w14:paraId="4B952BB4" w14:textId="77777777" w:rsidR="00BA6669" w:rsidRDefault="00BA6669">
      <w:pPr>
        <w:ind w:firstLine="720"/>
        <w:jc w:val="both"/>
      </w:pPr>
    </w:p>
    <w:p w14:paraId="34BA7993" w14:textId="24F0D4B5" w:rsidR="00BA6669" w:rsidRPr="00BA6669" w:rsidRDefault="00DE5D73" w:rsidP="002738CE">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t>
      </w:r>
      <w:r w:rsidR="00BA6669" w:rsidRPr="00BA6669">
        <w:lastRenderedPageBreak/>
        <w:t xml:space="preserve">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t>Kossler</w:t>
      </w:r>
      <w:r w:rsidR="00BA6669" w:rsidRPr="00BA6669">
        <w:t xml:space="preserve"> and </w:t>
      </w:r>
      <w:r w:rsidR="00BA6669" w:rsidRPr="00BA6669">
        <w:rPr>
          <w:i/>
        </w:rPr>
        <w:t xml:space="preserve">Gilles </w:t>
      </w:r>
      <w:r w:rsidR="00BA6669" w:rsidRPr="00BA6669">
        <w:t>because, unlike in those cases, the Superior Court order did not imply that the sentence imposed was</w:t>
      </w:r>
      <w:r w:rsidR="00B31B33">
        <w:t xml:space="preserve"> </w:t>
      </w:r>
      <w:r w:rsidR="00BA6669" w:rsidRPr="00BA6669">
        <w:t>valid, and explaining that the requirement that the prior outcome indicate innocence does not call for magic words but rather directs the inquiry to the purpose of the favorable termination rule: avoiding conflicting resolutions in the criminal case and the § 1983 case).</w:t>
      </w:r>
    </w:p>
    <w:p w14:paraId="70D6C66E" w14:textId="77777777" w:rsidR="00BA6669" w:rsidRPr="00BA6669" w:rsidRDefault="00BA6669" w:rsidP="00BA6669">
      <w:pPr>
        <w:ind w:firstLine="720"/>
        <w:jc w:val="both"/>
        <w:sectPr w:rsidR="00BA6669" w:rsidRPr="00BA6669" w:rsidSect="00E64F24">
          <w:headerReference w:type="default" r:id="rId42"/>
          <w:type w:val="continuous"/>
          <w:pgSz w:w="12240" w:h="15840"/>
          <w:pgMar w:top="1440" w:right="1440" w:bottom="1440" w:left="1440" w:header="1440" w:footer="1440" w:gutter="0"/>
          <w:lnNumType w:countBy="1"/>
          <w:cols w:space="720"/>
          <w:docGrid w:linePitch="326"/>
        </w:sectPr>
      </w:pPr>
    </w:p>
    <w:p w14:paraId="7A87557B" w14:textId="77777777"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rPr>
        <w:footnoteReference w:id="258"/>
      </w:r>
      <w:r>
        <w:t xml:space="preserve"> it apparently is still open </w:t>
      </w:r>
      <w:r>
        <w:lastRenderedPageBreak/>
        <w:t xml:space="preserve">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w:t>
      </w:r>
      <w:r>
        <w:lastRenderedPageBreak/>
        <w:t>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77777777"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w:t>
      </w:r>
      <w:r w:rsidR="00A610BD" w:rsidRPr="00A55758">
        <w:rPr>
          <w:i/>
        </w:rPr>
        <w:t>See</w:t>
      </w:r>
      <w:r w:rsidR="00A610BD">
        <w:t xml:space="preserv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w:t>
      </w:r>
      <w:r w:rsidR="001B783C">
        <w:t xml:space="preserve"> </w:t>
      </w:r>
      <w:r w:rsidR="00A610BD">
        <w:t>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rPr>
        <w:footnoteReference w:id="259"/>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77777777"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rPr>
        <w:footnoteReference w:id="260"/>
      </w:r>
    </w:p>
    <w:p w14:paraId="1FD15240" w14:textId="77777777" w:rsidR="008D5EE0" w:rsidRDefault="008D5EE0">
      <w:pPr>
        <w:ind w:firstLine="720"/>
        <w:jc w:val="both"/>
      </w:pPr>
    </w:p>
    <w:p w14:paraId="3C4D26B6" w14:textId="699601AC"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14:paraId="3ACB1B38" w14:textId="77777777" w:rsidR="00096CAF" w:rsidRDefault="00096CAF">
      <w:pPr>
        <w:ind w:firstLine="720"/>
        <w:jc w:val="both"/>
      </w:pPr>
    </w:p>
    <w:p w14:paraId="11706AAD" w14:textId="225F1A8B"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rPr>
        <w:footnoteReference w:id="261"/>
      </w:r>
      <w:r w:rsidR="00613629">
        <w:t xml:space="preserve"> </w:t>
      </w:r>
      <w:r>
        <w:rPr>
          <w:i/>
          <w:iCs/>
        </w:rPr>
        <w:t>See</w:t>
      </w:r>
      <w:r>
        <w:t xml:space="preserve"> </w:t>
      </w:r>
      <w:r>
        <w:rPr>
          <w:i/>
          <w:iCs/>
        </w:rPr>
        <w:t>Heck v. Humphrey</w:t>
      </w:r>
      <w:r>
        <w:t>, 512 U.S. 477, 486-87 (1994).</w:t>
      </w:r>
      <w:r>
        <w:rPr>
          <w:rStyle w:val="FootnoteReference"/>
        </w:rPr>
        <w:footnoteReference w:id="262"/>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rPr>
        <w:footnoteReference w:id="263"/>
      </w:r>
      <w:r>
        <w:t xml:space="preserve">  The Court of Appeals, however, has indicated that it is not at liberty to follow the suggestion made by those Justices.</w:t>
      </w:r>
      <w:r>
        <w:rPr>
          <w:rStyle w:val="FootnoteReference"/>
        </w:rPr>
        <w:footnoteReference w:id="264"/>
      </w:r>
    </w:p>
    <w:p w14:paraId="20B923F9" w14:textId="77777777" w:rsidR="00A610BD" w:rsidRDefault="00A610BD">
      <w:pPr>
        <w:ind w:firstLine="720"/>
        <w:jc w:val="both"/>
      </w:pPr>
      <w:r>
        <w:rPr>
          <w:u w:val="single"/>
        </w:rPr>
        <w:lastRenderedPageBreak/>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rPr>
        <w:footnoteReference w:id="265"/>
      </w:r>
    </w:p>
    <w:p w14:paraId="79A5D8FA" w14:textId="77777777" w:rsidR="00A610BD" w:rsidRDefault="00A610BD">
      <w:pPr>
        <w:jc w:val="both"/>
      </w:pPr>
    </w:p>
    <w:p w14:paraId="6A81E0A2" w14:textId="58305FC5"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8B1545">
        <w:t>’ ”</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 xml:space="preserve">see also DiBella v. Borough of </w:t>
      </w:r>
      <w:r>
        <w:rPr>
          <w:i/>
          <w:iCs/>
        </w:rPr>
        <w:lastRenderedPageBreak/>
        <w:t>Beachwood</w:t>
      </w:r>
      <w:r>
        <w:t xml:space="preserve">, 407 F.3d 599, 603 (3d Cir. 2005) </w:t>
      </w:r>
      <w:r w:rsidR="00356C5B">
        <w:t>(“</w:t>
      </w:r>
      <w:r>
        <w:t>[T]he Fourth Amendment does not extend beyond the period of pretrial restrictions.</w:t>
      </w:r>
      <w:r w:rsidR="00FD4B4D">
        <w:t>”</w:t>
      </w:r>
      <w:r>
        <w:t>).</w:t>
      </w:r>
    </w:p>
    <w:p w14:paraId="1393A3C3" w14:textId="77777777" w:rsidR="00A610BD" w:rsidRDefault="00A610BD">
      <w:pPr>
        <w:jc w:val="both"/>
      </w:pPr>
    </w:p>
    <w:p w14:paraId="21FE1B73" w14:textId="52D6E9E6"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8B1545">
        <w:t>’ ”</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59FEA5F3" w14:textId="255F11B7"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rPr>
        <w:footnoteReference w:id="266"/>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63E87AF0" w14:textId="77777777" w:rsidR="00317FFE" w:rsidRPr="003A6A6F" w:rsidRDefault="00DC19C7" w:rsidP="00317FFE">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w:t>
      </w:r>
      <w:r w:rsidRPr="00DC19C7">
        <w:lastRenderedPageBreak/>
        <w:t xml:space="preserve">prosecution claim fails (for example) because of the existence of probable cause even without the fabricated evidence. </w:t>
      </w:r>
      <w:r w:rsidR="00317FFE" w:rsidRPr="003A6A6F">
        <w:t xml:space="preserve">Such a claim is available even if the criminal defendant is acquitted, “if there 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68C1251F" w14:textId="77777777"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lastRenderedPageBreak/>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rPr>
        <w:footnoteReference w:id="267"/>
      </w:r>
      <w:r>
        <w:t xml:space="preserve"> [that the government did not cause]</w:t>
      </w:r>
      <w:r>
        <w:rPr>
          <w:rStyle w:val="FootnoteReference"/>
        </w:rPr>
        <w:footnoteReference w:id="268"/>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rPr>
        <w:footnoteReference w:id="269"/>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2D9E839" w:rsidR="00A610BD" w:rsidRDefault="00A610BD">
      <w:pPr>
        <w:ind w:left="720"/>
        <w:jc w:val="both"/>
      </w:pPr>
      <w:r>
        <w:t>Fourth:  [Defendant</w:t>
      </w:r>
      <w:r w:rsidR="000D09A4">
        <w:t>’</w:t>
      </w:r>
      <w:r>
        <w:t xml:space="preserve">s] action </w:t>
      </w:r>
      <w:r w:rsidR="00AC407E">
        <w:t>[[created a danger to [plaintiff]] [</w:t>
      </w:r>
      <w:r>
        <w:t>made [plaintiff] more vulnerable to [describe the harm]</w:t>
      </w:r>
      <w:r w:rsidR="00AC407E">
        <w:t>]</w:t>
      </w:r>
      <w:r>
        <w:t>.</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t>
      </w:r>
      <w:r>
        <w:lastRenderedPageBreak/>
        <w:t>whether [defendant] should have foreseen [the harm at issue] [that [describe harm]].  Directness 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29645AEC" w:rsidR="00A610BD" w:rsidRDefault="00A610BD">
      <w:pPr>
        <w:ind w:firstLine="720"/>
        <w:jc w:val="both"/>
      </w:pPr>
      <w:r>
        <w:rPr>
          <w:b/>
          <w:bCs/>
        </w:rPr>
        <w:t>[[For cases in which the requisite level of culpability is subjective deliberate indifference:]</w:t>
      </w:r>
      <w:r>
        <w:rPr>
          <w:rStyle w:val="FootnoteReference"/>
        </w:rPr>
        <w:footnoteReference w:id="270"/>
      </w:r>
      <w:r>
        <w:t xml:space="preserve">  The second of these four elements requires [plaintiff] to show that [defendant] acted with deliberate indifference.  To show that [defendant] was deliberately indifferent, [plaintiff] must show that [defendant] knew that there was a </w:t>
      </w:r>
      <w:r w:rsidR="0052168C" w:rsidRPr="00CD3984">
        <w:t>substantial risk of a serious harm</w:t>
      </w:r>
      <w:r w:rsidR="0052168C" w:rsidRPr="0052168C">
        <w:t xml:space="preserve"> </w:t>
      </w:r>
      <w:r>
        <w:t>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71"/>
      </w:r>
      <w:r>
        <w:t xml:space="preserve"> then you must find that [he/she] was not deliberately indifferent.]]</w:t>
      </w:r>
    </w:p>
    <w:p w14:paraId="245B8665" w14:textId="77777777" w:rsidR="00A610BD" w:rsidRDefault="00A610BD">
      <w:pPr>
        <w:jc w:val="both"/>
      </w:pPr>
    </w:p>
    <w:p w14:paraId="663FA2BC" w14:textId="11884F38" w:rsidR="00A610BD" w:rsidRPr="00CD3984" w:rsidRDefault="00A610BD" w:rsidP="0052168C">
      <w:pPr>
        <w:ind w:firstLine="720"/>
        <w:jc w:val="both"/>
        <w:rPr>
          <w:b/>
          <w:bCs/>
        </w:rPr>
      </w:pPr>
      <w:r>
        <w:rPr>
          <w:b/>
          <w:bCs/>
        </w:rPr>
        <w:t>[For cases in which the requisite level of culpability is objective deliberate indifference</w:t>
      </w:r>
      <w:r w:rsidR="0052168C" w:rsidRPr="00CD3984">
        <w:rPr>
          <w:b/>
          <w:bCs/>
        </w:rPr>
        <w:t>:</w:t>
      </w:r>
      <w:r w:rsidRPr="00CD3984">
        <w:rPr>
          <w:b/>
          <w:bCs/>
        </w:rPr>
        <w:t>]</w:t>
      </w:r>
      <w:r w:rsidR="0052168C" w:rsidRPr="00CD3984">
        <w:rPr>
          <w:bCs/>
          <w:vertAlign w:val="superscript"/>
        </w:rPr>
        <w:footnoteReference w:id="272"/>
      </w:r>
      <w:r w:rsidR="0052168C" w:rsidRPr="00CD3984">
        <w:t xml:space="preserve"> The second of these four elements requires [plaintiff] to show that [defendant] acted with deliberate indifference. To show that [defendant] was deliberately indifferent, [plaintiff] must show that [defendant] knew or should have known that there was a substantial risk of a serious harm to [plaintiff], and that [defendant] disregarded that risk by failing to take reasonable measures to address it.</w:t>
      </w:r>
    </w:p>
    <w:p w14:paraId="32530287" w14:textId="77777777" w:rsidR="00A610BD" w:rsidRDefault="00A610BD">
      <w:pPr>
        <w:jc w:val="both"/>
      </w:pPr>
    </w:p>
    <w:p w14:paraId="3594D507" w14:textId="0CCC759A" w:rsidR="00A610BD" w:rsidRDefault="00A610BD">
      <w:pPr>
        <w:ind w:firstLine="720"/>
        <w:jc w:val="both"/>
      </w:pPr>
      <w:r>
        <w:rPr>
          <w:b/>
          <w:bCs/>
        </w:rPr>
        <w:t xml:space="preserve">[[For cases in which the requisite level of culpability is </w:t>
      </w:r>
      <w:r w:rsidR="00AC407E">
        <w:rPr>
          <w:b/>
          <w:bCs/>
        </w:rPr>
        <w:t>conscious disregard of a great risk of serious harm</w:t>
      </w:r>
      <w:r>
        <w:rPr>
          <w:b/>
          <w:bCs/>
        </w:rPr>
        <w:t>:]</w:t>
      </w:r>
      <w:r>
        <w:rPr>
          <w:rStyle w:val="FootnoteReference"/>
        </w:rPr>
        <w:footnoteReference w:id="273"/>
      </w:r>
      <w:r>
        <w:t xml:space="preserve">  The second of these four elements requires [plaintiff] to show that </w:t>
      </w:r>
      <w:r>
        <w:lastRenderedPageBreak/>
        <w:t>[defendant]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rPr>
        <w:footnoteReference w:id="274"/>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rPr>
        <w:footnoteReference w:id="275"/>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of harm.  The third element, the relationship between the state and the plaintiff, is designed to </w:t>
      </w:r>
      <w:r>
        <w:lastRenderedPageBreak/>
        <w:t>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77777777"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17FFE" w:rsidRPr="00613629">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w:t>
      </w:r>
      <w:r>
        <w:lastRenderedPageBreak/>
        <w:t xml:space="preserve">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836 F.3d 235, 246 (3d Cir. 2016) (“Here, randomness and attenuation are not in play. [Defendant] released Jane directly to the unidentified adult who sexually assaulted her the same day.”). </w:t>
      </w:r>
    </w:p>
    <w:p w14:paraId="54AC8DFA" w14:textId="50FA75BF" w:rsidR="00A610BD" w:rsidRPr="00D81628"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rPr>
        <w:footnoteReference w:id="276"/>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w:t>
      </w:r>
      <w:r w:rsidR="0010024D">
        <w:t xml:space="preserve"> </w:t>
      </w:r>
      <w:r w:rsidR="0010024D" w:rsidRPr="0010024D">
        <w:rPr>
          <w:i/>
        </w:rPr>
        <w:t>Mann v. Palmerton Area School District</w:t>
      </w:r>
      <w:r w:rsidR="0010024D" w:rsidRPr="0010024D">
        <w:t xml:space="preserve">, </w:t>
      </w:r>
      <w:r w:rsidR="007A7790">
        <w:t xml:space="preserve">872 F.3d 165, 171-72 </w:t>
      </w:r>
      <w:r w:rsidR="0010024D" w:rsidRPr="0010024D">
        <w:t>(3d Cir.  2017)</w:t>
      </w:r>
      <w:r w:rsidR="007A7790">
        <w:t xml:space="preserve"> </w:t>
      </w:r>
      <w:r w:rsidR="0010024D" w:rsidRPr="0010024D">
        <w:t xml:space="preserve">(same, and holding that a “coach may be held liable where the coach requires a player, showing signs of a concussion, to continue to be exposed to violent hits”); </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757067FD" w14:textId="238E6453" w:rsidR="00AC407E" w:rsidRDefault="00A610BD" w:rsidP="00A55758">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613629">
        <w:t>).</w:t>
      </w:r>
      <w:r w:rsidR="00AC407E" w:rsidRPr="00AC407E">
        <w:t xml:space="preserve"> </w:t>
      </w:r>
    </w:p>
    <w:p w14:paraId="374A5484" w14:textId="77777777" w:rsidR="00CB1C32" w:rsidRPr="007B4BAD" w:rsidRDefault="00CB1C32" w:rsidP="00A55758">
      <w:pPr>
        <w:ind w:firstLine="720"/>
        <w:jc w:val="both"/>
      </w:pPr>
    </w:p>
    <w:p w14:paraId="745249C2" w14:textId="77777777" w:rsidR="00AC407E" w:rsidRPr="007B4BAD" w:rsidRDefault="00AC407E" w:rsidP="00AC407E">
      <w:pPr>
        <w:ind w:firstLine="720"/>
        <w:jc w:val="both"/>
      </w:pPr>
      <w:r w:rsidRPr="007B4BAD">
        <w:t xml:space="preserve">As the court explained in </w:t>
      </w:r>
      <w:r w:rsidRPr="007B4BAD">
        <w:rPr>
          <w:i/>
        </w:rPr>
        <w:t>Haberle v. Troxell</w:t>
      </w:r>
      <w:r w:rsidRPr="007B4BAD">
        <w:t>, 885 F.3d 170 (3d Cir. 2018):</w:t>
      </w:r>
    </w:p>
    <w:p w14:paraId="42488F38" w14:textId="77777777" w:rsidR="00AC407E" w:rsidRPr="007B4BAD" w:rsidRDefault="00AC407E" w:rsidP="00A55758">
      <w:pPr>
        <w:ind w:left="720" w:right="720" w:firstLine="720"/>
        <w:jc w:val="both"/>
      </w:pPr>
      <w:r w:rsidRPr="007B4BAD">
        <w:t xml:space="preserve">The required degree of culpability varies based on the “the circumstances of each case,” and, in particular, on the time pressure under “which the government actor[ ] had to respond . . . .” </w:t>
      </w:r>
      <w:r w:rsidRPr="007B4BAD">
        <w:rPr>
          <w:i/>
        </w:rPr>
        <w:t>Phillips v. Cty. of Allegheny</w:t>
      </w:r>
      <w:r w:rsidRPr="007B4BAD">
        <w:t xml:space="preserve">, 515 F.3d 224, 240 (3d Cir. 2008). Split-second decisions taking place in a “hyperpressurized environment,” usually do not shock the conscience unless they are done with “an intent to cause harm.” </w:t>
      </w:r>
      <w:r w:rsidRPr="007B4BAD">
        <w:rPr>
          <w:i/>
        </w:rPr>
        <w:t>Sanford</w:t>
      </w:r>
      <w:r w:rsidRPr="007B4BAD">
        <w:t xml:space="preserve">, 456 F.3d at 309. At the other end of the continuum, actions taken after time for “unhurried judgments” and careful deliberation may shock the conscience if done with deliberate indifference. </w:t>
      </w:r>
      <w:r w:rsidRPr="007B4BAD">
        <w:rPr>
          <w:i/>
        </w:rPr>
        <w:t>Id</w:t>
      </w:r>
      <w:r w:rsidRPr="007B4BAD">
        <w:t xml:space="preserve">. (quoting </w:t>
      </w:r>
      <w:r w:rsidRPr="007B4BAD">
        <w:rPr>
          <w:i/>
        </w:rPr>
        <w:t>Lewis</w:t>
      </w:r>
      <w:r w:rsidRPr="007B4BAD">
        <w:t xml:space="preserve">, 523 U.S. at 853, 118 S. Ct. 1708). In the middle are actions taken under “hurried deliberation.” </w:t>
      </w:r>
      <w:r w:rsidRPr="007B4BAD">
        <w:rPr>
          <w:i/>
        </w:rPr>
        <w:t>Id</w:t>
      </w:r>
      <w:r w:rsidRPr="007B4BAD">
        <w:t xml:space="preserve">. at 310. Such situations involve decisions that need to be made “in a matter of hours or minutes.” </w:t>
      </w:r>
      <w:r w:rsidRPr="007B4BAD">
        <w:rPr>
          <w:i/>
        </w:rPr>
        <w:t>Ziccardi v. City of Philadelphia</w:t>
      </w:r>
      <w:r w:rsidRPr="007B4BAD">
        <w:t xml:space="preserve">, 288 F.3d 57, 65 (3d Cir. 2002). If that standard applies, then an officer’s actions may shock the conscience if they reveal a conscious disregard of “a great risk of serious harm rather than a substantial risk.” </w:t>
      </w:r>
      <w:r w:rsidRPr="007B4BAD">
        <w:rPr>
          <w:i/>
        </w:rPr>
        <w:t>Sanford</w:t>
      </w:r>
      <w:r w:rsidRPr="007B4BAD">
        <w:t>, 456 F.3d at 310.</w:t>
      </w:r>
    </w:p>
    <w:p w14:paraId="74AB2B43" w14:textId="77777777" w:rsidR="00AC407E" w:rsidRPr="007B4BAD" w:rsidRDefault="00AC407E" w:rsidP="00AC407E">
      <w:pPr>
        <w:ind w:firstLine="720"/>
        <w:jc w:val="both"/>
      </w:pPr>
    </w:p>
    <w:p w14:paraId="65A793F6" w14:textId="7E1B6F77" w:rsidR="00AC407E" w:rsidRPr="007B4BAD" w:rsidRDefault="00AC407E" w:rsidP="00A55758">
      <w:pPr>
        <w:jc w:val="both"/>
      </w:pPr>
      <w:r w:rsidRPr="007B4BAD">
        <w:rPr>
          <w:i/>
        </w:rPr>
        <w:t>Haberle</w:t>
      </w:r>
      <w:r w:rsidRPr="007B4BAD">
        <w:t xml:space="preserve">, 885 F.3d at 177. </w:t>
      </w:r>
      <w:r w:rsidRPr="007B4BAD">
        <w:rPr>
          <w:i/>
        </w:rPr>
        <w:t>See also</w:t>
      </w:r>
      <w:r w:rsidRPr="007B4BAD">
        <w:t xml:space="preserve"> </w:t>
      </w:r>
      <w:r w:rsidRPr="007B4BAD">
        <w:rPr>
          <w:i/>
        </w:rPr>
        <w:t>Sauers v. Borough of Nesquehoning</w:t>
      </w:r>
      <w:r w:rsidRPr="007B4BAD">
        <w:t xml:space="preserve">, </w:t>
      </w:r>
      <w:r w:rsidR="007B4BAD" w:rsidRPr="007B4BAD">
        <w:t>905 F.3d 711</w:t>
      </w:r>
      <w:r w:rsidRPr="007B4BAD">
        <w:t>,</w:t>
      </w:r>
      <w:r w:rsidR="007B4BAD">
        <w:t xml:space="preserve"> 717 </w:t>
      </w:r>
      <w:r w:rsidRPr="007B4BAD">
        <w:t>(3d Cir.  2018) (“Our case law establishes three distinct categories of culpability depending on how much time a police officer has to make a decision.”).</w:t>
      </w:r>
    </w:p>
    <w:p w14:paraId="68E4307D" w14:textId="77777777" w:rsidR="00AC407E" w:rsidRPr="007B4BAD" w:rsidRDefault="00AC407E" w:rsidP="00AC407E">
      <w:pPr>
        <w:ind w:firstLine="720"/>
        <w:jc w:val="both"/>
      </w:pPr>
    </w:p>
    <w:p w14:paraId="15250960" w14:textId="77777777" w:rsidR="00AC407E" w:rsidRPr="007B4BAD" w:rsidRDefault="00AC407E" w:rsidP="00AC407E">
      <w:pPr>
        <w:ind w:firstLine="720"/>
        <w:jc w:val="both"/>
      </w:pPr>
      <w:r w:rsidRPr="007B4BAD">
        <w:t>The classic example of a hyperpressurized situation is the high-speed car chase of a fleeing suspect, addressed in section 4.15. If other cases arise in this category, it might be useful to draw on Instruction 4.15.</w:t>
      </w:r>
    </w:p>
    <w:p w14:paraId="48E552CF" w14:textId="77777777" w:rsidR="00AC407E" w:rsidRPr="007B4BAD" w:rsidRDefault="00AC407E" w:rsidP="00AC407E">
      <w:pPr>
        <w:ind w:firstLine="720"/>
        <w:jc w:val="both"/>
      </w:pPr>
    </w:p>
    <w:p w14:paraId="20A6AC1D" w14:textId="049755F4" w:rsidR="00AC407E" w:rsidRPr="007B4BAD" w:rsidRDefault="00AC407E" w:rsidP="00AC407E">
      <w:pPr>
        <w:ind w:firstLine="720"/>
        <w:jc w:val="both"/>
      </w:pPr>
      <w:r w:rsidRPr="007B4BAD">
        <w:t xml:space="preserve">For examples at the other end of the continuum, where there is time for unhurried judgments, </w:t>
      </w:r>
      <w:r w:rsidRPr="007B4BAD">
        <w:rPr>
          <w:i/>
        </w:rPr>
        <w:t>see</w:t>
      </w:r>
      <w:r w:rsidRPr="007B4BAD">
        <w:t>,</w:t>
      </w:r>
      <w:r w:rsidRPr="007B4BAD">
        <w:rPr>
          <w:i/>
        </w:rPr>
        <w:t xml:space="preserve"> e.g.</w:t>
      </w:r>
      <w:r w:rsidRPr="007B4BAD">
        <w:t xml:space="preserve">,  </w:t>
      </w:r>
      <w:r w:rsidRPr="007B4BAD">
        <w:rPr>
          <w:i/>
        </w:rPr>
        <w:t>L.R. v. School District of Philadelphia</w:t>
      </w:r>
      <w:r w:rsidRPr="007B4BAD">
        <w:t>, 836 F.3d 235, 246 (3d Cir. 2016) (holding that “the appropriate culpability standard here is deliberate indifference, since there is nothing to indicate that [defendant] faced circumstances requiring him to make a quick decision”);</w:t>
      </w:r>
      <w:r w:rsidRPr="007B4BAD">
        <w:rPr>
          <w:i/>
          <w:iCs/>
        </w:rPr>
        <w:t xml:space="preserve"> Marasco</w:t>
      </w:r>
      <w:r w:rsidRPr="007B4BAD">
        <w:t>, 318 F.3d at 508 (stating that “in the custodial situation of a prison, where forethought about an inmate’s welfare is possible, deliberate indifference to a prisoner’s medical needs may be sufficiently shocking”).</w:t>
      </w:r>
      <w:r w:rsidRPr="007B4BAD">
        <w:rPr>
          <w:vertAlign w:val="superscript"/>
        </w:rPr>
        <w:footnoteReference w:id="277"/>
      </w:r>
      <w:r w:rsidRPr="007B4BAD">
        <w:t xml:space="preserve">  </w:t>
      </w:r>
    </w:p>
    <w:p w14:paraId="7D389D3D" w14:textId="77777777" w:rsidR="00AC407E" w:rsidRPr="00C00A31" w:rsidRDefault="00AC407E" w:rsidP="00AC407E">
      <w:pPr>
        <w:ind w:firstLine="720"/>
        <w:jc w:val="both"/>
        <w:rPr>
          <w:vertAlign w:val="superscript"/>
        </w:rPr>
      </w:pPr>
      <w:r w:rsidRPr="00C00A31">
        <w:lastRenderedPageBreak/>
        <w:t xml:space="preserve">Older decisions described the intermediate standard as “gross negligence or arbitrariness that shocks the conscience.” </w:t>
      </w:r>
      <w:r w:rsidRPr="00C00A31">
        <w:rPr>
          <w:i/>
          <w:iCs/>
        </w:rPr>
        <w:t>Marasco</w:t>
      </w:r>
      <w:r w:rsidRPr="00C00A31">
        <w:t>, 318 F.3d at 509. But the court of appeals recognized that this phrasing “is not well suited” to convey the nature of the standard,</w:t>
      </w:r>
      <w:r w:rsidRPr="00C00A31">
        <w:rPr>
          <w:i/>
          <w:iCs/>
        </w:rPr>
        <w:t xml:space="preserve"> Ziccardi v. City of Philadelphia</w:t>
      </w:r>
      <w:r w:rsidRPr="00C00A31">
        <w:t xml:space="preserve">, 288 F.3d 57, 66 n.6 (3d Cir. 2002), and explained that the intermediate standard requires a showing that a defendant “consciously disregarded, not just a substantial risk, but a great risk that serious harm would result.” </w:t>
      </w:r>
      <w:r w:rsidRPr="00C00A31">
        <w:rPr>
          <w:i/>
        </w:rPr>
        <w:t>Id</w:t>
      </w:r>
      <w:r w:rsidRPr="00C00A31">
        <w:t xml:space="preserve">. at 66; </w:t>
      </w:r>
      <w:r w:rsidRPr="00C00A31">
        <w:rPr>
          <w:i/>
          <w:iCs/>
        </w:rPr>
        <w:t>see also</w:t>
      </w:r>
      <w:r w:rsidRPr="00C00A31">
        <w:t xml:space="preserve"> </w:t>
      </w:r>
      <w:r w:rsidRPr="00C00A31">
        <w:rPr>
          <w:i/>
          <w:iCs/>
        </w:rPr>
        <w:t>Sanford</w:t>
      </w:r>
      <w:r w:rsidRPr="00C00A31">
        <w:t>, 456 F.3d at 310 (holding that “the relevant question is whether the officer consciously disregarded a great risk of harm”).</w:t>
      </w:r>
      <w:r w:rsidRPr="00C00A31">
        <w:rPr>
          <w:vertAlign w:val="superscript"/>
        </w:rPr>
        <w:footnoteReference w:id="278"/>
      </w:r>
    </w:p>
    <w:p w14:paraId="7FF5311B" w14:textId="77777777" w:rsidR="00AC407E" w:rsidRPr="00C00A31" w:rsidRDefault="00AC407E" w:rsidP="00AC407E">
      <w:pPr>
        <w:ind w:firstLine="720"/>
        <w:jc w:val="both"/>
        <w:rPr>
          <w:vertAlign w:val="superscript"/>
        </w:rPr>
      </w:pPr>
    </w:p>
    <w:p w14:paraId="7C69D410" w14:textId="1D866A62" w:rsidR="00AC407E" w:rsidRPr="00C00A31" w:rsidRDefault="00AC407E" w:rsidP="00AC407E">
      <w:pPr>
        <w:ind w:firstLine="720"/>
        <w:jc w:val="both"/>
      </w:pPr>
      <w:r w:rsidRPr="00C00A31">
        <w:t xml:space="preserve">The court of appeals has “been clear in recent years that the level of culpability required to shock the conscience when an officer has time for hurried deliberation is ‘a conscious disregard of a great risk of serious harm.’ ” </w:t>
      </w:r>
      <w:r w:rsidRPr="00C00A31">
        <w:rPr>
          <w:i/>
        </w:rPr>
        <w:t>Sauers</w:t>
      </w:r>
      <w:r w:rsidRPr="00C00A31">
        <w:t xml:space="preserve">, </w:t>
      </w:r>
      <w:r w:rsidR="00C00A31">
        <w:t xml:space="preserve">905 F.3d at 717 </w:t>
      </w:r>
      <w:r w:rsidRPr="00C00A31">
        <w:t>n.6. Accordingly, the Instruction uses this phrasing rather than refer to “gross negligence or arbitrariness that shocks the conscience.”</w:t>
      </w:r>
    </w:p>
    <w:p w14:paraId="02F96260" w14:textId="77777777" w:rsidR="00AC407E" w:rsidRPr="00C00A31" w:rsidRDefault="00AC407E" w:rsidP="00AC407E">
      <w:pPr>
        <w:ind w:firstLine="720"/>
        <w:jc w:val="both"/>
      </w:pPr>
    </w:p>
    <w:p w14:paraId="343FBA64" w14:textId="4FF7526F" w:rsidR="00AC407E" w:rsidRPr="00C00A31" w:rsidRDefault="00AC407E" w:rsidP="00AC407E">
      <w:pPr>
        <w:ind w:firstLine="720"/>
        <w:jc w:val="both"/>
      </w:pPr>
      <w:r w:rsidRPr="00C00A31">
        <w:rPr>
          <w:i/>
        </w:rPr>
        <w:t xml:space="preserve">Sauers </w:t>
      </w:r>
      <w:r w:rsidRPr="00C00A31">
        <w:t xml:space="preserve">also announced that “Police officers now have fair warning that their conduct when engaged in a high speed pursuit will be subject to the full body of our state-created danger case law.” </w:t>
      </w:r>
      <w:r w:rsidRPr="00C00A31">
        <w:rPr>
          <w:i/>
        </w:rPr>
        <w:t>Id</w:t>
      </w:r>
      <w:r w:rsidRPr="00C00A31">
        <w:t xml:space="preserve">. at </w:t>
      </w:r>
      <w:r w:rsidR="00C00A31">
        <w:t>723</w:t>
      </w:r>
      <w:r w:rsidRPr="00C00A31">
        <w:t xml:space="preserve">. In particular, where there is no compelling justification for a high speed pursuit, </w:t>
      </w:r>
      <w:r w:rsidRPr="00C00A31">
        <w:lastRenderedPageBreak/>
        <w:t xml:space="preserve">and an officer has time to consider whether to do so, constitutional liability can arise from “a conscious disregard of a great risk of serious harm,” </w:t>
      </w:r>
      <w:r w:rsidRPr="00C00A31">
        <w:rPr>
          <w:i/>
        </w:rPr>
        <w:t>id</w:t>
      </w:r>
      <w:r w:rsidRPr="00C00A31">
        <w:t xml:space="preserve">., the standard between intent to harm and deliberate indifference that is applicable “when an officer has time for hurried deliberation.” </w:t>
      </w:r>
      <w:r w:rsidRPr="00C00A31">
        <w:rPr>
          <w:i/>
        </w:rPr>
        <w:t>Id</w:t>
      </w:r>
      <w:r w:rsidRPr="00C00A31">
        <w:t xml:space="preserve">. at </w:t>
      </w:r>
      <w:r w:rsidR="00C00A31">
        <w:t>717</w:t>
      </w:r>
      <w:r w:rsidRPr="00C00A31">
        <w:t xml:space="preserve">. </w:t>
      </w:r>
      <w:r w:rsidRPr="00C00A31">
        <w:rPr>
          <w:i/>
        </w:rPr>
        <w:t>Sauers</w:t>
      </w:r>
      <w:r w:rsidRPr="00C00A31">
        <w:t xml:space="preserve"> distinguished </w:t>
      </w:r>
      <w:r w:rsidRPr="00C00A31">
        <w:rPr>
          <w:i/>
        </w:rPr>
        <w:t>County of Sacramento v. Lewis</w:t>
      </w:r>
      <w:r w:rsidRPr="00C00A31">
        <w:t xml:space="preserve">, 523 U.S. 833 (1998), so that the intent-to-harm standard set in </w:t>
      </w:r>
      <w:r w:rsidRPr="00C00A31">
        <w:rPr>
          <w:i/>
        </w:rPr>
        <w:t>Lewis</w:t>
      </w:r>
      <w:r w:rsidRPr="00C00A31">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w:t>
      </w:r>
      <w:r w:rsidRPr="00C00A31">
        <w:rPr>
          <w:i/>
        </w:rPr>
        <w:t>See also</w:t>
      </w:r>
      <w:r w:rsidRPr="00C00A31">
        <w:t xml:space="preserve"> </w:t>
      </w:r>
      <w:r w:rsidRPr="00C00A31">
        <w:rPr>
          <w:i/>
        </w:rPr>
        <w:t>Haberle v. Troxell</w:t>
      </w:r>
      <w:r w:rsidRPr="00C00A31">
        <w:t>, 885 F.3d 170 (3d Cir. 2018) (holding that this intermediate standard applied where a person with suicidal tendencies had stolen a deadly weapon (so this was not a time for casual deliberation) but a few hours had passed and there was no indication of escalation (so instantaneous action was not required)).</w:t>
      </w:r>
    </w:p>
    <w:p w14:paraId="0BDE6D0B" w14:textId="77777777" w:rsidR="00AC407E" w:rsidRPr="00C00A31" w:rsidRDefault="00AC407E" w:rsidP="00AC407E">
      <w:pPr>
        <w:ind w:firstLine="720"/>
        <w:jc w:val="both"/>
      </w:pPr>
    </w:p>
    <w:p w14:paraId="242C0505" w14:textId="0746DA82" w:rsidR="00A610BD" w:rsidRDefault="00AC407E" w:rsidP="00C00A31">
      <w:pPr>
        <w:ind w:firstLine="720"/>
        <w:jc w:val="both"/>
      </w:pPr>
      <w:r w:rsidRPr="00C00A31">
        <w:rPr>
          <w:i/>
        </w:rPr>
        <w:t>Sauers</w:t>
      </w:r>
      <w:r w:rsidRPr="00C00A31">
        <w:t xml:space="preserve"> concluded that the conduct alleged—making a u-turn and driving recklessly at speeds over 100 miles per hour to pursue a non-fleeing motorist who had committed a minor traffic offense, resulting in the death of a passenger in a unrelated vehicle—met this standard. By contrast, </w:t>
      </w:r>
      <w:r w:rsidRPr="00C00A31">
        <w:rPr>
          <w:i/>
        </w:rPr>
        <w:t>Haberle</w:t>
      </w:r>
      <w:r w:rsidRPr="00C00A31">
        <w:t xml:space="preserve"> concluded that an officer’s decision to “immediately knock [on the apartment door of a suicidal person who had stolen a deadly weapon] while other officers counseled waiting manifests only a disagreement over how to manage a risk, not a disregard of it,” 885 F.3d at 177-78, even though suicide resulted immediately.</w:t>
      </w:r>
    </w:p>
    <w:p w14:paraId="057DAD87" w14:textId="77777777" w:rsidR="0013305A" w:rsidRDefault="0013305A" w:rsidP="0013305A">
      <w:pPr>
        <w:ind w:firstLine="720"/>
        <w:jc w:val="both"/>
      </w:pPr>
    </w:p>
    <w:p w14:paraId="14D9CE89" w14:textId="77777777" w:rsidR="00A610BD" w:rsidRPr="002168DC" w:rsidRDefault="00A610BD" w:rsidP="00A55758">
      <w:pPr>
        <w:tabs>
          <w:tab w:val="left" w:pos="6120"/>
        </w:tabs>
        <w:ind w:firstLine="720"/>
        <w:jc w:val="both"/>
        <w:rPr>
          <w:i/>
        </w:rPr>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w:t>
      </w:r>
      <w:r w:rsidRPr="00A55758">
        <w:rPr>
          <w:i/>
        </w:rPr>
        <w:t>see id</w:t>
      </w:r>
      <w:r>
        <w:t>. at 428 n.5.</w:t>
      </w:r>
      <w:r>
        <w:rPr>
          <w:rStyle w:val="FootnoteReference"/>
        </w:rPr>
        <w:footnoteReference w:id="279"/>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rPr>
        <w:footnoteReference w:id="280"/>
      </w:r>
    </w:p>
    <w:p w14:paraId="673AA0C3" w14:textId="77777777" w:rsidR="0052168C" w:rsidRPr="00605327" w:rsidRDefault="0052168C" w:rsidP="00903314">
      <w:pPr>
        <w:pStyle w:val="ListParagraph"/>
        <w:shd w:val="clear" w:color="auto" w:fill="FFFFFF" w:themeFill="background1"/>
        <w:ind w:left="0" w:firstLine="720"/>
        <w:jc w:val="both"/>
      </w:pPr>
      <w:r w:rsidRPr="00605327">
        <w:lastRenderedPageBreak/>
        <w:t xml:space="preserve">In </w:t>
      </w:r>
      <w:r w:rsidRPr="00605327">
        <w:rPr>
          <w:i/>
        </w:rPr>
        <w:t>L.R. v. School District of Philadelphia</w:t>
      </w:r>
      <w:r w:rsidRPr="00605327">
        <w:t xml:space="preserve">, 836 F.3d 235, 245 (3d Cir. 2016), the court of appeals stated that a teacher who released a kindergartener to a stranger “knew, or should have known, about the risk of his actions.” In </w:t>
      </w:r>
      <w:r w:rsidRPr="00605327">
        <w:rPr>
          <w:i/>
        </w:rPr>
        <w:t>Kedra v. Schroeter</w:t>
      </w:r>
      <w:r w:rsidRPr="00605327">
        <w:t xml:space="preserve">, 876 F.3d 424, 439 (3d Cir. 2017), the court of appeals read this passage from </w:t>
      </w:r>
      <w:r w:rsidRPr="00605327">
        <w:rPr>
          <w:i/>
        </w:rPr>
        <w:t>L.R.</w:t>
      </w:r>
      <w:r w:rsidRPr="00605327">
        <w:t xml:space="preserve"> as adopting the objective standard. Thus the current standard in the circuit appears to be the objective standard. </w:t>
      </w:r>
    </w:p>
    <w:p w14:paraId="4F364722" w14:textId="77777777" w:rsidR="0052168C" w:rsidRPr="00605327" w:rsidRDefault="0052168C" w:rsidP="00903314">
      <w:pPr>
        <w:pStyle w:val="ListParagraph"/>
        <w:shd w:val="clear" w:color="auto" w:fill="FFFFFF" w:themeFill="background1"/>
        <w:ind w:left="0"/>
      </w:pPr>
    </w:p>
    <w:p w14:paraId="7053CB93" w14:textId="77777777"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however, did not apply the objective standard to the defendant in that case, because the objective standard had not been clearly established at the time of the conduct involved in that case. It nevertheless concluded that the allegations of the complaint were “more than sufficient to state a claim for a state-created danger based on actual knowledge of a substantial risk of serious harm—the subjective theory of deliberate indifference that was then-clearly established.” 876 F.3d at 444. Accordingly, there are cases, such as </w:t>
      </w:r>
      <w:r w:rsidRPr="00605327">
        <w:rPr>
          <w:i/>
        </w:rPr>
        <w:t>Kedra</w:t>
      </w:r>
      <w:r w:rsidRPr="00605327">
        <w:t>, that may go to a jury on the subjective standard, because the underlying events occurred before the objective standard became clearly established.</w:t>
      </w:r>
    </w:p>
    <w:p w14:paraId="59B5B9A4" w14:textId="77777777" w:rsidR="0052168C" w:rsidRPr="00605327" w:rsidRDefault="0052168C" w:rsidP="00903314">
      <w:pPr>
        <w:pStyle w:val="ListParagraph"/>
        <w:shd w:val="clear" w:color="auto" w:fill="FFFFFF" w:themeFill="background1"/>
        <w:ind w:left="0" w:firstLine="720"/>
        <w:jc w:val="both"/>
      </w:pPr>
    </w:p>
    <w:p w14:paraId="2B9FB081" w14:textId="468BFE71"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involved a police officer who was training other officers in firearm safety but failed to perform safety checks. As a result, he failed to realize that the gun he was demonstrating was loaded, and pointed that gun at a fellow officer and pulled the trigger, killing him. Applying the subjective standard, the court of appeals explained that it had “regularly relied on the obviousness of risk as a permissible and highly relevant basis from which to infer actual knowledge—even directing in our Model Civil Jury Instructions that, in assessing deliberate indifference for state-created danger claims, a jury is ‘entitled to infer from the obviousness of the risk that [the state actor] knew of the risk.’ Third Circuit Model Civil Jury Instructions § 4.14 (Mar. 2017).” </w:t>
      </w:r>
      <w:r w:rsidRPr="00605327">
        <w:rPr>
          <w:i/>
        </w:rPr>
        <w:t>Kedra v. Schroeter</w:t>
      </w:r>
      <w:r w:rsidRPr="00605327">
        <w:t xml:space="preserve">, 876 F.3d 424, 442 (3d Cir. 2017). Accordingly, the court concluded that the allegations of the complaint permitted the inference that the defendant officer “acted with actual knowledge of a substantial risk of lethal harm—that is, knowledge that gives rise to a degree of culpability that shocks the conscience under the then-clearly established actual knowledge theory of deliberate indifference.” </w:t>
      </w:r>
      <w:r w:rsidRPr="00605327">
        <w:rPr>
          <w:i/>
        </w:rPr>
        <w:t>Id</w:t>
      </w:r>
      <w:r w:rsidRPr="00605327">
        <w:t xml:space="preserve">. at 448 (internal quotation marks and citations omitted); </w:t>
      </w:r>
      <w:r w:rsidRPr="00605327">
        <w:rPr>
          <w:i/>
        </w:rPr>
        <w:t>see  also</w:t>
      </w:r>
      <w:r w:rsidRPr="00605327">
        <w:t xml:space="preserve"> </w:t>
      </w:r>
      <w:r w:rsidRPr="00605327">
        <w:rPr>
          <w:i/>
        </w:rPr>
        <w:t>id</w:t>
      </w:r>
      <w:r w:rsidRPr="00605327">
        <w:t>. at 446–47 (stating that “the subjective knowledge test requires knowledge only of the substantial risk of serious harm, not of the certainty of that harm”)</w:t>
      </w:r>
      <w:r w:rsidR="00903314" w:rsidRPr="00605327">
        <w:t>.</w:t>
      </w:r>
    </w:p>
    <w:p w14:paraId="1EB08AC9" w14:textId="25D30DA2" w:rsidR="0052168C" w:rsidRDefault="0052168C">
      <w:pPr>
        <w:ind w:firstLine="720"/>
        <w:jc w:val="both"/>
      </w:pPr>
    </w:p>
    <w:p w14:paraId="44C0FB83" w14:textId="77777777" w:rsidR="00A610BD" w:rsidRDefault="00A610BD">
      <w:pPr>
        <w:ind w:firstLine="720"/>
        <w:jc w:val="both"/>
      </w:pPr>
      <w:r>
        <w:t xml:space="preserve">In </w:t>
      </w:r>
      <w:r>
        <w:rPr>
          <w:i/>
          <w:iCs/>
        </w:rPr>
        <w:t>Walter v. Pike County</w:t>
      </w:r>
      <w:r>
        <w:t xml:space="preserve">, 544 F.3d 182 (3d Cir. 2008), the Court of Appeals considered </w:t>
      </w:r>
      <w:r>
        <w:lastRenderedPageBreak/>
        <w:t>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rPr>
        <w:footnoteReference w:id="281"/>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rPr>
        <w:footnoteReference w:id="282"/>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 xml:space="preserve">See </w:t>
      </w:r>
      <w:r w:rsidR="00212C32" w:rsidRPr="00613629">
        <w:rPr>
          <w:i/>
        </w:rPr>
        <w:lastRenderedPageBreak/>
        <w:t>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3F99FBCA"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rPr>
        <w:footnoteReference w:id="283"/>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rPr>
        <w:footnoteReference w:id="284"/>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rPr>
        <w:footnoteReference w:id="285"/>
      </w:r>
      <w:r>
        <w:t xml:space="preserve">  The panel majority </w:t>
      </w:r>
      <w:r>
        <w:lastRenderedPageBreak/>
        <w:t xml:space="preserve">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rPr>
        <w:footnoteReference w:id="286"/>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8B1545">
        <w:t>’ ”</w:t>
      </w:r>
      <w:r>
        <w:t xml:space="preserve"> </w:t>
      </w:r>
      <w:r>
        <w:rPr>
          <w:i/>
          <w:iCs/>
        </w:rPr>
        <w:t>Kaucher</w:t>
      </w:r>
      <w:r>
        <w:t xml:space="preserve">, 455 F.3d at 432 (quoting </w:t>
      </w:r>
      <w:r>
        <w:rPr>
          <w:i/>
          <w:iCs/>
        </w:rPr>
        <w:t>Bright</w:t>
      </w:r>
      <w:r>
        <w:t>, 443 F.3d at 281).</w:t>
      </w:r>
      <w:r>
        <w:rPr>
          <w:rStyle w:val="FootnoteReference"/>
        </w:rPr>
        <w:footnoteReference w:id="287"/>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w:t>
      </w:r>
      <w:r w:rsidR="00601AF0" w:rsidRPr="00601AF0">
        <w:lastRenderedPageBreak/>
        <w:t xml:space="preserve">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836 F.3d 235, 242-43 (3d Cir. 2016), the court of appeals noted the “inherent difficulty in drawing a line between an affirmative act and a failure to act” and found it useful to evaluate the status quo “before the alleged act or omission occurred, and then to ask whether the state actor’s exercise of authority resulted in a departure from that status quo.” Viewed from that perspective, the teacher’s “actions resulted in a drastic change to the status quo, not a maintenance of a situation that was already dangerous.”</w:t>
      </w: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rPr>
        <w:footnoteReference w:id="288"/>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lastRenderedPageBreak/>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lastRenderedPageBreak/>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rPr>
        <w:footnoteReference w:id="289"/>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0FDCE6F9"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8B1545">
        <w:t>’ ”</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rPr>
        <w:footnoteReference w:id="290"/>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rPr>
        <w:footnoteReference w:id="291"/>
      </w:r>
      <w:r>
        <w:t xml:space="preserve"> in foster care with John and Jane Doe. [The parties agree that] [Plaintiff claims that] </w:t>
      </w:r>
      <w:r>
        <w:rPr>
          <w:i/>
          <w:iCs/>
        </w:rPr>
        <w:t>[describe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92"/>
      </w:r>
      <w:r>
        <w:t xml:space="preserve"> then you must find that [he/she] </w:t>
      </w:r>
      <w:r>
        <w:lastRenderedPageBreak/>
        <w:t>was not deliberately indifferent.]]</w:t>
      </w:r>
      <w:r>
        <w:rPr>
          <w:rStyle w:val="FootnoteReference"/>
        </w:rPr>
        <w:footnoteReference w:id="293"/>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28958546"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r w:rsidR="008B1545">
        <w:t>’ ”</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rPr>
        <w:footnoteReference w:id="294"/>
      </w:r>
      <w:r>
        <w:t xml:space="preserve">  Under that framework, the plaintiff must show that the defendant</w:t>
      </w:r>
      <w:r w:rsidR="000D09A4">
        <w:t>’</w:t>
      </w:r>
      <w:r>
        <w:t>s conduct</w:t>
      </w:r>
      <w:r w:rsidR="00CD69C6">
        <w:t xml:space="preserve"> “</w:t>
      </w:r>
      <w:r>
        <w:t xml:space="preserve">shocked </w:t>
      </w:r>
      <w:r>
        <w:lastRenderedPageBreak/>
        <w:t>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rPr>
        <w:footnoteReference w:id="295"/>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rPr>
        <w:footnoteReference w:id="296"/>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3BDCE" w14:textId="77777777" w:rsidR="00C00A31" w:rsidRDefault="00C00A31" w:rsidP="00A610BD">
      <w:r>
        <w:separator/>
      </w:r>
    </w:p>
  </w:endnote>
  <w:endnote w:type="continuationSeparator" w:id="0">
    <w:p w14:paraId="5A20E090" w14:textId="77777777" w:rsidR="00C00A31" w:rsidRDefault="00C00A31" w:rsidP="00A610BD">
      <w:r>
        <w:continuationSeparator/>
      </w:r>
    </w:p>
  </w:endnote>
  <w:endnote w:type="continuationNotice" w:id="1">
    <w:p w14:paraId="3D1E1412" w14:textId="77777777" w:rsidR="00C00A31" w:rsidRDefault="00C0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254"/>
      <w:docPartObj>
        <w:docPartGallery w:val="Page Numbers (Bottom of Page)"/>
        <w:docPartUnique/>
      </w:docPartObj>
    </w:sdtPr>
    <w:sdtEndPr>
      <w:rPr>
        <w:noProof/>
      </w:rPr>
    </w:sdtEndPr>
    <w:sdtContent>
      <w:p w14:paraId="2D2BE3B7" w14:textId="487868A2" w:rsidR="00C00A31" w:rsidRDefault="00C00A31">
        <w:pPr>
          <w:pStyle w:val="Footer"/>
          <w:jc w:val="center"/>
          <w:rPr>
            <w:noProof/>
          </w:rPr>
        </w:pPr>
        <w:r>
          <w:fldChar w:fldCharType="begin"/>
        </w:r>
        <w:r>
          <w:instrText xml:space="preserve"> PAGE   \* MERGEFORMAT </w:instrText>
        </w:r>
        <w:r>
          <w:fldChar w:fldCharType="separate"/>
        </w:r>
        <w:r w:rsidR="003F37EB">
          <w:rPr>
            <w:noProof/>
          </w:rPr>
          <w:t>12</w:t>
        </w:r>
        <w:r>
          <w:rPr>
            <w:noProof/>
          </w:rPr>
          <w:fldChar w:fldCharType="end"/>
        </w:r>
        <w:r>
          <w:rPr>
            <w:noProof/>
          </w:rPr>
          <w:t xml:space="preserve"> </w:t>
        </w:r>
      </w:p>
      <w:p w14:paraId="07CB9F80" w14:textId="49969F0D" w:rsidR="00C00A31" w:rsidRPr="0063630C" w:rsidRDefault="00C00A31" w:rsidP="004576EA">
        <w:pPr>
          <w:jc w:val="right"/>
          <w:rPr>
            <w:i/>
          </w:rPr>
        </w:pPr>
        <w:r>
          <w:rPr>
            <w:i/>
            <w:noProof/>
          </w:rPr>
          <w:t>Last updated October 2018</w:t>
        </w:r>
      </w:p>
      <w:p w14:paraId="48471BC6" w14:textId="77777777" w:rsidR="00C00A31" w:rsidRDefault="003F37EB">
        <w:pPr>
          <w:pStyle w:val="Footer"/>
          <w:jc w:val="center"/>
        </w:pPr>
      </w:p>
    </w:sdtContent>
  </w:sdt>
  <w:p w14:paraId="2789E87D" w14:textId="29B2B7EF" w:rsidR="00C00A31" w:rsidRDefault="00C00A31" w:rsidP="00BB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90A9" w14:textId="77777777" w:rsidR="00C00A31" w:rsidRDefault="00C00A31" w:rsidP="00A610BD">
      <w:r>
        <w:separator/>
      </w:r>
    </w:p>
  </w:footnote>
  <w:footnote w:type="continuationSeparator" w:id="0">
    <w:p w14:paraId="6516C151" w14:textId="77777777" w:rsidR="00C00A31" w:rsidRDefault="00C00A31" w:rsidP="00A610BD">
      <w:r>
        <w:continuationSeparator/>
      </w:r>
    </w:p>
  </w:footnote>
  <w:footnote w:type="continuationNotice" w:id="1">
    <w:p w14:paraId="5771A211" w14:textId="77777777" w:rsidR="00C00A31" w:rsidRDefault="00C00A31"/>
  </w:footnote>
  <w:footnote w:id="2">
    <w:p w14:paraId="1F977837" w14:textId="77777777" w:rsidR="00C00A31" w:rsidRPr="00D226C8" w:rsidRDefault="00C00A31" w:rsidP="00F506A3">
      <w:pPr>
        <w:spacing w:after="240"/>
        <w:ind w:firstLine="720"/>
        <w:mirrorIndents/>
      </w:pPr>
      <w:r w:rsidRPr="00D226C8">
        <w:rPr>
          <w:rStyle w:val="FootnoteReference"/>
        </w:rPr>
        <w:footnoteRef/>
      </w:r>
      <w:r w:rsidRPr="00D226C8">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C00A31" w:rsidRPr="00D226C8" w:rsidRDefault="00C00A31" w:rsidP="00F506A3">
      <w:pPr>
        <w:spacing w:after="240"/>
        <w:ind w:firstLine="720"/>
        <w:mirrorIndents/>
      </w:pPr>
      <w:r w:rsidRPr="00D226C8">
        <w:rPr>
          <w:rStyle w:val="FootnoteReference"/>
        </w:rPr>
        <w:footnoteRef/>
      </w:r>
      <w:r w:rsidRPr="00D226C8">
        <w:t xml:space="preserve">  In these instructions, references to action under color of state law are meant to include action under color of territorial law.  </w:t>
      </w:r>
      <w:r w:rsidRPr="00D226C8">
        <w:rPr>
          <w:i/>
          <w:iCs/>
        </w:rPr>
        <w:t>See, e.g.</w:t>
      </w:r>
      <w:r w:rsidRPr="00D226C8">
        <w:t xml:space="preserve">, </w:t>
      </w:r>
      <w:r w:rsidRPr="00D226C8">
        <w:rPr>
          <w:i/>
          <w:iCs/>
        </w:rPr>
        <w:t>Eddy v. Virgin Islands Water &amp; Power Auth.</w:t>
      </w:r>
      <w:r w:rsidRPr="00D226C8">
        <w:t xml:space="preserve">, 955 F. Supp. 468, 476 (D.V.I. 1997) (“The net effect of the Supreme Court decisions interpreting 42 U.S.C. § 1983, including </w:t>
      </w:r>
      <w:r w:rsidRPr="00D226C8">
        <w:rPr>
          <w:i/>
          <w:iCs/>
        </w:rPr>
        <w:t>Will</w:t>
      </w:r>
      <w:r w:rsidRPr="00D226C8">
        <w:t xml:space="preserve"> [</w:t>
      </w:r>
      <w:r w:rsidRPr="00D226C8">
        <w:rPr>
          <w:i/>
          <w:iCs/>
        </w:rPr>
        <w:t>v. Michigan Department of State Police</w:t>
      </w:r>
      <w:r w:rsidRPr="00D226C8">
        <w:t xml:space="preserve">, 491 U.S. 58 (1989),] and </w:t>
      </w:r>
      <w:r w:rsidRPr="00D226C8">
        <w:rPr>
          <w:i/>
          <w:iCs/>
        </w:rPr>
        <w:t>Ngiraingas</w:t>
      </w:r>
      <w:r w:rsidRPr="00D226C8">
        <w:t xml:space="preserve"> [</w:t>
      </w:r>
      <w:r w:rsidRPr="00D226C8">
        <w:rPr>
          <w:i/>
          <w:iCs/>
        </w:rPr>
        <w:t>v. Sanchez</w:t>
      </w:r>
      <w:r w:rsidRPr="00D226C8">
        <w:t xml:space="preserve">, 495 U.S. 182 (1990)], is to treat the territories and their officials and employees the same as states and their officials and employees.”), </w:t>
      </w:r>
      <w:r w:rsidRPr="00D226C8">
        <w:rPr>
          <w:i/>
          <w:iCs/>
        </w:rPr>
        <w:t>reconsidered on other grounds</w:t>
      </w:r>
      <w:r w:rsidRPr="00D226C8">
        <w:t xml:space="preserve">, 961 F. Supp. 113 (D.V.I. 1997); </w:t>
      </w:r>
      <w:r w:rsidRPr="00D226C8">
        <w:rPr>
          <w:i/>
          <w:iCs/>
        </w:rPr>
        <w:t>see also Iles v. de Jongh</w:t>
      </w:r>
      <w:r w:rsidRPr="00D226C8">
        <w:t xml:space="preserve">, 638 F.3d 169, 177-78 (3d Cir. 2011) (analyzing official-capacity claims against Governor of Virgin Islands under, inter alia, </w:t>
      </w:r>
      <w:r w:rsidRPr="00D226C8">
        <w:rPr>
          <w:i/>
          <w:iCs/>
        </w:rPr>
        <w:t>Will</w:t>
      </w:r>
      <w:r w:rsidRPr="00D226C8">
        <w:t>).</w:t>
      </w:r>
    </w:p>
  </w:footnote>
  <w:footnote w:id="4">
    <w:p w14:paraId="6EA8A3E2" w14:textId="77777777" w:rsidR="00C00A31" w:rsidRPr="00483A85" w:rsidRDefault="00C00A31"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4.3 through 4.6.8.</w:t>
      </w:r>
    </w:p>
  </w:footnote>
  <w:footnote w:id="5">
    <w:p w14:paraId="56A40ABD" w14:textId="77777777" w:rsidR="00C00A31" w:rsidRPr="00483A85" w:rsidRDefault="00C00A31"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4.7.1 and 4.7.3; </w:t>
      </w:r>
      <w:r w:rsidRPr="00483A85">
        <w:rPr>
          <w:i/>
          <w:szCs w:val="24"/>
        </w:rPr>
        <w:t>see also</w:t>
      </w:r>
      <w:r w:rsidRPr="00483A85">
        <w:rPr>
          <w:szCs w:val="24"/>
        </w:rPr>
        <w:t xml:space="preserve"> Comment 4.7.2.</w:t>
      </w:r>
    </w:p>
  </w:footnote>
  <w:footnote w:id="6">
    <w:p w14:paraId="6E3CD564" w14:textId="77777777" w:rsidR="00C00A31" w:rsidRPr="00483A85" w:rsidRDefault="00C00A31"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4.8.1 through 4.8.3.</w:t>
      </w:r>
    </w:p>
  </w:footnote>
  <w:footnote w:id="7">
    <w:p w14:paraId="2ED34A46" w14:textId="77777777" w:rsidR="00C00A31" w:rsidRPr="00483A85" w:rsidRDefault="00C00A31"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4.9 through 4.16.</w:t>
      </w:r>
    </w:p>
  </w:footnote>
  <w:footnote w:id="8">
    <w:p w14:paraId="7AD53D76" w14:textId="77777777" w:rsidR="00C00A31" w:rsidRPr="00483A85" w:rsidRDefault="00C00A31"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 4.13.1; </w:t>
      </w:r>
      <w:r w:rsidRPr="00483A85">
        <w:rPr>
          <w:i/>
          <w:szCs w:val="24"/>
        </w:rPr>
        <w:t>see also</w:t>
      </w:r>
      <w:r w:rsidRPr="00483A85">
        <w:rPr>
          <w:szCs w:val="24"/>
        </w:rPr>
        <w:t xml:space="preserve"> Comment 4.2.</w:t>
      </w:r>
    </w:p>
  </w:footnote>
  <w:footnote w:id="9">
    <w:p w14:paraId="61A3D67F" w14:textId="41A10336" w:rsidR="00C00A31" w:rsidRPr="00483A85" w:rsidRDefault="00C00A31" w:rsidP="006978E2">
      <w:pPr>
        <w:pStyle w:val="FootnoteText"/>
        <w:ind w:firstLine="720"/>
      </w:pPr>
      <w:r w:rsidRPr="00483A85">
        <w:rPr>
          <w:rStyle w:val="FootnoteReference"/>
          <w:szCs w:val="24"/>
        </w:rPr>
        <w:footnoteRef/>
      </w:r>
      <w:r w:rsidRPr="00483A85">
        <w:rPr>
          <w:szCs w:val="24"/>
        </w:rPr>
        <w:t xml:space="preserve"> Exhaustion of remedies doctrine provides one example.  In general, there is no requirement that a Section 1983 plaintiff exhaust state-law remedies or state administrative processes before suing under Section 1983.  </w:t>
      </w:r>
      <w:r w:rsidRPr="00483A85">
        <w:rPr>
          <w:i/>
          <w:szCs w:val="24"/>
        </w:rPr>
        <w:t>See Monroe v. Pape</w:t>
      </w:r>
      <w:r w:rsidRPr="00483A85">
        <w:rPr>
          <w:szCs w:val="24"/>
        </w:rPr>
        <w:t xml:space="preserve">, 365 U.S. 167, 183 (1961) (“The federal remedy is supplementary to the state remedy, and the latter need not be first sought and refused before the federal one is invoked.”), </w:t>
      </w:r>
      <w:r w:rsidRPr="00483A85">
        <w:rPr>
          <w:i/>
          <w:szCs w:val="24"/>
        </w:rPr>
        <w:t>overruled on other grounds by Monell v. Dep</w:t>
      </w:r>
      <w:r>
        <w:rPr>
          <w:i/>
          <w:szCs w:val="24"/>
        </w:rPr>
        <w:t>’</w:t>
      </w:r>
      <w:r w:rsidRPr="00483A85">
        <w:rPr>
          <w:i/>
          <w:szCs w:val="24"/>
        </w:rPr>
        <w:t>t of Soc. Servs</w:t>
      </w:r>
      <w:r w:rsidRPr="00483A85">
        <w:rPr>
          <w:szCs w:val="24"/>
        </w:rPr>
        <w:t xml:space="preserve">., 436 U.S. 658 (1978); </w:t>
      </w:r>
      <w:r w:rsidRPr="00483A85">
        <w:rPr>
          <w:i/>
          <w:szCs w:val="24"/>
        </w:rPr>
        <w:t>Patsy v. Bd. of Regents</w:t>
      </w:r>
      <w:r w:rsidRPr="00483A85">
        <w:rPr>
          <w:szCs w:val="24"/>
        </w:rPr>
        <w:t xml:space="preserve">, 457 U.S. 496, 516 (1982) (“[E]xhaustion of state administrative remedies should not be required as a prerequisite to bringing an action pursuant to § 1983.”).  Exhaustion requirements do apply to prisoner claims regarding prison conditions under Section 1983 and other federal laws.  </w:t>
      </w:r>
      <w:r w:rsidRPr="00483A85">
        <w:rPr>
          <w:i/>
          <w:szCs w:val="24"/>
        </w:rPr>
        <w:t>See</w:t>
      </w:r>
      <w:r w:rsidRPr="00483A85">
        <w:rPr>
          <w:szCs w:val="24"/>
        </w:rPr>
        <w:t xml:space="preserve"> 42 U.S.C. § 1997e(a) (provision of the Prison Litigation Reform Act, or PLRA, stating that “[n]o action shall be brought with respect to prison conditions under section 1983 of this title, or any other Federal law, by a prisoner confined in any jail, prison, or other correctional facility until such administrative remedies as are available are exhausted”).  But the Court of Appeals has made clear that PLRA exhaustion presents a question that can be resolved by the judge.  </w:t>
      </w:r>
      <w:r w:rsidRPr="00483A85">
        <w:rPr>
          <w:i/>
          <w:szCs w:val="24"/>
        </w:rPr>
        <w:t>See Small v. Camden Cty</w:t>
      </w:r>
      <w:r w:rsidRPr="00483A85">
        <w:rPr>
          <w:szCs w:val="24"/>
        </w:rPr>
        <w:t xml:space="preserve">., 728 F.3d 265, 269, 271 (3d Cir. 2013); </w:t>
      </w:r>
      <w:r w:rsidRPr="00483A85">
        <w:rPr>
          <w:i/>
          <w:szCs w:val="24"/>
        </w:rPr>
        <w:t>see also</w:t>
      </w:r>
      <w:r w:rsidRPr="00483A85">
        <w:rPr>
          <w:szCs w:val="24"/>
        </w:rPr>
        <w:t xml:space="preserve"> </w:t>
      </w:r>
      <w:r w:rsidRPr="00483A85">
        <w:rPr>
          <w:i/>
          <w:szCs w:val="24"/>
        </w:rPr>
        <w:t>Paladino v. Newsome</w:t>
      </w:r>
      <w:r w:rsidRPr="00483A85">
        <w:rPr>
          <w:szCs w:val="24"/>
        </w:rPr>
        <w:t>, 885 F.3d 203, 211 (3d Cir. 2018) (setting procedures to govern district-court fact-finding on question of PLRA exhaustion).</w:t>
      </w:r>
    </w:p>
    <w:p w14:paraId="65689F13" w14:textId="77777777" w:rsidR="00C00A31" w:rsidRDefault="00C00A31" w:rsidP="00F506A3">
      <w:pPr>
        <w:pStyle w:val="FootnoteText"/>
        <w:ind w:firstLine="720"/>
        <w:mirrorIndents/>
      </w:pPr>
    </w:p>
  </w:footnote>
  <w:footnote w:id="10">
    <w:p w14:paraId="3A665840" w14:textId="77777777" w:rsidR="00C00A31" w:rsidRPr="00D226C8" w:rsidRDefault="00C00A31" w:rsidP="00F506A3">
      <w:pPr>
        <w:pStyle w:val="FootnoteText"/>
        <w:spacing w:after="240"/>
        <w:ind w:firstLine="720"/>
        <w:mirrorIndents/>
        <w:jc w:val="left"/>
        <w:rPr>
          <w:szCs w:val="24"/>
        </w:rPr>
      </w:pPr>
      <w:r w:rsidRPr="00D226C8">
        <w:rPr>
          <w:rStyle w:val="FootnoteReference"/>
          <w:szCs w:val="24"/>
        </w:rPr>
        <w:footnoteRef/>
      </w:r>
      <w:r w:rsidRPr="00D226C8">
        <w:rPr>
          <w:szCs w:val="24"/>
        </w:rPr>
        <w:t xml:space="preserve"> </w:t>
      </w:r>
      <w:r w:rsidRPr="00D226C8">
        <w:rPr>
          <w:i/>
          <w:szCs w:val="24"/>
        </w:rPr>
        <w:t>See Sharp v. Johnson</w:t>
      </w:r>
      <w:r w:rsidRPr="00D226C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11">
    <w:p w14:paraId="03545BD5" w14:textId="77777777" w:rsidR="00C00A31" w:rsidRPr="00D226C8" w:rsidRDefault="00C00A31" w:rsidP="00F506A3">
      <w:pPr>
        <w:spacing w:after="240"/>
        <w:ind w:firstLine="720"/>
        <w:mirrorIndents/>
      </w:pPr>
      <w:r w:rsidRPr="00D226C8">
        <w:rPr>
          <w:rStyle w:val="FootnoteReference"/>
        </w:rPr>
        <w:footnoteRef/>
      </w:r>
      <w:r w:rsidRPr="00D226C8">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12">
    <w:p w14:paraId="56539FEB" w14:textId="77777777" w:rsidR="00C00A31" w:rsidRPr="00D226C8" w:rsidRDefault="00C00A31" w:rsidP="00F506A3">
      <w:pPr>
        <w:spacing w:after="240"/>
        <w:ind w:firstLine="720"/>
        <w:mirrorIndents/>
      </w:pPr>
      <w:r w:rsidRPr="00D226C8">
        <w:rPr>
          <w:rStyle w:val="FootnoteReference"/>
        </w:rPr>
        <w:footnoteRef/>
      </w:r>
      <w:r w:rsidRPr="00D226C8">
        <w:t xml:space="preserve">  There is language in </w:t>
      </w:r>
      <w:r w:rsidRPr="00D226C8">
        <w:rPr>
          <w:i/>
          <w:iCs/>
        </w:rPr>
        <w:t>Estate of Smith v. Marasco</w:t>
      </w:r>
      <w:r w:rsidRPr="00D226C8">
        <w:t xml:space="preserve">, 430 F.3d 140 (3d Cir. 2005), which may be perceived as being in tension with </w:t>
      </w:r>
      <w:r w:rsidRPr="00D226C8">
        <w:rPr>
          <w:i/>
          <w:iCs/>
        </w:rPr>
        <w:t>Kopec</w:t>
      </w:r>
      <w:r w:rsidRPr="00D226C8">
        <w:t xml:space="preserve">’s statement that the defendant has the burden of proof on qualified immunity.  In </w:t>
      </w:r>
      <w:r w:rsidRPr="00D226C8">
        <w:rPr>
          <w:i/>
          <w:iCs/>
        </w:rPr>
        <w:t>Marasco</w:t>
      </w:r>
      <w:r w:rsidRPr="00D226C8">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rsidRPr="00D226C8">
        <w:noBreakHyphen/>
        <w:t xml:space="preserve">shocking.’” </w:t>
      </w:r>
      <w:r w:rsidRPr="00D226C8">
        <w:rPr>
          <w:i/>
          <w:iCs/>
        </w:rPr>
        <w:t>Id.</w:t>
      </w:r>
      <w:r w:rsidRPr="00D226C8">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sidRPr="00D226C8">
        <w:rPr>
          <w:i/>
          <w:iCs/>
        </w:rPr>
        <w:t xml:space="preserve">See id. </w:t>
      </w:r>
      <w:r w:rsidRPr="00D226C8">
        <w:t xml:space="preserve">at 154 (stressing that the relevant question was “whether the law, as it existed in 1999, gave the troopers ‘fair warning’ that their actions were unconstitutional”) (quoting </w:t>
      </w:r>
      <w:r w:rsidRPr="00D226C8">
        <w:rPr>
          <w:i/>
          <w:iCs/>
        </w:rPr>
        <w:t>Hope v. Pelzer</w:t>
      </w:r>
      <w:r w:rsidRPr="00D226C8">
        <w:t>, 536 U.S. 730, 741 (2002)).</w:t>
      </w:r>
    </w:p>
  </w:footnote>
  <w:footnote w:id="13">
    <w:p w14:paraId="612AD449" w14:textId="77777777" w:rsidR="00C00A31" w:rsidRPr="00D226C8" w:rsidRDefault="00C00A31" w:rsidP="00F506A3">
      <w:pPr>
        <w:spacing w:after="240"/>
        <w:ind w:firstLine="720"/>
        <w:mirrorIndents/>
      </w:pPr>
      <w:r w:rsidRPr="00D226C8">
        <w:rPr>
          <w:rStyle w:val="FootnoteReference"/>
        </w:rPr>
        <w:footnoteRef/>
      </w:r>
      <w:r w:rsidRPr="00D226C8">
        <w:t xml:space="preserve">  Such a claim should be distinguished from the use of evidence of a conspiracy in order to establish that a private individual acted under color of state law.  </w:t>
      </w:r>
      <w:r w:rsidRPr="00D226C8">
        <w:rPr>
          <w:i/>
          <w:iCs/>
        </w:rPr>
        <w:t>See infra</w:t>
      </w:r>
      <w:r w:rsidRPr="00D226C8">
        <w:t xml:space="preserve"> Instruction 4.4.3.</w:t>
      </w:r>
    </w:p>
  </w:footnote>
  <w:footnote w:id="14">
    <w:p w14:paraId="431EE42A"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smallCaps/>
        </w:rPr>
        <w:t>Michael Avery, David Rudovsky &amp; Karen Blum, Police Misconduct: Law and Litigation</w:t>
      </w:r>
      <w:r w:rsidRPr="00D226C8">
        <w:t xml:space="preserve"> §§ 12:31, 12:32, 12:33, &amp; 12:43 (updated Oct. 2005) (available on Westlaw in the POLICEMISC database).</w:t>
      </w:r>
    </w:p>
  </w:footnote>
  <w:footnote w:id="15">
    <w:p w14:paraId="1323EB77"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Brentwood Acad. v. Tennessee Secondary Sch. Athletic Ass’n</w:t>
      </w:r>
      <w:r w:rsidRPr="00D226C8">
        <w:t>, 531 U.S. 288, 295 n.2 (2001) (“If a defendant's conduct satisfies the state</w:t>
      </w:r>
      <w:r w:rsidRPr="00D226C8">
        <w:noBreakHyphen/>
        <w:t>action requirement of the Fourteenth Amendment, the conduct also constitutes action ‘under color of state law’ for § 1983 purposes.”).</w:t>
      </w:r>
    </w:p>
  </w:footnote>
  <w:footnote w:id="16">
    <w:p w14:paraId="640CDD4A"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Citizens for Health v. Leavitt</w:t>
      </w:r>
      <w:r w:rsidRPr="00D226C8">
        <w:t>, 428 F.3d 167, 182 (3d Cir. 2005) (holding that a federal regulation that “authoriz[ed] conduct that was already legally permissible” – and that did not preempt state laws regulating such conduct more strictly – did not meet the “state action requirement”).</w:t>
      </w:r>
    </w:p>
  </w:footnote>
  <w:footnote w:id="17">
    <w:p w14:paraId="5C924E67"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McKeesport Hosp. v. Accreditation Council for Graduate Med. Educ.</w:t>
      </w:r>
      <w:r w:rsidRPr="00D226C8">
        <w:t xml:space="preserve">, 24 F.3d 519, 524 (3d Cir. 1994) (quoting </w:t>
      </w:r>
      <w:r w:rsidRPr="00D226C8">
        <w:rPr>
          <w:i/>
          <w:iCs/>
        </w:rPr>
        <w:t>Jackson v. Metropolitan Edison Co.</w:t>
      </w:r>
      <w:r w:rsidRPr="00D226C8">
        <w:t>, 419 U.S. 345, 351 (1974)).</w:t>
      </w:r>
    </w:p>
  </w:footnote>
  <w:footnote w:id="18">
    <w:p w14:paraId="73D69C2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Tarkanian</w:t>
      </w:r>
      <w:r w:rsidRPr="00D226C8">
        <w:t xml:space="preserve">, 488 U.S. at 192 (citing </w:t>
      </w:r>
      <w:r w:rsidRPr="00D226C8">
        <w:rPr>
          <w:i/>
          <w:iCs/>
        </w:rPr>
        <w:t>North Ga. Finishing, Inc. v. Di</w:t>
      </w:r>
      <w:r w:rsidRPr="00D226C8">
        <w:rPr>
          <w:i/>
          <w:iCs/>
        </w:rPr>
        <w:noBreakHyphen/>
        <w:t>Chem, Inc.</w:t>
      </w:r>
      <w:r w:rsidRPr="00D226C8">
        <w:t>, 419 U.S. 601 (1975)).</w:t>
      </w:r>
    </w:p>
  </w:footnote>
  <w:footnote w:id="19">
    <w:p w14:paraId="0B329DF4"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(citing </w:t>
      </w:r>
      <w:r w:rsidRPr="00D226C8">
        <w:rPr>
          <w:i/>
          <w:iCs/>
        </w:rPr>
        <w:t>West v. Atkins</w:t>
      </w:r>
      <w:r w:rsidRPr="00D226C8">
        <w:t xml:space="preserve">, 487 U.S. 42 (1988)); </w:t>
      </w:r>
      <w:r w:rsidRPr="00D226C8">
        <w:rPr>
          <w:i/>
          <w:iCs/>
        </w:rPr>
        <w:t>see also Reichley v. Pennsylvania Dept. of Agriculture</w:t>
      </w:r>
      <w:r w:rsidRPr="00D226C8">
        <w:t>, 427 F.3d 236, 245 (3d Cir. 2005) (holding that trade association’s “involvement and cooperation with the Commonwealth's efforts to contain and combat” avian influenza did not show requisite delegation of authority to the trade association).</w:t>
      </w:r>
    </w:p>
  </w:footnote>
  <w:footnote w:id="20">
    <w:p w14:paraId="2FE25C41"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 xml:space="preserve"> Tarkanian</w:t>
      </w:r>
      <w:r w:rsidRPr="00D226C8">
        <w:t xml:space="preserve">, 488 U.S. at 192 (citing </w:t>
      </w:r>
      <w:r w:rsidRPr="00D226C8">
        <w:rPr>
          <w:i/>
          <w:iCs/>
        </w:rPr>
        <w:t>Burton v. Wilmington Parking Auth.</w:t>
      </w:r>
      <w:r w:rsidRPr="00D226C8">
        <w:t>, 365 U.S. 715 (1961)).</w:t>
      </w:r>
    </w:p>
  </w:footnote>
  <w:footnote w:id="21">
    <w:p w14:paraId="19F9EF73"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McKeesport Hosp.</w:t>
      </w:r>
      <w:r w:rsidRPr="00D226C8">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rsidRPr="00D226C8">
        <w:noBreakHyphen/>
        <w:t xml:space="preserve">interest in taking the action.... [W]illful participation ... means voluntary, uncoerced participation.”  </w:t>
      </w:r>
      <w:r w:rsidRPr="00D226C8">
        <w:rPr>
          <w:i/>
          <w:iCs/>
        </w:rPr>
        <w:t>Harvey v. Plains Twp. Police Dept.</w:t>
      </w:r>
      <w:r w:rsidRPr="00D226C8">
        <w:t>, 421 F.3d 185, 195-96 (3d Cir. 2005).</w:t>
      </w:r>
    </w:p>
  </w:footnote>
  <w:footnote w:id="22">
    <w:p w14:paraId="2463CD58"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Benn v. Universal Health System, Inc.</w:t>
      </w:r>
      <w:r w:rsidRPr="00D226C8">
        <w:t xml:space="preserve">, 371 F.3d 165, 171 (3d Cir. 2004) (quoting </w:t>
      </w:r>
      <w:r w:rsidRPr="00D226C8">
        <w:rPr>
          <w:i/>
          <w:iCs/>
        </w:rPr>
        <w:t>Brentwood Acad. v. Tennessee Secondary Sch. Athletic Ass'n</w:t>
      </w:r>
      <w:r w:rsidRPr="00D226C8">
        <w:t xml:space="preserve">, 531 U.S. 288, 296 (2001) (quoting </w:t>
      </w:r>
      <w:r w:rsidRPr="00D226C8">
        <w:rPr>
          <w:i/>
          <w:iCs/>
        </w:rPr>
        <w:t>Blum v. Yaretsky</w:t>
      </w:r>
      <w:r w:rsidRPr="00D226C8">
        <w:t>, 457 U.S. 991, 1004 (1982))).</w:t>
      </w:r>
    </w:p>
  </w:footnote>
  <w:footnote w:id="23">
    <w:p w14:paraId="23C9762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Blum</w:t>
      </w:r>
      <w:r w:rsidRPr="00D226C8">
        <w:t>, 457 U.S. at 1004)).</w:t>
      </w:r>
    </w:p>
  </w:footnote>
  <w:footnote w:id="24">
    <w:p w14:paraId="02C646B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Pennsylvania v. Bd. of Dir. of City Trusts of Philadelphia</w:t>
      </w:r>
      <w:r w:rsidRPr="00D226C8">
        <w:t>, 353 U.S. 230, 231 (1957) (per curiam))).</w:t>
      </w:r>
    </w:p>
  </w:footnote>
  <w:footnote w:id="25">
    <w:p w14:paraId="0B942CE2"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w:t>
      </w:r>
      <w:r w:rsidRPr="00D226C8">
        <w:rPr>
          <w:i/>
          <w:iCs/>
        </w:rPr>
        <w:t>compare Leshko v. Servis</w:t>
      </w:r>
      <w:r w:rsidRPr="00D226C8">
        <w:t xml:space="preserve">, 423 F.3d 337, 347 (3d Cir. 2005) (holding “that foster parents in Pennsylvania are not state actors for purposes of liability under § 1983"); </w:t>
      </w:r>
      <w:r w:rsidRPr="00D226C8">
        <w:rPr>
          <w:i/>
          <w:iCs/>
        </w:rPr>
        <w:t>Max v. Republican Committee of Lancaster County</w:t>
      </w:r>
      <w:r w:rsidRPr="00D226C8">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6">
    <w:p w14:paraId="58020EB1" w14:textId="795147B0" w:rsidR="00C00A31" w:rsidRDefault="00C00A31" w:rsidP="00F506A3">
      <w:pPr>
        <w:pStyle w:val="FootnoteText"/>
        <w:ind w:firstLine="720"/>
        <w:mirrorIndents/>
      </w:pPr>
      <w:r>
        <w:rPr>
          <w:rStyle w:val="FootnoteReference"/>
        </w:rPr>
        <w:footnoteRef/>
      </w:r>
      <w:r>
        <w:t xml:space="preserve"> </w:t>
      </w:r>
      <w:r w:rsidRPr="00D226C8">
        <w:rPr>
          <w:i/>
          <w:iCs/>
        </w:rPr>
        <w:t>Benn</w:t>
      </w:r>
      <w:r w:rsidRPr="00D226C8">
        <w:t xml:space="preserve">, 371 F.3d at 171 (quoting </w:t>
      </w:r>
      <w:r w:rsidRPr="00D226C8">
        <w:rPr>
          <w:i/>
          <w:iCs/>
        </w:rPr>
        <w:t>Brentwood</w:t>
      </w:r>
      <w:r w:rsidRPr="00D226C8">
        <w:t>, 531 U.S. at 296)</w:t>
      </w:r>
      <w:r>
        <w:t xml:space="preserve"> (quoting </w:t>
      </w:r>
      <w:r w:rsidRPr="001D6838">
        <w:rPr>
          <w:i/>
        </w:rPr>
        <w:t>Evans v. Newt</w:t>
      </w:r>
      <w:r>
        <w:rPr>
          <w:i/>
        </w:rPr>
        <w:t>o</w:t>
      </w:r>
      <w:r w:rsidRPr="001D6838">
        <w:rPr>
          <w:i/>
        </w:rPr>
        <w:t>n</w:t>
      </w:r>
      <w:r>
        <w:t>, 382 U.S 296, 299, 301 (1966))).</w:t>
      </w:r>
      <w:r w:rsidRPr="008C4A72">
        <w:rPr>
          <w:i/>
        </w:rPr>
        <w:t xml:space="preserve"> </w:t>
      </w:r>
      <w:r w:rsidRPr="00D226C8">
        <w:rPr>
          <w:i/>
        </w:rPr>
        <w:t>See also P.R.B.A. Corp v. HMS Host Toll Roads</w:t>
      </w:r>
      <w:r w:rsidRPr="00D226C8">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footnote>
  <w:footnote w:id="27">
    <w:p w14:paraId="3C8BFAE9" w14:textId="47A3E850" w:rsidR="00C00A31" w:rsidRDefault="00C00A31" w:rsidP="00F506A3">
      <w:pPr>
        <w:pStyle w:val="FootnoteText"/>
        <w:ind w:firstLine="720"/>
        <w:mirrorIndents/>
      </w:pPr>
      <w:r>
        <w:rPr>
          <w:rStyle w:val="FootnoteReference"/>
        </w:rPr>
        <w:footnoteRef/>
      </w:r>
      <w:r>
        <w:t xml:space="preserve"> Special </w:t>
      </w:r>
      <w:r w:rsidRPr="00D226C8">
        <w:t xml:space="preserve">problems may arise if the public employee in question has a professional obligation to someone other than the government.  </w:t>
      </w:r>
      <w:r w:rsidRPr="00D226C8">
        <w:rPr>
          <w:i/>
          <w:iCs/>
        </w:rPr>
        <w:t>Compare, e.g.</w:t>
      </w:r>
      <w:r w:rsidRPr="00D226C8">
        <w:t xml:space="preserve">, </w:t>
      </w:r>
      <w:r w:rsidRPr="00D226C8">
        <w:rPr>
          <w:i/>
          <w:iCs/>
        </w:rPr>
        <w:t>West v. Atkins</w:t>
      </w:r>
      <w:r w:rsidRPr="00D226C8">
        <w:t>, 487 U.S. 42, 43, 54 (1988) (holding that “a physician who is under contract with the State to provide medical services to inmates at a state</w:t>
      </w:r>
      <w:r w:rsidRPr="00D226C8">
        <w:noBreakHyphen/>
        <w:t>prison hospital on a part</w:t>
      </w:r>
      <w:r w:rsidRPr="00D226C8">
        <w:noBreakHyphen/>
        <w:t xml:space="preserve">time basis acts ‘under color of state law,’ within the meaning of 42 U.S.C. § 1983, when he treats an inmate”) </w:t>
      </w:r>
      <w:r w:rsidRPr="00D226C8">
        <w:rPr>
          <w:i/>
          <w:iCs/>
        </w:rPr>
        <w:t>with Polk County v. Dodson</w:t>
      </w:r>
      <w:r w:rsidRPr="00D226C8">
        <w:t>, 454 U.S. 312, 317 n.4 (1981) (“[A] public defender does not act under color of state law when performing the traditional functions of counsel to a criminal defendant.”).</w:t>
      </w:r>
    </w:p>
  </w:footnote>
  <w:footnote w:id="28">
    <w:p w14:paraId="3E483F9A" w14:textId="77777777" w:rsidR="00C00A31" w:rsidRPr="00D226C8" w:rsidRDefault="00C00A31" w:rsidP="00F506A3">
      <w:pPr>
        <w:spacing w:after="240"/>
        <w:ind w:firstLine="720"/>
        <w:mirrorIndents/>
      </w:pPr>
      <w:r w:rsidRPr="00D226C8">
        <w:rPr>
          <w:rStyle w:val="FootnoteReference"/>
        </w:rPr>
        <w:footnoteRef/>
      </w:r>
      <w:r w:rsidRPr="00D226C8">
        <w:t xml:space="preserve">  The court should take care not to narrow the jury’s focus; the jury should be instructed to consider all relevant circumstances.  </w:t>
      </w:r>
      <w:r w:rsidRPr="00D226C8">
        <w:rPr>
          <w:i/>
          <w:iCs/>
        </w:rPr>
        <w:t>See Harvey v. Plains Twp. Police Dep’t</w:t>
      </w:r>
      <w:r w:rsidRPr="00D226C8">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9">
    <w:p w14:paraId="74BCDDE5" w14:textId="77777777" w:rsidR="00C00A31" w:rsidRPr="00D226C8" w:rsidRDefault="00C00A31" w:rsidP="00F506A3">
      <w:pPr>
        <w:spacing w:after="240"/>
        <w:ind w:firstLine="720"/>
        <w:mirrorIndents/>
      </w:pPr>
      <w:r w:rsidRPr="00D226C8">
        <w:rPr>
          <w:rStyle w:val="FootnoteReference"/>
        </w:rPr>
        <w:footnoteRef/>
      </w:r>
      <w:r w:rsidRPr="00D226C8">
        <w:t xml:space="preserve">  For an instruction concerning the contention that a private defendant acted under color of state law by conspiring with a state official, see Instruction 4.4.3.</w:t>
      </w:r>
    </w:p>
  </w:footnote>
  <w:footnote w:id="30">
    <w:p w14:paraId="0C998A10"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Compare, e.g.</w:t>
      </w:r>
      <w:r w:rsidRPr="00D226C8">
        <w:t xml:space="preserve">, </w:t>
      </w:r>
      <w:r w:rsidRPr="00D226C8">
        <w:rPr>
          <w:i/>
          <w:iCs/>
        </w:rPr>
        <w:t>Barna v. City of Perth Amboy</w:t>
      </w:r>
      <w:r w:rsidRPr="00D226C8">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sidRPr="00D226C8">
        <w:rPr>
          <w:i/>
          <w:iCs/>
        </w:rPr>
        <w:t>with Black v. Stephens</w:t>
      </w:r>
      <w:r w:rsidRPr="00D226C8">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sidRPr="00D226C8">
        <w:rPr>
          <w:i/>
          <w:iCs/>
        </w:rPr>
        <w:t>see also Paul v. Davis</w:t>
      </w:r>
      <w:r w:rsidRPr="00D226C8">
        <w:t>, 424 U.S. 693, 717 (1976) (Brennan, J., joined by Marshall, J., and in relevant part by White, J., dissenting) (“[A]n off</w:t>
      </w:r>
      <w:r w:rsidRPr="00D226C8">
        <w:noBreakHyphen/>
        <w:t>duty policeman's discipline of his own children, for example, would not constitute conduct ‘under color of’ law.”).</w:t>
      </w:r>
    </w:p>
  </w:footnote>
  <w:footnote w:id="31">
    <w:p w14:paraId="795242A1" w14:textId="77777777" w:rsidR="00C00A31" w:rsidRPr="00D226C8" w:rsidRDefault="00C00A31" w:rsidP="00F506A3">
      <w:pPr>
        <w:spacing w:after="240"/>
        <w:ind w:firstLine="720"/>
        <w:mirrorIndents/>
      </w:pPr>
      <w:r w:rsidRPr="00D226C8">
        <w:rPr>
          <w:rStyle w:val="FootnoteReference"/>
        </w:rPr>
        <w:footnoteRef/>
      </w:r>
      <w:r w:rsidRPr="00D226C8">
        <w:t xml:space="preserve">  “[G]enerally, a public employee acts under color of state law while acting in his official capacity or while exercising his responsibilities pursuant to state law.”  </w:t>
      </w:r>
      <w:r w:rsidRPr="00D226C8">
        <w:rPr>
          <w:i/>
          <w:iCs/>
        </w:rPr>
        <w:t>West</w:t>
      </w:r>
      <w:r w:rsidRPr="00D226C8">
        <w:t>, 487 U.S. at 50.</w:t>
      </w:r>
    </w:p>
  </w:footnote>
  <w:footnote w:id="32">
    <w:p w14:paraId="63D30AE1" w14:textId="77777777" w:rsidR="00C00A31" w:rsidRPr="00D226C8" w:rsidRDefault="00C00A31" w:rsidP="00F506A3">
      <w:pPr>
        <w:spacing w:after="240"/>
        <w:ind w:firstLine="720"/>
        <w:mirrorIndents/>
      </w:pPr>
      <w:r w:rsidRPr="00D226C8">
        <w:rPr>
          <w:rStyle w:val="FootnoteReference"/>
        </w:rPr>
        <w:footnoteRef/>
      </w:r>
      <w:r w:rsidRPr="00D226C8">
        <w:t xml:space="preserve">  “[O]ff</w:t>
      </w:r>
      <w:r w:rsidRPr="00D226C8">
        <w:noBreakHyphen/>
        <w:t xml:space="preserve">duty police officers who flash a badge or otherwise purport to exercise official authority generally act under color of law.”  </w:t>
      </w:r>
      <w:r w:rsidRPr="00D226C8">
        <w:rPr>
          <w:i/>
          <w:iCs/>
        </w:rPr>
        <w:t>Bonenberger v. Plymouth Tp.</w:t>
      </w:r>
      <w:r w:rsidRPr="00D226C8">
        <w:t>, 132 F.3d 20, 24 (3d Cir. 1997).</w:t>
      </w:r>
    </w:p>
  </w:footnote>
  <w:footnote w:id="33">
    <w:p w14:paraId="32554543" w14:textId="77777777" w:rsidR="00C00A31" w:rsidRPr="00D226C8" w:rsidRDefault="00C00A31" w:rsidP="00F506A3">
      <w:pPr>
        <w:spacing w:after="240"/>
        <w:ind w:firstLine="720"/>
        <w:mirrorIndents/>
      </w:pPr>
      <w:r w:rsidRPr="00D226C8">
        <w:rPr>
          <w:rStyle w:val="FootnoteReference"/>
        </w:rPr>
        <w:footnoteRef/>
      </w:r>
      <w:r w:rsidRPr="00D226C8">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sidRPr="00D226C8">
        <w:rPr>
          <w:i/>
          <w:iCs/>
        </w:rPr>
        <w:t>Bonenberger</w:t>
      </w:r>
      <w:r w:rsidRPr="00D226C8">
        <w:t>, 132 F.3d at 24.</w:t>
      </w:r>
    </w:p>
  </w:footnote>
  <w:footnote w:id="34">
    <w:p w14:paraId="0C4EE7E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Torres v. Cruz</w:t>
      </w:r>
      <w:r w:rsidRPr="00D226C8">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35">
    <w:p w14:paraId="4A23EE4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Basista v. Weir</w:t>
      </w:r>
      <w:r w:rsidRPr="00D226C8">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6">
    <w:p w14:paraId="5F78CD58" w14:textId="77777777" w:rsidR="00C00A31" w:rsidRPr="00D226C8" w:rsidRDefault="00C00A31" w:rsidP="00F506A3">
      <w:pPr>
        <w:spacing w:after="240"/>
        <w:ind w:firstLine="720"/>
        <w:mirrorIndents/>
      </w:pPr>
      <w:r w:rsidRPr="00D226C8">
        <w:rPr>
          <w:rStyle w:val="FootnoteReference"/>
        </w:rPr>
        <w:footnoteRef/>
      </w:r>
      <w:r w:rsidRPr="00D226C8">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sidRPr="00D226C8">
        <w:rPr>
          <w:i/>
          <w:iCs/>
        </w:rPr>
        <w:t>Barna v. City of Perth Amboy</w:t>
      </w:r>
      <w:r w:rsidRPr="00D226C8">
        <w:t>, 42 F.3d 809, 816 (3d Cir. 1994).</w:t>
      </w:r>
    </w:p>
  </w:footnote>
  <w:footnote w:id="37">
    <w:p w14:paraId="386A819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38">
    <w:p w14:paraId="68FB12F0"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Griffin v. Maryland</w:t>
      </w:r>
      <w:r w:rsidRPr="00D226C8">
        <w:t>, 378 U.S. 130, 135 (1964).</w:t>
      </w:r>
    </w:p>
  </w:footnote>
  <w:footnote w:id="39">
    <w:p w14:paraId="03127628"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Abraham v. Raso</w:t>
      </w:r>
      <w:r w:rsidRPr="00D226C8">
        <w:t>, 183 F.3d 279, 287 (3d Cir. 1999).</w:t>
      </w:r>
    </w:p>
  </w:footnote>
  <w:footnote w:id="40">
    <w:p w14:paraId="764B7E65"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41">
    <w:p w14:paraId="493CECCB" w14:textId="77777777" w:rsidR="00C00A31" w:rsidRPr="00D226C8" w:rsidRDefault="00C00A31" w:rsidP="00F506A3">
      <w:pPr>
        <w:spacing w:after="240"/>
        <w:ind w:firstLine="720"/>
        <w:mirrorIndents/>
      </w:pPr>
      <w:r w:rsidRPr="00D226C8">
        <w:rPr>
          <w:rStyle w:val="FootnoteReference"/>
        </w:rPr>
        <w:footnoteRef/>
      </w:r>
      <w:r w:rsidRPr="00D226C8">
        <w:t xml:space="preserve">  “While a police</w:t>
      </w:r>
      <w:r w:rsidRPr="00D226C8">
        <w:noBreakHyphen/>
        <w:t>officer's use of a state</w:t>
      </w:r>
      <w:r w:rsidRPr="00D226C8">
        <w:noBreakHyphen/>
        <w:t xml:space="preserve">issue weapon in the pursuit of private activities will have ‘furthered’ the § 1983 violation in a literal sense, courts generally require additional indicia of state authority to conclude that the officer acted under color of state law.”  </w:t>
      </w:r>
      <w:r w:rsidRPr="00D226C8">
        <w:rPr>
          <w:i/>
          <w:iCs/>
        </w:rPr>
        <w:t>Barna</w:t>
      </w:r>
      <w:r w:rsidRPr="00D226C8">
        <w:t xml:space="preserve">, 42 F.3d at 817; </w:t>
      </w:r>
      <w:r w:rsidRPr="00D226C8">
        <w:rPr>
          <w:i/>
          <w:iCs/>
        </w:rPr>
        <w:t xml:space="preserve">see also id. </w:t>
      </w:r>
      <w:r w:rsidRPr="00D226C8">
        <w:t>at 818 (holding that “the unauthorized use of a police</w:t>
      </w:r>
      <w:r w:rsidRPr="00D226C8">
        <w:noBreakHyphen/>
        <w:t>issue nightstick is simply not enough to color this clearly personal family dispute with the imprimatur of state authority”).</w:t>
      </w:r>
    </w:p>
  </w:footnote>
  <w:footnote w:id="42">
    <w:p w14:paraId="4154FB24"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Rodriguez v. City of Paterson</w:t>
      </w:r>
      <w:r w:rsidRPr="00D226C8">
        <w:t>, 1995 WL 363710, at *3 (D.N.J. June 13, 1995) (fact that defendant was equipped with police radio was relevant to question of action under color of state law).</w:t>
      </w:r>
    </w:p>
  </w:footnote>
  <w:footnote w:id="43">
    <w:p w14:paraId="74337448"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sidRPr="00D226C8">
        <w:rPr>
          <w:i/>
          <w:iCs/>
        </w:rPr>
        <w:t>Abraham</w:t>
      </w:r>
      <w:r w:rsidRPr="00D226C8">
        <w:t>, 183 F.3d at 287 (“[E]ven though Raso was working off duty as a security guard, she was acting under color of state law: she was wearing a police uniform, ordered Abraham repeatedly to stop, and sought to arrest him.”).</w:t>
      </w:r>
    </w:p>
  </w:footnote>
  <w:footnote w:id="44">
    <w:p w14:paraId="7500F70C" w14:textId="77777777" w:rsidR="00C00A31" w:rsidRPr="00D226C8" w:rsidRDefault="00C00A31" w:rsidP="00F506A3">
      <w:pPr>
        <w:spacing w:after="240"/>
        <w:ind w:firstLine="720"/>
        <w:mirrorIndents/>
      </w:pPr>
      <w:r w:rsidRPr="00D226C8">
        <w:rPr>
          <w:rStyle w:val="FootnoteReference"/>
        </w:rPr>
        <w:footnoteRef/>
      </w:r>
      <w:r w:rsidRPr="00D226C8">
        <w:rPr>
          <w:i/>
          <w:iCs/>
        </w:rPr>
        <w:t xml:space="preserve">  West</w:t>
      </w:r>
      <w:r w:rsidRPr="00D226C8">
        <w:t>, 487 U.S. at 50.</w:t>
      </w:r>
    </w:p>
  </w:footnote>
  <w:footnote w:id="45">
    <w:p w14:paraId="4112822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Bonenberger</w:t>
      </w:r>
      <w:r w:rsidRPr="00D226C8">
        <w:t>, 132 F.3d at 24.</w:t>
      </w:r>
    </w:p>
  </w:footnote>
  <w:footnote w:id="46">
    <w:p w14:paraId="7E187A5E" w14:textId="77777777" w:rsidR="00C00A31" w:rsidRPr="00D226C8" w:rsidRDefault="00C00A31" w:rsidP="00F506A3">
      <w:pPr>
        <w:spacing w:after="240"/>
        <w:ind w:firstLine="720"/>
        <w:mirrorIndents/>
      </w:pPr>
      <w:r w:rsidRPr="00D226C8">
        <w:rPr>
          <w:rStyle w:val="FootnoteReference"/>
        </w:rPr>
        <w:footnoteRef/>
      </w:r>
      <w:r w:rsidRPr="00D226C8">
        <w:rPr>
          <w:i/>
          <w:iCs/>
        </w:rPr>
        <w:t xml:space="preserve">  Bonenberger</w:t>
      </w:r>
      <w:r w:rsidRPr="00D226C8">
        <w:t>, 132 F.3d at 24.</w:t>
      </w:r>
    </w:p>
  </w:footnote>
  <w:footnote w:id="47">
    <w:p w14:paraId="0C1B64AF" w14:textId="77777777" w:rsidR="00C00A31" w:rsidRPr="00D226C8" w:rsidRDefault="00C00A31" w:rsidP="00F506A3">
      <w:pPr>
        <w:spacing w:after="240"/>
        <w:ind w:firstLine="720"/>
        <w:mirrorIndents/>
      </w:pPr>
      <w:r w:rsidRPr="00D226C8">
        <w:rPr>
          <w:rStyle w:val="FootnoteReference"/>
        </w:rPr>
        <w:footnoteRef/>
      </w:r>
      <w:r w:rsidRPr="00D226C8">
        <w:rPr>
          <w:i/>
          <w:iCs/>
        </w:rPr>
        <w:t xml:space="preserve">  Basista</w:t>
      </w:r>
      <w:r w:rsidRPr="00D226C8">
        <w:t>, 340 F.2d at 80-81.</w:t>
      </w:r>
    </w:p>
  </w:footnote>
  <w:footnote w:id="48">
    <w:p w14:paraId="11F23CD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Barna v. City of Perth Amboy</w:t>
      </w:r>
      <w:r w:rsidRPr="00D226C8">
        <w:t xml:space="preserve">, 42 F.3d 809, 816 (3d Cir. 1994).  </w:t>
      </w:r>
      <w:r w:rsidRPr="00D226C8">
        <w:rPr>
          <w:i/>
          <w:iCs/>
        </w:rPr>
        <w:t>See also Galena v. Leone</w:t>
      </w:r>
      <w:r w:rsidRPr="00D226C8">
        <w:t xml:space="preserve">, 638 F.3d 186, 197 (3d Cir. 2011) (citing </w:t>
      </w:r>
      <w:r w:rsidRPr="00D226C8">
        <w:rPr>
          <w:i/>
          <w:iCs/>
        </w:rPr>
        <w:t>Barna</w:t>
      </w:r>
      <w:r w:rsidRPr="00D226C8">
        <w:t> and stating that “there is no doubt that Leone was acting under color of state law when, in his official capacity as chairperson of the Council, he ordered the deputy sheriff to escort Galena from the Council meeting”).</w:t>
      </w:r>
    </w:p>
  </w:footnote>
  <w:footnote w:id="49">
    <w:p w14:paraId="151568A4"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50">
    <w:p w14:paraId="715C0F33"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378 U.S. at 135.</w:t>
      </w:r>
    </w:p>
  </w:footnote>
  <w:footnote w:id="51">
    <w:p w14:paraId="73C01D7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287.</w:t>
      </w:r>
    </w:p>
  </w:footnote>
  <w:footnote w:id="52">
    <w:p w14:paraId="2C3888A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53">
    <w:p w14:paraId="0FDF175B" w14:textId="77777777" w:rsidR="00C00A31" w:rsidRPr="00D226C8" w:rsidRDefault="00C00A31" w:rsidP="00F506A3">
      <w:pPr>
        <w:spacing w:after="240"/>
        <w:ind w:firstLine="720"/>
        <w:mirrorIndents/>
      </w:pPr>
      <w:r w:rsidRPr="00D226C8">
        <w:rPr>
          <w:rStyle w:val="FootnoteReference"/>
        </w:rPr>
        <w:footnoteRef/>
      </w:r>
      <w:r w:rsidRPr="00D226C8">
        <w:t xml:space="preserve">  If the private person hires the state official to do the act that constitutes the violation, and the state official agrees to be hired for that purpose, then this constitutes action under color of state law under the conspiracy theory.  </w:t>
      </w:r>
      <w:r w:rsidRPr="00D226C8">
        <w:rPr>
          <w:i/>
          <w:iCs/>
        </w:rPr>
        <w:t>See</w:t>
      </w:r>
      <w:r w:rsidRPr="00D226C8">
        <w:t xml:space="preserve"> </w:t>
      </w:r>
      <w:r w:rsidRPr="00D226C8">
        <w:rPr>
          <w:i/>
          <w:iCs/>
        </w:rPr>
        <w:t>Abbott v. Latshaw</w:t>
      </w:r>
      <w:r w:rsidRPr="00D226C8">
        <w:t xml:space="preserve">, 164 F.3d 141, 147-48 (3d Cir. 1998). </w:t>
      </w:r>
    </w:p>
  </w:footnote>
  <w:footnote w:id="54">
    <w:p w14:paraId="7C8FC9BC" w14:textId="0B26855B"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Victory Outreach Center v. Melso</w:t>
      </w:r>
      <w:r w:rsidRPr="00D226C8">
        <w:t>, 371 F.</w:t>
      </w:r>
      <w:r>
        <w:t xml:space="preserve"> </w:t>
      </w:r>
      <w:r w:rsidRPr="00D226C8">
        <w:t>Supp.</w:t>
      </w:r>
      <w:r>
        <w:t xml:space="preserve"> </w:t>
      </w:r>
      <w:r w:rsidRPr="00D226C8">
        <w:t xml:space="preserve">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sidRPr="00D226C8">
        <w:rPr>
          <w:i/>
          <w:iCs/>
        </w:rPr>
        <w:t>Taylor v. Plousis</w:t>
      </w:r>
      <w:r w:rsidRPr="00D226C8">
        <w:t>, 101 F.</w:t>
      </w:r>
      <w:r>
        <w:t xml:space="preserve"> </w:t>
      </w:r>
      <w:r w:rsidRPr="00D226C8">
        <w:t>Supp.</w:t>
      </w:r>
      <w:r>
        <w:t xml:space="preserve"> </w:t>
      </w:r>
      <w:r w:rsidRPr="00D226C8">
        <w:t>2d 255, 263-64 &amp; n.4 (D.N.J. 2000) (holding respondeat superior liability unavailable, but noting “a lingering doubt whether the public policy considerations underlying the Supreme Court</w:t>
      </w:r>
      <w:r>
        <w:t>’</w:t>
      </w:r>
      <w:r w:rsidRPr="00D226C8">
        <w:t xml:space="preserve">s decision in </w:t>
      </w:r>
      <w:r w:rsidRPr="00A55758">
        <w:rPr>
          <w:i/>
        </w:rPr>
        <w:t>Monell</w:t>
      </w:r>
      <w:r w:rsidRPr="00D226C8">
        <w:t xml:space="preserve"> should apply when a governmental entity chooses to discharge a public obligation by contract with a private corporation”); </w:t>
      </w:r>
      <w:r w:rsidRPr="00D226C8">
        <w:rPr>
          <w:i/>
          <w:iCs/>
        </w:rPr>
        <w:t>Miller v. City of Philadelphia</w:t>
      </w:r>
      <w:r w:rsidRPr="00D226C8">
        <w:t>, 1996 WL 683827, at *3 (E.D.Pa. Nov. 25, 1996) (holding respondeat superior liability unavailable, and stating that “most courts that have addressed the issue have concluded that private corporations cannot be vicariously liable under § 1983").</w:t>
      </w:r>
    </w:p>
  </w:footnote>
  <w:footnote w:id="55">
    <w:p w14:paraId="333B1CA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Cf. Thomas v. Zinkel</w:t>
      </w:r>
      <w:r w:rsidRPr="00D226C8">
        <w:t>, 155 F. Supp.</w:t>
      </w:r>
      <w:r>
        <w:t xml:space="preserve"> </w:t>
      </w:r>
      <w:r w:rsidRPr="00D226C8">
        <w:t xml:space="preserve">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6">
    <w:p w14:paraId="7DC7B132" w14:textId="77777777" w:rsidR="00C00A31" w:rsidRPr="00D226C8" w:rsidRDefault="00C00A31" w:rsidP="00F506A3">
      <w:pPr>
        <w:spacing w:after="240"/>
        <w:ind w:firstLine="720"/>
        <w:mirrorIndents/>
      </w:pPr>
      <w:r w:rsidRPr="00D226C8">
        <w:rPr>
          <w:rStyle w:val="FootnoteReference"/>
        </w:rPr>
        <w:footnoteRef/>
      </w:r>
      <w:r w:rsidRPr="00D226C8">
        <w:t xml:space="preserve">  This discussion assumes that the state official acts under color of state law when he commits the violation.</w:t>
      </w:r>
    </w:p>
  </w:footnote>
  <w:footnote w:id="57">
    <w:p w14:paraId="70E5CCA3" w14:textId="77777777" w:rsidR="00C00A31" w:rsidRPr="00D226C8" w:rsidRDefault="00C00A31" w:rsidP="00F506A3">
      <w:pPr>
        <w:spacing w:after="240"/>
        <w:ind w:firstLine="720"/>
        <w:mirrorIndents/>
      </w:pPr>
      <w:r w:rsidRPr="00D226C8">
        <w:rPr>
          <w:rStyle w:val="FootnoteReference"/>
        </w:rPr>
        <w:footnoteRef/>
      </w:r>
      <w:r w:rsidRPr="00D226C8">
        <w:t xml:space="preserve">  The </w:t>
      </w:r>
      <w:r w:rsidRPr="00D226C8">
        <w:rPr>
          <w:i/>
          <w:iCs/>
        </w:rPr>
        <w:t>Tarkanian</w:t>
      </w:r>
      <w:r w:rsidRPr="00D226C8">
        <w:t xml:space="preserve"> majority indicated that the NCAA’s directive to UNLV, and the fact that UNLV decided to follow that directive, did not establish that the NCAA and UNLV conspired (for purposes of showing that the NCAA acted under color of state law).  </w:t>
      </w:r>
      <w:r w:rsidRPr="00D226C8">
        <w:rPr>
          <w:i/>
          <w:iCs/>
        </w:rPr>
        <w:t>See Tarkanian</w:t>
      </w:r>
      <w:r w:rsidRPr="00D226C8">
        <w:t>, 488 U.S. at 197 n.17.</w:t>
      </w:r>
    </w:p>
  </w:footnote>
  <w:footnote w:id="58">
    <w:p w14:paraId="3AE8849F"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Cruz v. Donnelly</w:t>
      </w:r>
      <w:r w:rsidRPr="00D226C8">
        <w:t xml:space="preserve">, 727 F.2d 79 (3d Cir. 1984), “two police officers, acting at the request of [a private] company's employee, stripped and searched the plaintiff for stolen goods,”  </w:t>
      </w:r>
      <w:r w:rsidRPr="00D226C8">
        <w:rPr>
          <w:i/>
          <w:iCs/>
        </w:rPr>
        <w:t>id.</w:t>
      </w:r>
      <w:r w:rsidRPr="00D226C8">
        <w:t xml:space="preserve"> at 79.  Because the court in </w:t>
      </w:r>
      <w:r w:rsidRPr="00D226C8">
        <w:rPr>
          <w:i/>
          <w:iCs/>
        </w:rPr>
        <w:t>Cruz</w:t>
      </w:r>
      <w:r w:rsidRPr="00D226C8">
        <w:t xml:space="preserve"> found no indication that the store employee exercised control over the officers, </w:t>
      </w:r>
      <w:r w:rsidRPr="00D226C8">
        <w:rPr>
          <w:i/>
          <w:iCs/>
        </w:rPr>
        <w:t>Cruz</w:t>
      </w:r>
      <w:r w:rsidRPr="00D226C8">
        <w:t xml:space="preserve"> does not address the issue discussed in the text.  </w:t>
      </w:r>
      <w:r w:rsidRPr="00D226C8">
        <w:rPr>
          <w:i/>
          <w:iCs/>
        </w:rPr>
        <w:t xml:space="preserve">See id. </w:t>
      </w:r>
      <w:r w:rsidRPr="00D226C8">
        <w:t>at 81 (“Cruz' allegations depict only a police investigation that happens to follow the course suggested by comments from a complainant.”).</w:t>
      </w:r>
    </w:p>
  </w:footnote>
  <w:footnote w:id="59">
    <w:p w14:paraId="0534A7E6" w14:textId="77777777" w:rsidR="00C00A31" w:rsidRPr="00D226C8" w:rsidRDefault="00C00A31" w:rsidP="00F506A3">
      <w:pPr>
        <w:spacing w:after="240"/>
        <w:ind w:firstLine="720"/>
        <w:mirrorIndents/>
      </w:pPr>
      <w:r w:rsidRPr="00D226C8">
        <w:rPr>
          <w:rStyle w:val="FootnoteReference"/>
        </w:rPr>
        <w:footnoteRef/>
      </w:r>
      <w:r w:rsidRPr="00D226C8">
        <w:rPr>
          <w:i/>
          <w:iCs/>
        </w:rPr>
        <w:t xml:space="preserve">  See also Cruz</w:t>
      </w:r>
      <w:r w:rsidRPr="00D226C8">
        <w:t>, 727 F.2d at 81 (“[A] store and its employees cannot be held liable under § 1983 unless: (1) the police have a pre</w:t>
      </w:r>
      <w:r w:rsidRPr="00D226C8">
        <w:noBreakHyphen/>
        <w:t xml:space="preserve">arranged plan with the store; and (2) under the plan, the police will arrest anyone identified as a shoplifter by the store without independently evaluating the presence of probable cause.”); </w:t>
      </w:r>
      <w:r w:rsidRPr="00D226C8">
        <w:rPr>
          <w:i/>
          <w:iCs/>
        </w:rPr>
        <w:t>Max v. Republican Committee of Lancaster County</w:t>
      </w:r>
      <w:r w:rsidRPr="00D226C8">
        <w:t>, 587 F.3d 198, 203 (3d Cir. 2009) (“Even if we accept the premise that poll</w:t>
      </w:r>
      <w:r w:rsidRPr="00D226C8">
        <w:noBreakHyphen/>
        <w:t>workers are state actors while guarding the integrity of an election, the defendants here ... are not the poll</w:t>
      </w:r>
      <w:r w:rsidRPr="00D226C8">
        <w:noBreakHyphen/>
        <w:t>watchers. Defendants here are private parties.... At most, defendants used the poll</w:t>
      </w:r>
      <w:r w:rsidRPr="00D226C8">
        <w:noBreakHyphen/>
        <w:t>workers to obtain information. This is not the same as conspiring to violate Max's First Amendment rights.”).</w:t>
      </w:r>
    </w:p>
  </w:footnote>
  <w:footnote w:id="60">
    <w:p w14:paraId="5019D7C1" w14:textId="77777777" w:rsidR="00C00A31" w:rsidRPr="00D226C8" w:rsidRDefault="00C00A31"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upheld the grant of summary judgment dismissing conspiracy claims under 42 U.S.C. §§ 1983 and 1985 because the plaintiffs failed to show the required “meeting of the minds.”  </w:t>
      </w:r>
      <w:r w:rsidRPr="00D226C8">
        <w:rPr>
          <w:i/>
          <w:iCs/>
        </w:rPr>
        <w:t>See Startzell</w:t>
      </w:r>
      <w:r w:rsidRPr="00D226C8">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sidRPr="00D226C8">
        <w:rPr>
          <w:i/>
          <w:iCs/>
        </w:rPr>
        <w:t>See also</w:t>
      </w:r>
      <w:r w:rsidRPr="00D226C8">
        <w:t> </w:t>
      </w:r>
      <w:r w:rsidRPr="00D226C8">
        <w:rPr>
          <w:i/>
          <w:iCs/>
        </w:rPr>
        <w:t>Great Western Mining &amp; Mineral Co. v. Fox Rothschild LLP</w:t>
      </w:r>
      <w:r w:rsidRPr="00D226C8">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61">
    <w:p w14:paraId="0A76DF9B" w14:textId="77777777" w:rsidR="00C00A31" w:rsidRPr="00D226C8" w:rsidRDefault="00C00A31" w:rsidP="00F506A3">
      <w:pPr>
        <w:ind w:firstLine="720"/>
        <w:mirrorIndents/>
      </w:pPr>
      <w:r w:rsidRPr="00D226C8">
        <w:rPr>
          <w:rStyle w:val="FootnoteReference"/>
        </w:rPr>
        <w:footnoteRef/>
      </w:r>
      <w:r w:rsidRPr="00D226C8">
        <w:t xml:space="preserve">  For cases indicating that some or all of the Third Circuit’s supervisory-liability standards survive </w:t>
      </w:r>
      <w:r w:rsidRPr="00D226C8">
        <w:rPr>
          <w:i/>
          <w:iCs/>
        </w:rPr>
        <w:t>Iqbal</w:t>
      </w:r>
      <w:r w:rsidRPr="00D226C8">
        <w:t xml:space="preserve">, </w:t>
      </w:r>
      <w:r w:rsidRPr="00D226C8">
        <w:rPr>
          <w:i/>
          <w:iCs/>
        </w:rPr>
        <w:t>see, e.g.</w:t>
      </w:r>
      <w:r w:rsidRPr="00D226C8">
        <w:t xml:space="preserve">, </w:t>
      </w:r>
      <w:r w:rsidRPr="00D226C8">
        <w:rPr>
          <w:i/>
          <w:iCs/>
        </w:rPr>
        <w:t>McKenna v. City of Philadelphia</w:t>
      </w:r>
      <w:r w:rsidRPr="00D226C8">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sidRPr="00D226C8">
        <w:rPr>
          <w:i/>
          <w:iCs/>
        </w:rPr>
        <w:t>Reedy v. Evanson</w:t>
      </w:r>
      <w:r w:rsidRPr="00D226C8">
        <w:t xml:space="preserve">, 615 F.3d 197, 231 (3d Cir. 2010) (applying the framework set by </w:t>
      </w:r>
      <w:r w:rsidRPr="00D226C8">
        <w:rPr>
          <w:i/>
          <w:iCs/>
        </w:rPr>
        <w:t>Baker v. Monroe Tp.</w:t>
      </w:r>
      <w:r w:rsidRPr="00D226C8">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sidRPr="00D226C8">
        <w:rPr>
          <w:i/>
          <w:iCs/>
        </w:rPr>
        <w:t>Marrakush Soc. v. New Jersey State Police</w:t>
      </w:r>
      <w:r w:rsidRPr="00D226C8">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C00A31" w:rsidRPr="00D226C8" w:rsidRDefault="00C00A31" w:rsidP="00F506A3">
      <w:pPr>
        <w:ind w:firstLine="720"/>
        <w:mirrorIndents/>
      </w:pPr>
    </w:p>
    <w:p w14:paraId="2A57DE6C" w14:textId="77777777" w:rsidR="00C00A31" w:rsidRPr="00D226C8" w:rsidRDefault="00C00A31" w:rsidP="00F506A3">
      <w:pPr>
        <w:spacing w:after="240"/>
        <w:ind w:firstLine="720"/>
        <w:mirrorIndents/>
      </w:pPr>
      <w:r w:rsidRPr="00D226C8">
        <w:t xml:space="preserve">For decisions that noted the question whether those standards survive </w:t>
      </w:r>
      <w:r w:rsidRPr="00D226C8">
        <w:rPr>
          <w:i/>
          <w:iCs/>
        </w:rPr>
        <w:t>Iqbal</w:t>
      </w:r>
      <w:r w:rsidRPr="00D226C8">
        <w:t xml:space="preserve">, see </w:t>
      </w:r>
      <w:r w:rsidRPr="00D226C8">
        <w:rPr>
          <w:i/>
          <w:iCs/>
        </w:rPr>
        <w:t>Santiago v. Warminster Twp.</w:t>
      </w:r>
      <w:r w:rsidRPr="00D226C8">
        <w:t xml:space="preserve">, 629 F.3d 121, 130 n.8 (3d Cir. 2010) (“Numerous courts, including this one, have expressed uncertainty as to the viability and scope of supervisory liability after </w:t>
      </w:r>
      <w:r w:rsidRPr="00D226C8">
        <w:rPr>
          <w:i/>
          <w:iCs/>
        </w:rPr>
        <w:t>Iqbal</w:t>
      </w:r>
      <w:r w:rsidRPr="00D226C8">
        <w:t xml:space="preserve">.... Because we hold that Santiago's pleadings fail even under our existing supervisory liability test, we need not decide whether </w:t>
      </w:r>
      <w:r w:rsidRPr="00D226C8">
        <w:rPr>
          <w:i/>
          <w:iCs/>
        </w:rPr>
        <w:t xml:space="preserve">Iqbal </w:t>
      </w:r>
      <w:r w:rsidRPr="00D226C8">
        <w:t xml:space="preserve">requires us to narrow the scope of that test.”); </w:t>
      </w:r>
      <w:r w:rsidRPr="00D226C8">
        <w:rPr>
          <w:i/>
          <w:iCs/>
        </w:rPr>
        <w:t>Argueta v. U.S. Immigration &amp; Customs Enforcement</w:t>
      </w:r>
      <w:r w:rsidRPr="00D226C8">
        <w:t xml:space="preserve">, 643 F.3d 60, 70 (3d Cir. 2011) (“To date, we have refrained from answering the question of whether </w:t>
      </w:r>
      <w:r w:rsidRPr="00D226C8">
        <w:rPr>
          <w:i/>
          <w:iCs/>
        </w:rPr>
        <w:t xml:space="preserve">Iqbal </w:t>
      </w:r>
      <w:r w:rsidRPr="00D226C8">
        <w:t>eliminated – or at least narrowed the scope of – supervisory liability because it was ultimately unnecessary to do so in order to dispose of the appeal then before us.... We likewise make the same choice here....”).</w:t>
      </w:r>
    </w:p>
  </w:footnote>
  <w:footnote w:id="62">
    <w:p w14:paraId="07FC9CB8"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Cf. Bayer v. Monroe County Children and Youth Services</w:t>
      </w:r>
      <w:r w:rsidRPr="00D226C8">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sidRPr="00D226C8">
        <w:rPr>
          <w:i/>
          <w:iCs/>
        </w:rPr>
        <w:t>Iqbal</w:t>
      </w:r>
      <w:r w:rsidRPr="00D226C8">
        <w:t>], it is uncertain whether proof of such personal knowledge, with nothing more, would provide a sufficient basis for holding Bahl liable with respect to plaintiffs' Fourteenth Amendment claims under § 1983.... We need not resolve this matter here, however.”).</w:t>
      </w:r>
    </w:p>
  </w:footnote>
  <w:footnote w:id="63">
    <w:p w14:paraId="0114FD43" w14:textId="77777777" w:rsidR="00C00A31" w:rsidRPr="00D226C8" w:rsidRDefault="00C00A31" w:rsidP="00F506A3">
      <w:pPr>
        <w:spacing w:after="240"/>
        <w:ind w:firstLine="720"/>
        <w:mirrorIndents/>
      </w:pPr>
      <w:r w:rsidRPr="00D226C8">
        <w:rPr>
          <w:rStyle w:val="FootnoteReference"/>
        </w:rPr>
        <w:footnoteRef/>
      </w:r>
      <w:r w:rsidRPr="00D226C8">
        <w:rPr>
          <w:i/>
          <w:iCs/>
        </w:rPr>
        <w:t xml:space="preserve">  Cf., e.g.</w:t>
      </w:r>
      <w:r w:rsidRPr="00D226C8">
        <w:t xml:space="preserve">, </w:t>
      </w:r>
      <w:r w:rsidRPr="00D226C8">
        <w:rPr>
          <w:i/>
          <w:iCs/>
        </w:rPr>
        <w:t>Horton v. City of Harrisburg</w:t>
      </w:r>
      <w:r w:rsidRPr="00D226C8">
        <w:t xml:space="preserve">, 2009 WL 2225386, at *5 (M.D.Pa. July 23, 2009) (“Supervisory liability under § 1983 utilizes the same standard as municipal liability. </w:t>
      </w:r>
      <w:r w:rsidRPr="00D226C8">
        <w:rPr>
          <w:i/>
          <w:iCs/>
        </w:rPr>
        <w:t xml:space="preserve">See Iqbal </w:t>
      </w:r>
      <w:r w:rsidRPr="00D226C8">
        <w:t>.... Therefore, a supervisor will only be liable for the acts of a subordinate if he fosters a policy or custom that amounts to deliberate indifference towards an individual's constitutional rights.”).</w:t>
      </w:r>
    </w:p>
  </w:footnote>
  <w:footnote w:id="64">
    <w:p w14:paraId="1D44B295" w14:textId="77777777" w:rsidR="00C00A31" w:rsidRPr="00D226C8" w:rsidRDefault="00C00A31" w:rsidP="00F506A3">
      <w:pPr>
        <w:spacing w:after="240"/>
        <w:ind w:firstLine="720"/>
        <w:mirrorIndents/>
      </w:pPr>
      <w:r w:rsidRPr="00D226C8">
        <w:rPr>
          <w:rStyle w:val="FootnoteReference"/>
        </w:rPr>
        <w:footnoteRef/>
      </w:r>
      <w:r w:rsidRPr="00D226C8">
        <w:t xml:space="preserve">  In cases where the underlying constitutional violation requires a showing of purposeful discrimination, </w:t>
      </w:r>
      <w:r w:rsidRPr="00D226C8">
        <w:rPr>
          <w:i/>
          <w:iCs/>
        </w:rPr>
        <w:t>Iqbal</w:t>
      </w:r>
      <w:r w:rsidRPr="00D226C8">
        <w:t xml:space="preserve"> thus appears to heighten the standard for supervisors’ liability even under the first of the three theories described in Instruction 4.6.1.</w:t>
      </w:r>
    </w:p>
  </w:footnote>
  <w:footnote w:id="65">
    <w:p w14:paraId="6F83BD4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Baker v. Monroe Tp.</w:t>
      </w:r>
      <w:r w:rsidRPr="00D226C8">
        <w:t>, 50 F.3d 1186, 1194 n.5 (3d Cir. 1995) (noting that “other circuits have developed broader standards for supervisory liability under section 1983”).</w:t>
      </w:r>
    </w:p>
  </w:footnote>
  <w:footnote w:id="66">
    <w:p w14:paraId="2C01D04F" w14:textId="77777777" w:rsidR="00C00A31" w:rsidRPr="00D226C8" w:rsidRDefault="00C00A31" w:rsidP="00F506A3">
      <w:pPr>
        <w:spacing w:after="240"/>
        <w:ind w:firstLine="720"/>
        <w:mirrorIndents/>
      </w:pPr>
      <w:r w:rsidRPr="00D226C8">
        <w:rPr>
          <w:rStyle w:val="FootnoteReference"/>
        </w:rPr>
        <w:footnoteRef/>
      </w:r>
      <w:r w:rsidRPr="00D226C8">
        <w:t xml:space="preserve">  When a supervisor with policymaking authority is sued on a failure-to-train theory, the standard appears to be the same as for municipal liability.  </w:t>
      </w:r>
      <w:r w:rsidRPr="00D226C8">
        <w:rPr>
          <w:i/>
          <w:iCs/>
        </w:rPr>
        <w:t>See</w:t>
      </w:r>
      <w:r w:rsidRPr="00D226C8">
        <w:t xml:space="preserve"> </w:t>
      </w:r>
      <w:r w:rsidRPr="00D226C8">
        <w:rPr>
          <w:i/>
          <w:iCs/>
        </w:rPr>
        <w:t>Gilles v. Davis</w:t>
      </w:r>
      <w:r w:rsidRPr="00D226C8">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sidRPr="00D226C8">
        <w:rPr>
          <w:i/>
          <w:iCs/>
        </w:rPr>
        <w:t xml:space="preserve">see also infra </w:t>
      </w:r>
      <w:r w:rsidRPr="00D226C8">
        <w:t>Comment 4.6.7 (discussing municipal liability for failure to train).</w:t>
      </w:r>
    </w:p>
  </w:footnote>
  <w:footnote w:id="67">
    <w:p w14:paraId="5CA131B3" w14:textId="77777777" w:rsidR="00C00A31" w:rsidRPr="00D226C8" w:rsidRDefault="00C00A31" w:rsidP="00F506A3">
      <w:pPr>
        <w:spacing w:after="240"/>
        <w:ind w:firstLine="720"/>
        <w:mirrorIndents/>
      </w:pPr>
      <w:r w:rsidRPr="00D226C8">
        <w:rPr>
          <w:rStyle w:val="FootnoteReference"/>
        </w:rPr>
        <w:footnoteRef/>
      </w:r>
      <w:r w:rsidRPr="00D226C8">
        <w:t xml:space="preserve">  A suit against a municipal policymaking official in her official capacity is treated as a suit against the municipality.  </w:t>
      </w:r>
      <w:r w:rsidRPr="00D226C8">
        <w:rPr>
          <w:i/>
          <w:iCs/>
        </w:rPr>
        <w:t>See A.M. ex rel. J.M.K. v. Luzerne County Juvenile Detention Center</w:t>
      </w:r>
      <w:r w:rsidRPr="00D226C8">
        <w:t>, 372 F.3d 572, 580 (3d Cir. 2004).</w:t>
      </w:r>
    </w:p>
  </w:footnote>
  <w:footnote w:id="68">
    <w:p w14:paraId="09E8C854" w14:textId="2E2920AA" w:rsidR="00C00A31" w:rsidRDefault="00C00A31" w:rsidP="00F506A3">
      <w:pPr>
        <w:spacing w:after="240"/>
        <w:ind w:firstLine="720"/>
        <w:mirrorIndents/>
      </w:pPr>
      <w:r w:rsidRPr="00D226C8">
        <w:rPr>
          <w:rStyle w:val="FootnoteReference"/>
        </w:rPr>
        <w:footnoteRef/>
      </w:r>
      <w:r w:rsidRPr="00D226C8">
        <w:t xml:space="preserve">   </w:t>
      </w:r>
      <w:r w:rsidRPr="00267BAD">
        <w:t xml:space="preserve">A similar principle applies to claims against a private corporation providing medical services under contract with a state prison system. </w:t>
      </w:r>
      <w:r w:rsidRPr="00267BAD">
        <w:rPr>
          <w:i/>
        </w:rPr>
        <w:t>Palakovic v. Wetzel</w:t>
      </w:r>
      <w:r w:rsidRPr="00267BAD">
        <w:t xml:space="preserve">, 854 F.3d 209, 232 (3d Cir. 2017) (holding that to state such a claim, “a plaintiff must allege a policy or custom that resulted in the alleged constitutional violations at issue”) (citing </w:t>
      </w:r>
      <w:r w:rsidRPr="00267BAD">
        <w:rPr>
          <w:i/>
        </w:rPr>
        <w:t>Natale v. Camden Cty. Corr. Facility</w:t>
      </w:r>
      <w:r w:rsidRPr="00267BAD">
        <w:t>, 318 F</w:t>
      </w:r>
      <w:r>
        <w:t>.3d 575, 583-84 (3d Cir. 2003)).</w:t>
      </w:r>
    </w:p>
    <w:p w14:paraId="2EFC996A" w14:textId="7704E613" w:rsidR="00C00A31" w:rsidRPr="00D226C8" w:rsidRDefault="00C00A31" w:rsidP="00F506A3">
      <w:pPr>
        <w:spacing w:after="240"/>
        <w:ind w:firstLine="720"/>
        <w:mirrorIndents/>
      </w:pPr>
      <w:r w:rsidRPr="00D226C8">
        <w:t>“</w:t>
      </w:r>
      <w:r w:rsidRPr="00D226C8">
        <w:rPr>
          <w:i/>
          <w:iCs/>
        </w:rPr>
        <w:t>Monell</w:t>
      </w:r>
      <w:r>
        <w:t>’</w:t>
      </w:r>
      <w:r w:rsidRPr="00D226C8">
        <w:t xml:space="preserve">s ‘policy or custom’ requirement applies in § 1983 cases irrespective of whether the relief sought is monetary or prospective.”  </w:t>
      </w:r>
      <w:r w:rsidRPr="00D226C8">
        <w:rPr>
          <w:i/>
          <w:iCs/>
        </w:rPr>
        <w:t>Los Angeles County v. Humphries</w:t>
      </w:r>
      <w:r w:rsidRPr="00D226C8">
        <w:t>, 131 S. Ct. 447, 453-54 (2010).</w:t>
      </w:r>
    </w:p>
  </w:footnote>
  <w:footnote w:id="69">
    <w:p w14:paraId="2B9634E0" w14:textId="77777777" w:rsidR="00C00A31" w:rsidRPr="00D226C8" w:rsidRDefault="00C00A31"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rPr>
        <w:t>Vargas v. City of Philadelphia</w:t>
      </w:r>
      <w:r w:rsidRPr="00D226C8">
        <w:t>, 783 F.3d 962, 975 (3d Cir. 2015) (“Because the officers did not violate any of her constitutional rights . . .  there was no violation for which the City of Philadelphia could be held responsible.”);</w:t>
      </w:r>
      <w:r w:rsidRPr="00D226C8">
        <w:rPr>
          <w:i/>
        </w:rPr>
        <w:t xml:space="preserve"> Mulholland v. Government County of Berks</w:t>
      </w:r>
      <w:r w:rsidRPr="00D226C8">
        <w:t xml:space="preserve">, 706 F.3d 227, 238 n.15 (3d Cir. 2013) (“It is well-settled that, if there is no violation in the first place, there can be no derivative municipal claim.”); </w:t>
      </w:r>
      <w:r w:rsidRPr="00D226C8">
        <w:rPr>
          <w:i/>
        </w:rPr>
        <w:t>id</w:t>
      </w:r>
      <w:r w:rsidRPr="00D226C8">
        <w:t xml:space="preserve">. at 244 n.24 (“Given our disposition of the underlying substantive due process claim … we need not address the </w:t>
      </w:r>
      <w:r w:rsidRPr="00D226C8">
        <w:rPr>
          <w:i/>
        </w:rPr>
        <w:t>Monell</w:t>
      </w:r>
      <w:r w:rsidRPr="00D226C8">
        <w:t xml:space="preserve"> analysis ….”); </w:t>
      </w:r>
      <w:r w:rsidRPr="00D226C8">
        <w:rPr>
          <w:i/>
          <w:iCs/>
        </w:rPr>
        <w:t>Startzell v. City of Philadelphia</w:t>
      </w:r>
      <w:r w:rsidRPr="00D226C8">
        <w:t xml:space="preserve">, 533 F.3d 183, 204 (3d Cir. 2008) (“Because we have found that there was no violation of Appellants' constitutional rights, we need not reach the claim against the City under </w:t>
      </w:r>
      <w:r w:rsidRPr="00D226C8">
        <w:rPr>
          <w:i/>
        </w:rPr>
        <w:t>Monell</w:t>
      </w:r>
      <w:r w:rsidRPr="00D226C8">
        <w:t>.”).</w:t>
      </w:r>
    </w:p>
  </w:footnote>
  <w:footnote w:id="70">
    <w:p w14:paraId="3C77462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McGreevy v. Stroup</w:t>
      </w:r>
      <w:r w:rsidRPr="00D226C8">
        <w:t>, 413 F.3d 359, 369 (3d Cir. 2005) (analyzing Pennsylvania law and concluding that “[b]ecause the school superintendent is a final policymaker with regard to ratings, his ratings and/or those of the school principal constitute official government policy”).</w:t>
      </w:r>
    </w:p>
  </w:footnote>
  <w:footnote w:id="71">
    <w:p w14:paraId="46CAF24D" w14:textId="77777777" w:rsidR="00C00A31" w:rsidRPr="00D226C8" w:rsidRDefault="00C00A31" w:rsidP="00F506A3">
      <w:pPr>
        <w:spacing w:after="240"/>
        <w:ind w:firstLine="720"/>
        <w:mirrorIndents/>
      </w:pPr>
      <w:r w:rsidRPr="00D226C8">
        <w:rPr>
          <w:rStyle w:val="FootnoteReference"/>
        </w:rPr>
        <w:footnoteRef/>
      </w:r>
      <w:r w:rsidRPr="00D226C8">
        <w:t xml:space="preserve">  In cases where the plaintiff must show deliberate indifference on the part of a policymaking official, this language should be modified accordingly.  See Comment.</w:t>
      </w:r>
    </w:p>
  </w:footnote>
  <w:footnote w:id="72">
    <w:p w14:paraId="72BE4D49" w14:textId="77777777" w:rsidR="00C00A31" w:rsidRPr="00D226C8" w:rsidRDefault="00C00A31" w:rsidP="00F506A3">
      <w:pPr>
        <w:spacing w:after="240"/>
        <w:ind w:firstLine="720"/>
        <w:mirrorIndents/>
      </w:pPr>
      <w:r w:rsidRPr="00D226C8">
        <w:rPr>
          <w:rStyle w:val="FootnoteReference"/>
        </w:rPr>
        <w:footnoteRef/>
      </w:r>
      <w:r w:rsidRPr="00D226C8">
        <w:t xml:space="preserve">  This language can be used if the plaintiff introduces evidence concerning a specific policymaking official.  For a discussion of whether the plaintiff must introduce such evidence, see Comment.</w:t>
      </w:r>
    </w:p>
  </w:footnote>
  <w:footnote w:id="73">
    <w:p w14:paraId="09A7D725" w14:textId="77777777" w:rsidR="00C00A31" w:rsidRPr="00D226C8" w:rsidRDefault="00C00A31" w:rsidP="00F506A3">
      <w:pPr>
        <w:spacing w:after="240"/>
        <w:ind w:firstLine="720"/>
        <w:mirrorIndents/>
      </w:pPr>
      <w:r w:rsidRPr="00D226C8">
        <w:rPr>
          <w:rStyle w:val="FootnoteReference"/>
        </w:rPr>
        <w:footnoteRef/>
      </w:r>
      <w:r w:rsidRPr="00D226C8">
        <w:t xml:space="preserve">  “A § 1983 plaintiff . . . may be able to recover from a municipality without adducing evidence of an affirmative decision by policymakers if able to prove that the challenged action was pursuant to a state ‘custom or usage.’”  </w:t>
      </w:r>
      <w:r w:rsidRPr="00D226C8">
        <w:rPr>
          <w:i/>
          <w:iCs/>
        </w:rPr>
        <w:t>Pembaur v. City of Cincinnati</w:t>
      </w:r>
      <w:r w:rsidRPr="00D226C8">
        <w:t xml:space="preserve">, 475 U.S. 469, 481 n.10 (1986) (plurality opinion); </w:t>
      </w:r>
      <w:r w:rsidRPr="00D226C8">
        <w:rPr>
          <w:i/>
          <w:iCs/>
        </w:rPr>
        <w:t>see also Anela v. City of Wildwood</w:t>
      </w:r>
      <w:r w:rsidRPr="00D226C8">
        <w:t>, 790 F.2d 1063, 1069 (3d Cir. 1986) (“Even if the practices with respect to jail conditions also were followed without formal city action, it appears that they were the norm. The description of the cells revealed a long</w:t>
      </w:r>
      <w:r w:rsidRPr="00D226C8">
        <w:noBreakHyphen/>
        <w:t xml:space="preserve">standing condition that had become an acceptable standard and practice for the City.”). </w:t>
      </w:r>
    </w:p>
  </w:footnote>
  <w:footnote w:id="74">
    <w:p w14:paraId="0C0BEF1E" w14:textId="6B926B10" w:rsidR="00C00A31" w:rsidRPr="00D226C8" w:rsidRDefault="00C00A31" w:rsidP="00F506A3">
      <w:pPr>
        <w:pStyle w:val="FootnoteText"/>
        <w:ind w:firstLine="720"/>
        <w:mirrorIndents/>
        <w:rPr>
          <w:szCs w:val="24"/>
        </w:rPr>
      </w:pPr>
      <w:r w:rsidRPr="00D226C8">
        <w:rPr>
          <w:rStyle w:val="FootnoteReference"/>
          <w:szCs w:val="24"/>
        </w:rPr>
        <w:footnoteRef/>
      </w:r>
      <w:r w:rsidRPr="00D226C8">
        <w:rPr>
          <w:rStyle w:val="FootnoteReference"/>
          <w:szCs w:val="24"/>
        </w:rPr>
        <w:t xml:space="preserve"> </w:t>
      </w:r>
      <w:r w:rsidRPr="00D226C8">
        <w:rPr>
          <w:szCs w:val="24"/>
        </w:rPr>
        <w:t xml:space="preserve">In </w:t>
      </w:r>
      <w:r w:rsidRPr="00D226C8">
        <w:rPr>
          <w:i/>
          <w:szCs w:val="24"/>
        </w:rPr>
        <w:t>B.S. v. Somerset County</w:t>
      </w:r>
      <w:r w:rsidRPr="00D226C8">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D226C8">
        <w:rPr>
          <w:i/>
          <w:szCs w:val="24"/>
        </w:rPr>
        <w:t>id</w:t>
      </w:r>
      <w:r w:rsidRPr="00D226C8">
        <w:rPr>
          <w:szCs w:val="24"/>
        </w:rPr>
        <w:t xml:space="preserve">. at 275.  The court of appeals held that there was no need to resolve “who the relevant policymaker was” because of the County’s “effective admission of a custom.”  </w:t>
      </w:r>
      <w:r w:rsidRPr="00D226C8">
        <w:rPr>
          <w:i/>
          <w:szCs w:val="24"/>
        </w:rPr>
        <w:t>Id</w:t>
      </w:r>
      <w:r w:rsidRPr="00D226C8">
        <w:rPr>
          <w:szCs w:val="24"/>
        </w:rPr>
        <w:t>. at 275 n.36.</w:t>
      </w:r>
    </w:p>
  </w:footnote>
  <w:footnote w:id="75">
    <w:p w14:paraId="40E10BD1" w14:textId="77777777" w:rsidR="00C00A31" w:rsidRPr="00D226C8" w:rsidRDefault="00C00A31" w:rsidP="00F506A3">
      <w:pPr>
        <w:ind w:firstLine="720"/>
        <w:mirrorIndents/>
      </w:pPr>
      <w:r w:rsidRPr="00D226C8">
        <w:rPr>
          <w:rStyle w:val="FootnoteReference"/>
        </w:rPr>
        <w:footnoteRef/>
      </w:r>
      <w:r w:rsidRPr="00D226C8">
        <w:t xml:space="preserve">  In </w:t>
      </w:r>
      <w:r w:rsidRPr="00D226C8">
        <w:rPr>
          <w:i/>
          <w:iCs/>
        </w:rPr>
        <w:t>Jett</w:t>
      </w:r>
      <w:r w:rsidRPr="00D226C8">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sidRPr="00D226C8">
        <w:rPr>
          <w:i/>
          <w:iCs/>
        </w:rPr>
        <w:t>See id.</w:t>
      </w:r>
      <w:r w:rsidRPr="00D226C8">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sidRPr="00D226C8">
        <w:rPr>
          <w:i/>
          <w:iCs/>
        </w:rPr>
        <w:t>Id.</w:t>
      </w:r>
      <w:r w:rsidRPr="00D226C8">
        <w:t xml:space="preserve"> at 737 (quoting </w:t>
      </w:r>
      <w:r w:rsidRPr="00D226C8">
        <w:rPr>
          <w:i/>
          <w:iCs/>
        </w:rPr>
        <w:t>Pembaur v. Cincinnati</w:t>
      </w:r>
      <w:r w:rsidRPr="00D226C8">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sidRPr="00D226C8">
        <w:rPr>
          <w:i/>
          <w:iCs/>
        </w:rPr>
        <w:t>Jett</w:t>
      </w:r>
      <w:r w:rsidRPr="00D226C8">
        <w:t xml:space="preserve">.  Moreover, the </w:t>
      </w:r>
      <w:r w:rsidRPr="00D226C8">
        <w:rPr>
          <w:i/>
          <w:iCs/>
        </w:rPr>
        <w:t>Jett</w:t>
      </w:r>
      <w:r w:rsidRPr="00D226C8">
        <w:t xml:space="preserve"> Court’s quotation from Justice White’s partial concurrence in </w:t>
      </w:r>
      <w:r w:rsidRPr="00D226C8">
        <w:rPr>
          <w:i/>
          <w:iCs/>
        </w:rPr>
        <w:t>Pembaur</w:t>
      </w:r>
      <w:r w:rsidRPr="00D226C8">
        <w:t xml:space="preserve"> is somewhat puzzling.  In </w:t>
      </w:r>
      <w:r w:rsidRPr="00D226C8">
        <w:rPr>
          <w:i/>
          <w:iCs/>
        </w:rPr>
        <w:t>Pembaur</w:t>
      </w:r>
      <w:r w:rsidRPr="00D226C8">
        <w:t xml:space="preserve"> the Court held “that municipal liability may be imposed for a single decision by municipal policymakers under appropriate circumstances.”  </w:t>
      </w:r>
      <w:r w:rsidRPr="00D226C8">
        <w:rPr>
          <w:i/>
          <w:iCs/>
        </w:rPr>
        <w:t>Pembaur</w:t>
      </w:r>
      <w:r w:rsidRPr="00D226C8">
        <w:t xml:space="preserve">, 475 U.S. at 480.  Because </w:t>
      </w:r>
      <w:r w:rsidRPr="00D226C8">
        <w:rPr>
          <w:i/>
          <w:iCs/>
        </w:rPr>
        <w:t>Pembaur</w:t>
      </w:r>
      <w:r w:rsidRPr="00D226C8">
        <w:t xml:space="preserve"> focused on instances where a policymaker directed the challenged activity, municipal liability under the “custom” theory was not at issue in the case.  </w:t>
      </w:r>
      <w:r w:rsidRPr="00D226C8">
        <w:rPr>
          <w:i/>
          <w:iCs/>
        </w:rPr>
        <w:t>See id.</w:t>
      </w:r>
      <w:r w:rsidRPr="00D226C8">
        <w:t xml:space="preserve"> at 481 n.10 (plurality opinion).  Justice White’s </w:t>
      </w:r>
      <w:r w:rsidRPr="00D226C8">
        <w:rPr>
          <w:i/>
          <w:iCs/>
        </w:rPr>
        <w:t>Pembaur</w:t>
      </w:r>
      <w:r w:rsidRPr="00D226C8">
        <w:t xml:space="preserve"> concurrence does not suggest otherwise; the language quoted by the </w:t>
      </w:r>
      <w:r w:rsidRPr="00D226C8">
        <w:rPr>
          <w:i/>
          <w:iCs/>
        </w:rPr>
        <w:t>Jett</w:t>
      </w:r>
      <w:r w:rsidRPr="00D226C8">
        <w:t xml:space="preserve"> Court constitutes Justice White’s explanation of his reasons for agreeing that the policymakers’ directives in </w:t>
      </w:r>
      <w:r w:rsidRPr="00D226C8">
        <w:rPr>
          <w:i/>
          <w:iCs/>
        </w:rPr>
        <w:t>Pembaur</w:t>
      </w:r>
      <w:r w:rsidRPr="00D226C8">
        <w:t xml:space="preserve"> could ground municipal liability.  Justice White explained:</w:t>
      </w:r>
    </w:p>
    <w:p w14:paraId="148F3A6E" w14:textId="77777777" w:rsidR="00C00A31" w:rsidRPr="00D226C8" w:rsidRDefault="00C00A31" w:rsidP="00F506A3">
      <w:pPr>
        <w:ind w:firstLine="720"/>
        <w:mirrorIndents/>
      </w:pPr>
    </w:p>
    <w:p w14:paraId="55C137D8" w14:textId="77777777" w:rsidR="00C00A31" w:rsidRPr="00D226C8" w:rsidRDefault="00C00A31" w:rsidP="00F506A3">
      <w:pPr>
        <w:ind w:left="720" w:right="720" w:firstLine="720"/>
        <w:mirrorIndents/>
      </w:pPr>
      <w:r w:rsidRPr="00D226C8">
        <w:t>The city of Cincinnati frankly conceded that forcible entry of third</w:t>
      </w:r>
      <w:r w:rsidRPr="00D226C8">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C00A31" w:rsidRPr="00D226C8" w:rsidRDefault="00C00A31" w:rsidP="00F506A3">
      <w:pPr>
        <w:ind w:firstLine="720"/>
        <w:mirrorIndents/>
      </w:pPr>
    </w:p>
    <w:p w14:paraId="373BABCF" w14:textId="77777777" w:rsidR="00C00A31" w:rsidRPr="00D226C8" w:rsidRDefault="00C00A31" w:rsidP="00F506A3">
      <w:pPr>
        <w:spacing w:after="240"/>
        <w:mirrorIndents/>
      </w:pPr>
      <w:r w:rsidRPr="00D226C8">
        <w:rPr>
          <w:i/>
          <w:iCs/>
        </w:rPr>
        <w:t>Pembaur</w:t>
      </w:r>
      <w:r w:rsidRPr="00D226C8">
        <w:t xml:space="preserve">, 475 U.S. at 485 (White, J., concurring in part and in the judgment).  Thus, the </w:t>
      </w:r>
      <w:r w:rsidRPr="00D226C8">
        <w:rPr>
          <w:i/>
          <w:iCs/>
        </w:rPr>
        <w:t>Jett</w:t>
      </w:r>
      <w:r w:rsidRPr="00D226C8">
        <w:t xml:space="preserve"> Court’s quote from Justice White’s </w:t>
      </w:r>
      <w:r w:rsidRPr="00D226C8">
        <w:rPr>
          <w:i/>
          <w:iCs/>
        </w:rPr>
        <w:t>Pembaur</w:t>
      </w:r>
      <w:r w:rsidRPr="00D226C8">
        <w:t xml:space="preserve"> opinion further supports the inference that the </w:t>
      </w:r>
      <w:r w:rsidRPr="00D226C8">
        <w:rPr>
          <w:i/>
          <w:iCs/>
        </w:rPr>
        <w:t>Jett</w:t>
      </w:r>
      <w:r w:rsidRPr="00D226C8">
        <w:t xml:space="preserve"> Court did not give sustained attention to the contours of the custom branch of the municipal-liability doctrine.</w:t>
      </w:r>
    </w:p>
  </w:footnote>
  <w:footnote w:id="76">
    <w:p w14:paraId="073AE8EA" w14:textId="77777777" w:rsidR="00C00A31" w:rsidRPr="00D226C8" w:rsidRDefault="00C00A31" w:rsidP="00F506A3">
      <w:pPr>
        <w:spacing w:after="240"/>
        <w:ind w:firstLine="720"/>
        <w:mirrorIndents/>
      </w:pPr>
      <w:r w:rsidRPr="00D226C8">
        <w:rPr>
          <w:rStyle w:val="FootnoteReference"/>
        </w:rPr>
        <w:footnoteRef/>
      </w:r>
      <w:r w:rsidRPr="00D226C8">
        <w:t xml:space="preserve">  The </w:t>
      </w:r>
      <w:r w:rsidRPr="00D226C8">
        <w:rPr>
          <w:i/>
          <w:iCs/>
        </w:rPr>
        <w:t>Baker</w:t>
      </w:r>
      <w:r w:rsidRPr="00D226C8">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sidRPr="00D226C8">
        <w:rPr>
          <w:i/>
          <w:iCs/>
        </w:rPr>
        <w:t xml:space="preserve">See id. </w:t>
      </w:r>
      <w:r w:rsidRPr="00D226C8">
        <w:t xml:space="preserve">at 1194; </w:t>
      </w:r>
      <w:r w:rsidRPr="00D226C8">
        <w:rPr>
          <w:i/>
          <w:iCs/>
        </w:rPr>
        <w:t xml:space="preserve">see also id. </w:t>
      </w:r>
      <w:r w:rsidRPr="00D226C8">
        <w:t>at 1195 (upholding dismissal of illegal search claims against city due to lack of evidence “that Monroe Township expressly or tacitly authorized either of the searches”).</w:t>
      </w:r>
    </w:p>
  </w:footnote>
  <w:footnote w:id="77">
    <w:p w14:paraId="7A05FBC5"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Andrews</w:t>
      </w:r>
      <w:r w:rsidRPr="00D226C8">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sidRPr="00D226C8">
        <w:rPr>
          <w:i/>
          <w:iCs/>
        </w:rPr>
        <w:t xml:space="preserve"> id.</w:t>
      </w:r>
      <w:r w:rsidRPr="00D226C8">
        <w:t xml:space="preserve"> at 1482 – a caveat that suggests the possibility that in such a case constructive knowledge might play a role in the acquiescence analysis.</w:t>
      </w:r>
    </w:p>
  </w:footnote>
  <w:footnote w:id="78">
    <w:p w14:paraId="5298BF8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Watson v. Abington Tp.</w:t>
      </w:r>
      <w:r w:rsidRPr="00D226C8">
        <w:t xml:space="preserve">, 478 F.3d 144, 156 (3d Cir. 2007) (citing </w:t>
      </w:r>
      <w:r w:rsidRPr="00D226C8">
        <w:rPr>
          <w:i/>
          <w:iCs/>
        </w:rPr>
        <w:t>Bielevicz</w:t>
      </w:r>
      <w:r w:rsidRPr="00D226C8">
        <w:t xml:space="preserve"> with approval on this point).  The </w:t>
      </w:r>
      <w:r w:rsidRPr="00D226C8">
        <w:rPr>
          <w:i/>
          <w:iCs/>
        </w:rPr>
        <w:t>Watson</w:t>
      </w:r>
      <w:r w:rsidRPr="00D226C8">
        <w:t xml:space="preserve"> court’s explanation of its rejection of the plaintiff’s municipal-liability claim seems compatible with a constructive-knowledge standard.  </w:t>
      </w:r>
      <w:r w:rsidRPr="00D226C8">
        <w:rPr>
          <w:i/>
          <w:iCs/>
        </w:rPr>
        <w:t>See Watson</w:t>
      </w:r>
      <w:r w:rsidRPr="00D226C8">
        <w:t xml:space="preserve">, 478 F.3d at 157 (rejecting a custom-based municipal liability claim because, inter alia, the plaintiffs failed to show “that what happened at the Scoreboard was so widespread that a decisionmaker must have known about it”). </w:t>
      </w:r>
    </w:p>
  </w:footnote>
  <w:footnote w:id="79">
    <w:p w14:paraId="48F9A8B1" w14:textId="77777777" w:rsidR="00C00A31" w:rsidRPr="00D226C8" w:rsidRDefault="00C00A31" w:rsidP="00F506A3">
      <w:pPr>
        <w:spacing w:after="240"/>
        <w:ind w:firstLine="720"/>
        <w:mirrorIndents/>
      </w:pPr>
      <w:r w:rsidRPr="00D226C8">
        <w:rPr>
          <w:rStyle w:val="FootnoteReference"/>
        </w:rPr>
        <w:footnoteRef/>
      </w:r>
      <w:r w:rsidRPr="00D226C8">
        <w:t xml:space="preserve">  See also </w:t>
      </w:r>
      <w:r w:rsidRPr="00D226C8">
        <w:rPr>
          <w:i/>
          <w:iCs/>
        </w:rPr>
        <w:t>Kneipp v. Tedder</w:t>
      </w:r>
      <w:r w:rsidRPr="00D226C8">
        <w:t xml:space="preserve">, 95 F.3d 1199, 1213 (3d Cir. 1996) (quoting </w:t>
      </w:r>
      <w:r w:rsidRPr="00D226C8">
        <w:rPr>
          <w:i/>
          <w:iCs/>
        </w:rPr>
        <w:t>Bielevicz</w:t>
      </w:r>
      <w:r w:rsidRPr="00D226C8">
        <w:t xml:space="preserve"> on this point).  Similarly, in </w:t>
      </w:r>
      <w:r w:rsidRPr="00D226C8">
        <w:rPr>
          <w:i/>
          <w:iCs/>
        </w:rPr>
        <w:t>Natale v. Camden County Correctional Facility</w:t>
      </w:r>
      <w:r w:rsidRPr="00D226C8">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sidRPr="00D226C8">
        <w:rPr>
          <w:i/>
          <w:iCs/>
        </w:rPr>
        <w:t>id.</w:t>
      </w:r>
      <w:r w:rsidRPr="00D226C8">
        <w:t xml:space="preserve"> at 584.</w:t>
      </w:r>
    </w:p>
  </w:footnote>
  <w:footnote w:id="80">
    <w:p w14:paraId="2CC95CAD" w14:textId="77777777" w:rsidR="00C00A31" w:rsidRPr="00D226C8" w:rsidRDefault="00C00A31" w:rsidP="00F506A3">
      <w:pPr>
        <w:spacing w:after="240"/>
        <w:ind w:firstLine="720"/>
        <w:mirrorIndents/>
      </w:pPr>
      <w:r w:rsidRPr="00D226C8">
        <w:rPr>
          <w:rStyle w:val="FootnoteReference"/>
        </w:rPr>
        <w:footnoteRef/>
      </w:r>
      <w:r w:rsidRPr="00D226C8">
        <w:t xml:space="preserve">  This language might be read to suggest that knowledge and acquiescence are merely one option for establishing a municipal custom.  Likewise, in </w:t>
      </w:r>
      <w:r w:rsidRPr="00D226C8">
        <w:rPr>
          <w:i/>
          <w:iCs/>
        </w:rPr>
        <w:t>Fletcher v. O'Donnell</w:t>
      </w:r>
      <w:r w:rsidRPr="00D226C8">
        <w:t xml:space="preserve">, 867 F.2d 791 (3d Cir. 1989), the court, writing a few months before </w:t>
      </w:r>
      <w:r w:rsidRPr="00D226C8">
        <w:rPr>
          <w:i/>
          <w:iCs/>
        </w:rPr>
        <w:t>Jett</w:t>
      </w:r>
      <w:r w:rsidRPr="00D226C8">
        <w:t xml:space="preserve"> was decided, stated that “[c]ustom may be established by proof of knowledge and acquiescence,” </w:t>
      </w:r>
      <w:r w:rsidRPr="00D226C8">
        <w:rPr>
          <w:i/>
          <w:iCs/>
        </w:rPr>
        <w:t>Fletcher</w:t>
      </w:r>
      <w:r w:rsidRPr="00D226C8">
        <w:t xml:space="preserve">, 867 F.2d at 793-94 (citing </w:t>
      </w:r>
      <w:r w:rsidRPr="00D226C8">
        <w:rPr>
          <w:i/>
          <w:iCs/>
        </w:rPr>
        <w:t>Pembaur</w:t>
      </w:r>
      <w:r w:rsidRPr="00D226C8">
        <w:t>, 475 U.S. at 481</w:t>
      </w:r>
      <w:r w:rsidRPr="00D226C8">
        <w:noBreakHyphen/>
        <w:t xml:space="preserve">82 n.10 (plurality opinion)) – an observation that arguably suggests there may also exist other means of showing custom.  As discussed in the text, however, the </w:t>
      </w:r>
      <w:r w:rsidRPr="00D226C8">
        <w:rPr>
          <w:i/>
          <w:iCs/>
        </w:rPr>
        <w:t>Beck</w:t>
      </w:r>
      <w:r w:rsidRPr="00D226C8">
        <w:t xml:space="preserve"> court seemed to focus its analysis on the question of actual or constructive knowledge.</w:t>
      </w:r>
    </w:p>
  </w:footnote>
  <w:footnote w:id="81">
    <w:p w14:paraId="43F53289" w14:textId="77777777" w:rsidR="00C00A31" w:rsidRPr="00D226C8" w:rsidRDefault="00C00A31" w:rsidP="00F506A3">
      <w:pPr>
        <w:spacing w:after="240"/>
        <w:ind w:firstLine="720"/>
        <w:mirrorIndents/>
      </w:pPr>
      <w:r w:rsidRPr="00D226C8">
        <w:rPr>
          <w:rStyle w:val="FootnoteReference"/>
        </w:rPr>
        <w:footnoteRef/>
      </w:r>
      <w:r w:rsidRPr="00D226C8">
        <w:t xml:space="preserve">  Similarly, when he advocated a “scienter” requirement in </w:t>
      </w:r>
      <w:r w:rsidRPr="00D226C8">
        <w:rPr>
          <w:i/>
          <w:iCs/>
        </w:rPr>
        <w:t>Simmons</w:t>
      </w:r>
      <w:r w:rsidRPr="00D226C8">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sidRPr="00D226C8">
        <w:rPr>
          <w:i/>
          <w:iCs/>
        </w:rPr>
        <w:t>Simmons</w:t>
      </w:r>
      <w:r w:rsidRPr="00D226C8">
        <w:t xml:space="preserve">, 947 F.2d at 1061 n.14 (quoting </w:t>
      </w:r>
      <w:r w:rsidRPr="00D226C8">
        <w:rPr>
          <w:i/>
          <w:iCs/>
        </w:rPr>
        <w:t>City of Canton v. Harris</w:t>
      </w:r>
      <w:r w:rsidRPr="00D226C8">
        <w:t xml:space="preserve">, 489 U.S. 378, 390 (1989)).  Judge Becker’s opinion did not provide details on the application of this standard to the </w:t>
      </w:r>
      <w:r w:rsidRPr="00D226C8">
        <w:rPr>
          <w:i/>
          <w:iCs/>
        </w:rPr>
        <w:t>Simmons</w:t>
      </w:r>
      <w:r w:rsidRPr="00D226C8">
        <w:t xml:space="preserve"> case, because he found that the City had waived “the argument that plaintiff failed to establish the essential ‘scienter’ element of her case.”  </w:t>
      </w:r>
      <w:r w:rsidRPr="00D226C8">
        <w:rPr>
          <w:i/>
          <w:iCs/>
        </w:rPr>
        <w:t>Id.</w:t>
      </w:r>
      <w:r w:rsidRPr="00D226C8">
        <w:t xml:space="preserve"> at 1066.  Chief Judge Sloviter wrote separately to explain, inter alia, her belief “that Judge Becker's emphasis on production by plaintiff of ‘scienter</w:t>
      </w:r>
      <w:r w:rsidRPr="00D226C8">
        <w:noBreakHyphen/>
        <w:t xml:space="preserve">like evidence’ when charging a municipality with deliberate indifference to deprivation of rights may impose on plaintiffs a heavier burden than mandated by the Supreme Court or prior decisions of this court.”  </w:t>
      </w:r>
      <w:r w:rsidRPr="00D226C8">
        <w:rPr>
          <w:i/>
          <w:iCs/>
        </w:rPr>
        <w:t>Id.</w:t>
      </w:r>
      <w:r w:rsidRPr="00D226C8">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sidRPr="00D226C8">
        <w:rPr>
          <w:i/>
          <w:iCs/>
        </w:rPr>
        <w:t>id.</w:t>
      </w:r>
      <w:r w:rsidRPr="00D226C8">
        <w:t xml:space="preserve"> at 1090, and she pointed out that a standard requiring “actual knowledge of the conditions by a municipal policymaker ... would put a premium on blinders,” </w:t>
      </w:r>
      <w:r w:rsidRPr="00D226C8">
        <w:rPr>
          <w:i/>
          <w:iCs/>
        </w:rPr>
        <w:t>id.</w:t>
      </w:r>
      <w:r w:rsidRPr="00D226C8">
        <w:t xml:space="preserve"> at 1091.</w:t>
      </w:r>
    </w:p>
  </w:footnote>
  <w:footnote w:id="82">
    <w:p w14:paraId="30A09BDF" w14:textId="77777777" w:rsidR="00C00A31" w:rsidRPr="00D226C8" w:rsidRDefault="00C00A31" w:rsidP="00F506A3">
      <w:pPr>
        <w:spacing w:after="240"/>
        <w:ind w:firstLine="720"/>
        <w:mirrorIndents/>
      </w:pPr>
      <w:r w:rsidRPr="00D226C8">
        <w:rPr>
          <w:rStyle w:val="FootnoteReference"/>
        </w:rPr>
        <w:footnoteRef/>
      </w:r>
      <w:r w:rsidRPr="00D226C8">
        <w:t xml:space="preserve">  See the Comment for a discussion of the reasons why this aspect of Instruction 4.6.7 diverges from the second element of the three-part test for deliberate indifference approved in </w:t>
      </w:r>
      <w:r w:rsidRPr="00D226C8">
        <w:rPr>
          <w:i/>
          <w:iCs/>
        </w:rPr>
        <w:t>Carter v. City of Philadelphia</w:t>
      </w:r>
      <w:r w:rsidRPr="00D226C8">
        <w:t>, 181 F.3d 339, 357 (3d Cir. 1999).</w:t>
      </w:r>
    </w:p>
  </w:footnote>
  <w:footnote w:id="83">
    <w:p w14:paraId="1C887548" w14:textId="77777777" w:rsidR="00C00A31" w:rsidRPr="00D226C8" w:rsidRDefault="00C00A31" w:rsidP="00F506A3">
      <w:pPr>
        <w:spacing w:after="240"/>
        <w:ind w:firstLine="720"/>
        <w:mirrorIndents/>
      </w:pPr>
      <w:r w:rsidRPr="00D226C8">
        <w:rPr>
          <w:rStyle w:val="FootnoteReference"/>
        </w:rPr>
        <w:footnoteRef/>
      </w:r>
      <w:r w:rsidRPr="00D226C8">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sidRPr="00D226C8">
        <w:rPr>
          <w:i/>
          <w:iCs/>
        </w:rPr>
        <w:t>Beck v. City of Pittsburgh</w:t>
      </w:r>
      <w:r w:rsidRPr="00D226C8">
        <w:t xml:space="preserve">, 89 F.3d 966, 974 (3d Cir. 1996) (quoting plaintiff’s reply brief, </w:t>
      </w:r>
      <w:r w:rsidRPr="00D226C8">
        <w:rPr>
          <w:i/>
          <w:iCs/>
        </w:rPr>
        <w:t>Beck v. City of Pittsburgh</w:t>
      </w:r>
      <w:r w:rsidRPr="00D226C8">
        <w:t>, No. 95</w:t>
      </w:r>
      <w:r w:rsidRPr="00D226C8">
        <w:noBreakHyphen/>
        <w:t>3328, 1995 WL 17147608, at *5).</w:t>
      </w:r>
    </w:p>
  </w:footnote>
  <w:footnote w:id="84">
    <w:p w14:paraId="3A0818A2" w14:textId="295A23A5" w:rsidR="00C00A31" w:rsidRDefault="00C00A31" w:rsidP="00F506A3">
      <w:pPr>
        <w:ind w:firstLine="720"/>
        <w:mirrorIndents/>
      </w:pPr>
      <w:r w:rsidRPr="00D226C8">
        <w:rPr>
          <w:rStyle w:val="FootnoteReference"/>
        </w:rPr>
        <w:footnoteRef/>
      </w:r>
      <w:r w:rsidRPr="00D226C8">
        <w:t xml:space="preserve">  The Third Circuit has held that the failure to adopt a needed policy can result in municipal liability in an appropriate case, and has analyzed that question of municipal liability using the deliberate indifference test.  </w:t>
      </w:r>
      <w:r w:rsidRPr="00D226C8">
        <w:rPr>
          <w:i/>
          <w:iCs/>
        </w:rPr>
        <w:t>See Natale v. Camden County Correctional Facility</w:t>
      </w:r>
      <w:r w:rsidRPr="00D226C8">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021648FC" w14:textId="77777777" w:rsidR="00C00A31" w:rsidRPr="00D226C8" w:rsidRDefault="00C00A31" w:rsidP="00F506A3">
      <w:pPr>
        <w:ind w:firstLine="720"/>
        <w:mirrorIndents/>
      </w:pPr>
    </w:p>
    <w:p w14:paraId="63A5D1A5" w14:textId="77777777" w:rsidR="00C00A31" w:rsidRPr="00D226C8" w:rsidRDefault="00C00A31" w:rsidP="00F506A3">
      <w:pPr>
        <w:spacing w:after="240"/>
        <w:ind w:firstLine="720"/>
        <w:mirrorIndents/>
      </w:pPr>
      <w:r w:rsidRPr="00D226C8">
        <w:t>The Third Circuit has declined to “recognize[] municipal liability for a constitutional violation because of failure to equip police officers with non</w:t>
      </w:r>
      <w:r w:rsidRPr="00D226C8">
        <w:noBreakHyphen/>
        <w:t xml:space="preserve">lethal weapons.”  </w:t>
      </w:r>
      <w:r w:rsidRPr="00D226C8">
        <w:rPr>
          <w:i/>
          <w:iCs/>
        </w:rPr>
        <w:t>Carswell v. Borough of Homestead</w:t>
      </w:r>
      <w:r w:rsidRPr="00D226C8">
        <w:t>, 381 F.3d 235, 245 (3d Cir. 2004) (“We decline to [recognize such liability] on the record before us.”).</w:t>
      </w:r>
    </w:p>
  </w:footnote>
  <w:footnote w:id="85">
    <w:p w14:paraId="6B689C20" w14:textId="77777777" w:rsidR="00C00A31" w:rsidRPr="00D226C8" w:rsidRDefault="00C00A31" w:rsidP="00F506A3">
      <w:pPr>
        <w:ind w:firstLine="720"/>
        <w:mirrorIndents/>
      </w:pPr>
      <w:r w:rsidRPr="00D226C8">
        <w:rPr>
          <w:rStyle w:val="FootnoteReference"/>
        </w:rPr>
        <w:footnoteRef/>
      </w:r>
      <w:r w:rsidRPr="00D226C8">
        <w:t xml:space="preserve">  “If . . . the policy or custom does not facially violate federal law, causation can be established only by ‘demonstrat[ing] that the municipal action was taken with “deliberate indifference” as to its known or obvious consequences.’”  </w:t>
      </w:r>
      <w:r w:rsidRPr="00D226C8">
        <w:rPr>
          <w:i/>
          <w:iCs/>
        </w:rPr>
        <w:t>Berg v. County of Allegheny</w:t>
      </w:r>
      <w:r w:rsidRPr="00D226C8">
        <w:t xml:space="preserve">, 219 F.3d 261, 276 (3d Cir. 2000) (quoting </w:t>
      </w:r>
      <w:r w:rsidRPr="00D226C8">
        <w:rPr>
          <w:i/>
          <w:iCs/>
        </w:rPr>
        <w:t>Board of County Com'rs of Bryan County, Okl. v. Brown</w:t>
      </w:r>
      <w:r w:rsidRPr="00D226C8">
        <w:t>, 520 U.S. 397, 407 (1997)).</w:t>
      </w:r>
    </w:p>
    <w:p w14:paraId="273A7B20" w14:textId="77777777" w:rsidR="00C00A31" w:rsidRPr="00D226C8" w:rsidRDefault="00C00A31" w:rsidP="00F506A3">
      <w:pPr>
        <w:spacing w:after="240"/>
        <w:ind w:firstLine="720"/>
        <w:mirrorIndents/>
      </w:pPr>
    </w:p>
  </w:footnote>
  <w:footnote w:id="86">
    <w:p w14:paraId="09924C13"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Doe v. Luzerne County</w:t>
      </w:r>
      <w:r w:rsidRPr="00D226C8">
        <w:t>, 660 F.3d 169 (3d Cir. 2011) – a post</w:t>
      </w:r>
      <w:r w:rsidRPr="00D226C8">
        <w:noBreakHyphen/>
      </w:r>
      <w:r w:rsidRPr="00D226C8">
        <w:rPr>
          <w:i/>
          <w:iCs/>
        </w:rPr>
        <w:t>Connick</w:t>
      </w:r>
      <w:r w:rsidRPr="00D226C8">
        <w:t xml:space="preserve"> decision – the Court of Appeals quoted </w:t>
      </w:r>
      <w:r w:rsidRPr="00D226C8">
        <w:rPr>
          <w:i/>
          <w:iCs/>
        </w:rPr>
        <w:t>Carter</w:t>
      </w:r>
      <w:r w:rsidRPr="00D226C8">
        <w:t>’s three</w:t>
      </w:r>
      <w:r w:rsidRPr="00D226C8">
        <w:noBreakHyphen/>
        <w:t xml:space="preserve">part test and held that the evidence, taken in the light most favorable to the plaintiff, would not support a finding of municipal liability under that test.  </w:t>
      </w:r>
      <w:r w:rsidRPr="00D226C8">
        <w:rPr>
          <w:i/>
          <w:iCs/>
        </w:rPr>
        <w:t>See Doe</w:t>
      </w:r>
      <w:r w:rsidRPr="00D226C8">
        <w:t>, 660 F.3d at 179-80.</w:t>
      </w:r>
    </w:p>
  </w:footnote>
  <w:footnote w:id="87">
    <w:p w14:paraId="4C7D3963" w14:textId="77777777" w:rsidR="00C00A31" w:rsidRPr="00D226C8" w:rsidRDefault="00C00A31" w:rsidP="00F506A3">
      <w:pPr>
        <w:spacing w:after="240"/>
        <w:ind w:firstLine="720"/>
        <w:mirrorIndents/>
      </w:pPr>
      <w:r w:rsidRPr="00D226C8">
        <w:rPr>
          <w:rStyle w:val="FootnoteReference"/>
        </w:rPr>
        <w:footnoteRef/>
      </w:r>
      <w:r w:rsidRPr="00D226C8">
        <w:t xml:space="preserve">  The Court in </w:t>
      </w:r>
      <w:r w:rsidRPr="00D226C8">
        <w:rPr>
          <w:i/>
          <w:iCs/>
        </w:rPr>
        <w:t>Brown</w:t>
      </w:r>
      <w:r w:rsidRPr="00D226C8">
        <w:t xml:space="preserve"> argued that it was not imposing a heightened test for inadequate screening cases.  </w:t>
      </w:r>
      <w:r w:rsidRPr="00D226C8">
        <w:rPr>
          <w:i/>
          <w:iCs/>
        </w:rPr>
        <w:t>See Board of County Com'rs of Bryan County, Okl. v. Brown</w:t>
      </w:r>
      <w:r w:rsidRPr="00D226C8">
        <w:t xml:space="preserve">, 520 U.S. 397, 413 n.1 (1997) (“We do not suggest that a plaintiff in an inadequate screening case must show a higher degree of culpability than the ‘deliberate indifference’ required in </w:t>
      </w:r>
      <w:r w:rsidRPr="00D226C8">
        <w:rPr>
          <w:i/>
          <w:iCs/>
        </w:rPr>
        <w:t>Canton</w:t>
      </w:r>
      <w:r w:rsidRPr="00D226C8">
        <w:t xml:space="preserve"> . . . ; we need not do so, because, as discussed below, respondent has not made a showing of deliberate indifference here.”).  However, as discussed in the text of this Comment, the Court’s holding and reasoning in </w:t>
      </w:r>
      <w:r w:rsidRPr="00D226C8">
        <w:rPr>
          <w:i/>
          <w:iCs/>
        </w:rPr>
        <w:t>Brown</w:t>
      </w:r>
      <w:r w:rsidRPr="00D226C8">
        <w:t xml:space="preserve"> reflect a stringent application of the deliberate indifference test.</w:t>
      </w:r>
    </w:p>
  </w:footnote>
  <w:footnote w:id="88">
    <w:p w14:paraId="7B0F658D"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Light v. Haws</w:t>
      </w:r>
      <w:r w:rsidRPr="00D226C8">
        <w:t>, 472 F.3d 74, 78 (3d Cir. 2007) (holding that Assistant Counsel for the Pennsylvania Department of Environmental Protection, when “filing actions to enforce compliance with court orders. . . . [,] functions as a prosecutor”).</w:t>
      </w:r>
    </w:p>
  </w:footnote>
  <w:footnote w:id="89">
    <w:p w14:paraId="18B7C338" w14:textId="77777777" w:rsidR="00C00A31" w:rsidRPr="00D226C8" w:rsidRDefault="00C00A31" w:rsidP="00F506A3">
      <w:pPr>
        <w:ind w:firstLine="720"/>
        <w:mirrorIndents/>
      </w:pPr>
      <w:r w:rsidRPr="00D226C8">
        <w:rPr>
          <w:rStyle w:val="FootnoteReference"/>
        </w:rPr>
        <w:footnoteRef/>
      </w:r>
      <w:r w:rsidRPr="00D226C8">
        <w:t xml:space="preserve">  </w:t>
      </w:r>
      <w:r w:rsidRPr="00D226C8">
        <w:rPr>
          <w:i/>
          <w:iCs/>
        </w:rPr>
        <w:t>See also Kalina v. Fletcher</w:t>
      </w:r>
      <w:r w:rsidRPr="00D226C8">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sidRPr="00D226C8">
        <w:rPr>
          <w:i/>
          <w:iCs/>
        </w:rPr>
        <w:t>Reitz v. County of Bucks</w:t>
      </w:r>
      <w:r w:rsidRPr="00D226C8">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14:paraId="5CC8EB85" w14:textId="77777777" w:rsidR="00C00A31" w:rsidRPr="00D226C8" w:rsidRDefault="00C00A31" w:rsidP="00F506A3">
      <w:pPr>
        <w:ind w:firstLine="720"/>
        <w:mirrorIndents/>
      </w:pPr>
    </w:p>
    <w:p w14:paraId="05EBC58A" w14:textId="74738257" w:rsidR="00C00A31" w:rsidRPr="00D226C8" w:rsidRDefault="00C00A31" w:rsidP="00F506A3">
      <w:pPr>
        <w:ind w:firstLine="720"/>
        <w:mirrorIndents/>
      </w:pPr>
      <w:r w:rsidRPr="00D226C8">
        <w:t xml:space="preserve">In </w:t>
      </w:r>
      <w:r w:rsidRPr="00D226C8">
        <w:rPr>
          <w:i/>
          <w:iCs/>
        </w:rPr>
        <w:t>Odd v. Malone</w:t>
      </w:r>
      <w:r w:rsidRPr="00D226C8">
        <w:t>, 538 F.3d 202 (3d Cir. 2008), “prosecuting attorneys obtained bench</w:t>
      </w:r>
      <w:r>
        <w:t xml:space="preserve"> </w:t>
      </w:r>
      <w:r w:rsidRPr="00D226C8">
        <w:t>warrants to detain material witnesses whose testimony was vital to murder prosecutions.</w:t>
      </w:r>
      <w:r>
        <w:t xml:space="preserve"> </w:t>
      </w:r>
      <w:r w:rsidRPr="00D226C8">
        <w:t>Although the attorneys diligently obtained the warrants, they neglected to keep the courts</w:t>
      </w:r>
      <w:r>
        <w:t xml:space="preserve"> </w:t>
      </w:r>
      <w:r w:rsidRPr="00D226C8">
        <w:t xml:space="preserve">informed of the progress of the criminal proceedings and the custodial status of the witnesses.” </w:t>
      </w:r>
      <w:r w:rsidRPr="00D226C8">
        <w:rPr>
          <w:i/>
          <w:iCs/>
        </w:rPr>
        <w:t>Id</w:t>
      </w:r>
      <w:r w:rsidRPr="00D226C8">
        <w:t xml:space="preserve">. at 205.  The Court of Appeals held that a prosecutor sued “for failing to notify the relevant authorities that the proceedings in which the detained individual was to testify had been continued for nearly four months,” </w:t>
      </w:r>
      <w:r w:rsidRPr="00D226C8">
        <w:rPr>
          <w:i/>
          <w:iCs/>
        </w:rPr>
        <w:t>id</w:t>
      </w:r>
      <w:r w:rsidRPr="00D226C8">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sidRPr="00D226C8">
        <w:rPr>
          <w:i/>
          <w:iCs/>
        </w:rPr>
        <w:t>Id</w:t>
      </w:r>
      <w:r w:rsidRPr="00D226C8">
        <w:t>. at 212</w:t>
      </w:r>
      <w:r w:rsidRPr="00D226C8">
        <w:noBreakHyphen/>
        <w:t xml:space="preserve">13.  The </w:t>
      </w:r>
      <w:r w:rsidRPr="00D226C8">
        <w:rPr>
          <w:i/>
          <w:iCs/>
        </w:rPr>
        <w:t xml:space="preserve">Odd </w:t>
      </w:r>
      <w:r w:rsidRPr="00D226C8">
        <w:t xml:space="preserve">court also held (a fortiori) that a different prosecutor sued “for failing to notify the relevant authorities that the material witness remained incarcerated after the case in which he was to testify had been dismissed,” </w:t>
      </w:r>
      <w:r w:rsidRPr="00D226C8">
        <w:rPr>
          <w:i/>
          <w:iCs/>
        </w:rPr>
        <w:t>id</w:t>
      </w:r>
      <w:r w:rsidRPr="00D226C8">
        <w:t xml:space="preserve">. at 205, lacked absolute prosecutorial immunity.  </w:t>
      </w:r>
      <w:r w:rsidRPr="00D226C8">
        <w:rPr>
          <w:i/>
          <w:iCs/>
        </w:rPr>
        <w:t xml:space="preserve">See id. </w:t>
      </w:r>
      <w:r w:rsidRPr="00D226C8">
        <w:t xml:space="preserve">at 215.  In </w:t>
      </w:r>
      <w:r w:rsidRPr="00D226C8">
        <w:rPr>
          <w:i/>
          <w:iCs/>
        </w:rPr>
        <w:t>Schneyder v. Smith</w:t>
      </w:r>
      <w:r w:rsidRPr="00D226C8">
        <w:t xml:space="preserve">, 653 F.3d 313 (3d Cir. 2011), the Court of Appeals on a subsequent appeal adhered to its ruling that the prosecutor who allegedly failed to inform the court of the trial continuance lacked absolute immunity, </w:t>
      </w:r>
      <w:r w:rsidRPr="00D226C8">
        <w:rPr>
          <w:i/>
          <w:iCs/>
        </w:rPr>
        <w:t xml:space="preserve">see id. </w:t>
      </w:r>
      <w:r w:rsidRPr="00D226C8">
        <w:t xml:space="preserve">at 333-34.  The </w:t>
      </w:r>
      <w:r w:rsidRPr="00D226C8">
        <w:rPr>
          <w:i/>
          <w:iCs/>
        </w:rPr>
        <w:t xml:space="preserve">Schneyder </w:t>
      </w:r>
      <w:r w:rsidRPr="00D226C8">
        <w:t xml:space="preserve">court reasoned that its ruling in </w:t>
      </w:r>
      <w:r w:rsidRPr="00D226C8">
        <w:rPr>
          <w:i/>
          <w:iCs/>
        </w:rPr>
        <w:t xml:space="preserve">Odd </w:t>
      </w:r>
      <w:r w:rsidRPr="00D226C8">
        <w:t xml:space="preserve">was consistent with the Supreme Court’s subsequent decision in </w:t>
      </w:r>
      <w:r w:rsidRPr="00D226C8">
        <w:rPr>
          <w:i/>
          <w:iCs/>
        </w:rPr>
        <w:t>Van de Kamp v. Goldstein</w:t>
      </w:r>
      <w:r w:rsidRPr="00D226C8">
        <w:t xml:space="preserve">, 129 S. Ct. 855 (2009).  Under </w:t>
      </w:r>
      <w:r w:rsidRPr="00D226C8">
        <w:rPr>
          <w:i/>
          <w:iCs/>
        </w:rPr>
        <w:t>Van de Kamp</w:t>
      </w:r>
      <w:r w:rsidRPr="00D226C8">
        <w:t xml:space="preserve">, “some administrative functions relate directly to the conduct of a criminal trial and are thus protected, while others ... are connected to trial only distantly (if at all) and are therefore not subject to immunity.”  </w:t>
      </w:r>
      <w:r w:rsidRPr="00D226C8">
        <w:rPr>
          <w:i/>
          <w:iCs/>
        </w:rPr>
        <w:t>Schneyder</w:t>
      </w:r>
      <w:r w:rsidRPr="00D226C8">
        <w:t xml:space="preserve">, 653 F.3d at 334.  The </w:t>
      </w:r>
      <w:r w:rsidRPr="00D226C8">
        <w:rPr>
          <w:i/>
          <w:iCs/>
        </w:rPr>
        <w:t xml:space="preserve">Schneyder </w:t>
      </w:r>
      <w:r w:rsidRPr="00D226C8">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sidRPr="00D226C8">
        <w:rPr>
          <w:i/>
          <w:iCs/>
        </w:rPr>
        <w:t>Van de Kamp</w:t>
      </w:r>
      <w:r w:rsidRPr="00D226C8">
        <w:t xml:space="preserve">.”  </w:t>
      </w:r>
      <w:r w:rsidRPr="00D226C8">
        <w:rPr>
          <w:i/>
          <w:iCs/>
        </w:rPr>
        <w:t>Schneyder</w:t>
      </w:r>
      <w:r w:rsidRPr="00D226C8">
        <w:t>, 653 F.3d at 334.</w:t>
      </w:r>
    </w:p>
    <w:p w14:paraId="4105F3F5" w14:textId="77777777" w:rsidR="00C00A31" w:rsidRPr="00D226C8" w:rsidRDefault="00C00A31" w:rsidP="00F506A3">
      <w:pPr>
        <w:ind w:firstLine="720"/>
        <w:mirrorIndents/>
      </w:pPr>
    </w:p>
  </w:footnote>
  <w:footnote w:id="90">
    <w:p w14:paraId="1C6CDA05" w14:textId="77777777" w:rsidR="00C00A31" w:rsidRPr="00D226C8" w:rsidRDefault="00C00A31" w:rsidP="00F506A3">
      <w:pPr>
        <w:spacing w:after="240"/>
        <w:ind w:firstLine="720"/>
        <w:mirrorIndents/>
      </w:pPr>
      <w:r w:rsidRPr="00D226C8">
        <w:rPr>
          <w:rStyle w:val="FootnoteReference"/>
        </w:rPr>
        <w:footnoteRef/>
      </w:r>
      <w:r w:rsidRPr="00D226C8">
        <w:t xml:space="preserve">  Judges also now possess a statutory immunity from claims for injunctive relief.  </w:t>
      </w:r>
      <w:r w:rsidRPr="00D226C8">
        <w:rPr>
          <w:i/>
          <w:iCs/>
        </w:rPr>
        <w:t>See</w:t>
      </w:r>
      <w:r w:rsidRPr="00D226C8">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91">
    <w:p w14:paraId="16F4A765" w14:textId="77777777" w:rsidR="00C00A31" w:rsidRPr="00D226C8" w:rsidRDefault="00C00A31" w:rsidP="00F506A3">
      <w:pPr>
        <w:spacing w:after="240"/>
        <w:ind w:firstLine="720"/>
        <w:mirrorIndents/>
      </w:pPr>
      <w:r w:rsidRPr="00D226C8">
        <w:rPr>
          <w:rStyle w:val="FootnoteReference"/>
        </w:rPr>
        <w:footnoteRef/>
      </w:r>
      <w:r w:rsidRPr="00D226C8">
        <w:t xml:space="preserve">  Under the doctrine of “quasi-judicial” immunity, “government actors whose acts are relevantly similar to judging are immune from suit.”  </w:t>
      </w:r>
      <w:r w:rsidRPr="00D226C8">
        <w:rPr>
          <w:i/>
          <w:iCs/>
        </w:rPr>
        <w:t>Dotzel v. Ashbridge</w:t>
      </w:r>
      <w:r w:rsidRPr="00D226C8">
        <w:t xml:space="preserve">, 438 F.3d 320, 325 (3d Cir. 2006); </w:t>
      </w:r>
      <w:r w:rsidRPr="00D226C8">
        <w:rPr>
          <w:i/>
          <w:iCs/>
        </w:rPr>
        <w:t>see id.</w:t>
      </w:r>
      <w:r w:rsidRPr="00D226C8">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sidRPr="00D226C8">
        <w:rPr>
          <w:i/>
          <w:iCs/>
        </w:rPr>
        <w:t>id.</w:t>
      </w:r>
      <w:r w:rsidRPr="00D226C8">
        <w:t xml:space="preserve"> at 327 (stressing the need to “closely and carefully examine the functions performed by the board in each case”); </w:t>
      </w:r>
      <w:r w:rsidRPr="00D226C8">
        <w:rPr>
          <w:i/>
          <w:iCs/>
        </w:rPr>
        <w:t>Capogrosso v. Supreme Court of New Jersey</w:t>
      </w:r>
      <w:r w:rsidRPr="00D226C8">
        <w:t xml:space="preserve">, 588 F.3d 180, 185 (3d Cir. 2009) (holding that individual-capacity claims against Director and Disciplinary Counsel for New Jersey Advisory Committee on Judicial Conduct were barred by quasi-judicial immunity); </w:t>
      </w:r>
      <w:r w:rsidRPr="00D226C8">
        <w:rPr>
          <w:i/>
          <w:iCs/>
        </w:rPr>
        <w:t>Keystone Redev. Partners, LLC v. Decker</w:t>
      </w:r>
      <w:r w:rsidRPr="00D226C8">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92">
    <w:p w14:paraId="42C67C4C" w14:textId="77777777" w:rsidR="00C00A31" w:rsidRPr="00D226C8" w:rsidRDefault="00C00A31" w:rsidP="00F506A3">
      <w:pPr>
        <w:spacing w:after="240"/>
        <w:ind w:firstLine="720"/>
        <w:mirrorIndents/>
      </w:pPr>
      <w:r w:rsidRPr="00D226C8">
        <w:rPr>
          <w:rStyle w:val="FootnoteReference"/>
        </w:rPr>
        <w:footnoteRef/>
      </w:r>
      <w:r w:rsidRPr="00D226C8">
        <w:t xml:space="preserve">  The </w:t>
      </w:r>
      <w:r w:rsidRPr="00D226C8">
        <w:rPr>
          <w:i/>
          <w:iCs/>
        </w:rPr>
        <w:t>Bogan</w:t>
      </w:r>
      <w:r w:rsidRPr="00D226C8">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sidRPr="00D226C8">
        <w:rPr>
          <w:i/>
          <w:iCs/>
        </w:rPr>
        <w:t>substance</w:t>
      </w:r>
      <w:r w:rsidRPr="00D226C8">
        <w:t xml:space="preserve">. We need not determine whether the formally legislative character of petitioners' actions is alone sufficient to entitle petitioners to legislative immunity, because here the ordinance, in substance, bore all the hallmarks of traditional legislation.”  </w:t>
      </w:r>
      <w:r w:rsidRPr="00D226C8">
        <w:rPr>
          <w:i/>
          <w:iCs/>
        </w:rPr>
        <w:t>Bogan</w:t>
      </w:r>
      <w:r w:rsidRPr="00D226C8">
        <w:t xml:space="preserve">, 523 U.S. at 55. </w:t>
      </w:r>
    </w:p>
  </w:footnote>
  <w:footnote w:id="93">
    <w:p w14:paraId="539B48B3" w14:textId="77777777" w:rsidR="00C00A31" w:rsidRPr="00D226C8" w:rsidRDefault="00C00A31" w:rsidP="00F506A3">
      <w:pPr>
        <w:ind w:firstLine="720"/>
        <w:mirrorIndents/>
      </w:pPr>
      <w:r w:rsidRPr="00D226C8">
        <w:rPr>
          <w:rStyle w:val="FootnoteReference"/>
        </w:rPr>
        <w:footnoteRef/>
      </w:r>
      <w:r w:rsidRPr="00D226C8">
        <w:t xml:space="preserve">  The Court of Appeals stated (in a case concerning claims against state legislators) that </w:t>
      </w:r>
      <w:r w:rsidRPr="00D226C8">
        <w:rPr>
          <w:i/>
          <w:iCs/>
        </w:rPr>
        <w:t>Bogan</w:t>
      </w:r>
    </w:p>
    <w:p w14:paraId="0740D3BF" w14:textId="77777777" w:rsidR="00C00A31" w:rsidRPr="00D226C8" w:rsidRDefault="00C00A31" w:rsidP="00F506A3">
      <w:pPr>
        <w:ind w:firstLine="720"/>
        <w:mirrorIndents/>
      </w:pPr>
    </w:p>
    <w:p w14:paraId="5D07FC42" w14:textId="77777777" w:rsidR="00C00A31" w:rsidRPr="00D226C8" w:rsidRDefault="00C00A31" w:rsidP="00F506A3">
      <w:pPr>
        <w:ind w:left="720" w:right="720"/>
        <w:mirrorIndents/>
      </w:pPr>
      <w:r w:rsidRPr="00D226C8">
        <w:t>casts doubt on the propriety of using any separate test to examine municipal</w:t>
      </w:r>
      <w:r w:rsidRPr="00D226C8">
        <w:noBreakHyphen/>
        <w:t xml:space="preserve">level legislative immunity, </w:t>
      </w:r>
      <w:r w:rsidRPr="00D226C8">
        <w:rPr>
          <w:i/>
          <w:iCs/>
        </w:rPr>
        <w:t>see Bogan</w:t>
      </w:r>
      <w:r w:rsidRPr="00D226C8">
        <w:t>, 523 U.S. at 49 . . .  (holding that local legislators are ‘likewise’ absolutely immune from suit under § 1983), particularly a two</w:t>
      </w:r>
      <w:r w:rsidRPr="00D226C8">
        <w:noBreakHyphen/>
        <w:t xml:space="preserve">part, substance/procedure test, </w:t>
      </w:r>
      <w:r w:rsidRPr="00D226C8">
        <w:rPr>
          <w:i/>
          <w:iCs/>
        </w:rPr>
        <w:t xml:space="preserve">id. </w:t>
      </w:r>
      <w:r w:rsidRPr="00D226C8">
        <w:t>at 55 . . . (refusing to require that an act must be ‘legislative in substance’ as well as of ‘formally legislative character’ in order to be a legislative act).</w:t>
      </w:r>
    </w:p>
    <w:p w14:paraId="166560D2" w14:textId="77777777" w:rsidR="00C00A31" w:rsidRPr="00D226C8" w:rsidRDefault="00C00A31" w:rsidP="00F506A3">
      <w:pPr>
        <w:ind w:firstLine="720"/>
        <w:mirrorIndents/>
      </w:pPr>
    </w:p>
    <w:p w14:paraId="4A4020E5" w14:textId="77777777" w:rsidR="00C00A31" w:rsidRPr="00D226C8" w:rsidRDefault="00C00A31" w:rsidP="00F506A3">
      <w:pPr>
        <w:spacing w:after="240"/>
        <w:mirrorIndents/>
      </w:pPr>
      <w:r w:rsidRPr="00D226C8">
        <w:rPr>
          <w:i/>
          <w:iCs/>
        </w:rPr>
        <w:t>Youngblood v. DeWeese</w:t>
      </w:r>
      <w:r w:rsidRPr="00D226C8">
        <w:t xml:space="preserve">, 352 F.3d 836, 841 n.4 (2004); </w:t>
      </w:r>
      <w:r w:rsidRPr="00D226C8">
        <w:rPr>
          <w:i/>
          <w:iCs/>
        </w:rPr>
        <w:t>see also Fowler</w:t>
      </w:r>
      <w:r w:rsidRPr="00D226C8">
        <w:rPr>
          <w:i/>
          <w:iCs/>
        </w:rPr>
        <w:noBreakHyphen/>
        <w:t>Nash v. Democratic Caucus of Pa. House of Representatives</w:t>
      </w:r>
      <w:r w:rsidRPr="00D226C8">
        <w:t xml:space="preserve">, 469 F.3d 328, 339 (3d Cir. 2006) (stating, in a suit against state officials, that the </w:t>
      </w:r>
      <w:r w:rsidRPr="00D226C8">
        <w:rPr>
          <w:i/>
          <w:iCs/>
        </w:rPr>
        <w:t>Bogan</w:t>
      </w:r>
      <w:r w:rsidRPr="00D226C8">
        <w:t xml:space="preserve"> Court “refused to insist that formally legislative acts, such as passing legislation, also be ‘legislative in </w:t>
      </w:r>
      <w:r w:rsidRPr="00D226C8">
        <w:rPr>
          <w:i/>
          <w:iCs/>
        </w:rPr>
        <w:t>substance</w:t>
      </w:r>
      <w:r w:rsidRPr="00D226C8">
        <w:t>’”).</w:t>
      </w:r>
    </w:p>
  </w:footnote>
  <w:footnote w:id="94">
    <w:p w14:paraId="193ACB68" w14:textId="77777777" w:rsidR="00C00A31" w:rsidRPr="00D226C8" w:rsidRDefault="00C00A31" w:rsidP="00F506A3">
      <w:pPr>
        <w:spacing w:after="240"/>
        <w:ind w:firstLine="720"/>
        <w:mirrorIndents/>
      </w:pPr>
      <w:r w:rsidRPr="00D226C8">
        <w:rPr>
          <w:rStyle w:val="FootnoteReference"/>
        </w:rPr>
        <w:footnoteRef/>
      </w:r>
      <w:r w:rsidRPr="00D226C8">
        <w:t xml:space="preserve">  Prior to </w:t>
      </w:r>
      <w:r w:rsidRPr="00D226C8">
        <w:rPr>
          <w:i/>
          <w:iCs/>
        </w:rPr>
        <w:t>Baraka</w:t>
      </w:r>
      <w:r w:rsidRPr="00D226C8">
        <w:t xml:space="preserve">, the Court of Appeals had observed in </w:t>
      </w:r>
      <w:r w:rsidRPr="00D226C8">
        <w:rPr>
          <w:i/>
          <w:iCs/>
        </w:rPr>
        <w:t>Fowler</w:t>
      </w:r>
      <w:r w:rsidRPr="00D226C8">
        <w:rPr>
          <w:i/>
          <w:iCs/>
        </w:rPr>
        <w:noBreakHyphen/>
        <w:t>Nash v. Democratic Caucus of Pa. House of Representatives</w:t>
      </w:r>
      <w:r w:rsidRPr="00D226C8">
        <w:t xml:space="preserve">, 469 F.3d 328, 338 (3d Cir. 2006), that cases concerning local officials can be “instructive” in the court’s analysis of whether a state official’s actions were legislative in nature.  </w:t>
      </w:r>
      <w:r w:rsidRPr="00D226C8">
        <w:rPr>
          <w:i/>
          <w:iCs/>
        </w:rPr>
        <w:t xml:space="preserve">See also id. </w:t>
      </w:r>
      <w:r w:rsidRPr="00D226C8">
        <w:t xml:space="preserve">at 332 (describing the “functional” test for legislative immunity); </w:t>
      </w:r>
      <w:r w:rsidRPr="00D226C8">
        <w:rPr>
          <w:i/>
          <w:iCs/>
        </w:rPr>
        <w:t>id.</w:t>
      </w:r>
      <w:r w:rsidRPr="00D226C8">
        <w:t xml:space="preserve"> at 340 (holding that firing of state representative’s legislative assistant was administrative rather than legislative act).  And another post-</w:t>
      </w:r>
      <w:r w:rsidRPr="00D226C8">
        <w:rPr>
          <w:i/>
          <w:iCs/>
        </w:rPr>
        <w:t>Larsen</w:t>
      </w:r>
      <w:r w:rsidRPr="00D226C8">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sidRPr="00D226C8">
        <w:rPr>
          <w:i/>
          <w:iCs/>
        </w:rPr>
        <w:t>See</w:t>
      </w:r>
      <w:r w:rsidRPr="00D226C8">
        <w:t xml:space="preserve"> </w:t>
      </w:r>
      <w:r w:rsidRPr="00D226C8">
        <w:rPr>
          <w:i/>
          <w:iCs/>
        </w:rPr>
        <w:t>Gallas v. Supreme Court of Pennsylvania</w:t>
      </w:r>
      <w:r w:rsidRPr="00D226C8">
        <w:t xml:space="preserve">, 211 F.3d 760, 776-77 (3d Cir. 2000).  </w:t>
      </w:r>
      <w:r w:rsidRPr="00D226C8">
        <w:rPr>
          <w:i/>
          <w:iCs/>
        </w:rPr>
        <w:t>Gallas</w:t>
      </w:r>
      <w:r w:rsidRPr="00D226C8">
        <w:t xml:space="preserve"> involved a question of legislative immunity because the plaintiff challenged a Pennsylvania Supreme Court order that eliminated the position of Executive Administrator of the First Judicial District of Pennsylvania.  </w:t>
      </w:r>
      <w:r w:rsidRPr="00D226C8">
        <w:rPr>
          <w:i/>
          <w:iCs/>
        </w:rPr>
        <w:t>See id.</w:t>
      </w:r>
      <w:r w:rsidRPr="00D226C8">
        <w:t xml:space="preserve"> at 766.</w:t>
      </w:r>
    </w:p>
  </w:footnote>
  <w:footnote w:id="95">
    <w:p w14:paraId="7F9A22EE"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Compare Malley v. Briggs</w:t>
      </w:r>
      <w:r w:rsidRPr="00D226C8">
        <w:t>, 475 U.S. 335, 344 (1986) (no absolute immunity for a police officer in connection with claim that his “request for a warrant allegedly caused an unconstitutional arrest”).</w:t>
      </w:r>
    </w:p>
  </w:footnote>
  <w:footnote w:id="96">
    <w:p w14:paraId="0EA6F81E" w14:textId="77777777" w:rsidR="00C00A31" w:rsidRPr="00563443" w:rsidRDefault="00C00A31" w:rsidP="00F506A3">
      <w:pPr>
        <w:shd w:val="clear" w:color="auto" w:fill="FFFFFF" w:themeFill="background1"/>
        <w:spacing w:after="240"/>
        <w:ind w:firstLine="720"/>
        <w:mirrorIndents/>
      </w:pPr>
      <w:r w:rsidRPr="00FE1314">
        <w:rPr>
          <w:rStyle w:val="FootnoteReference"/>
        </w:rPr>
        <w:footnoteRef/>
      </w:r>
      <w:r w:rsidRPr="00FE1314">
        <w:rPr>
          <w:vertAlign w:val="superscript"/>
        </w:rPr>
        <w:t xml:space="preserve"> </w:t>
      </w:r>
      <w:r w:rsidRPr="00563443">
        <w:t xml:space="preserve"> Violation of a clearly established </w:t>
      </w:r>
      <w:r w:rsidRPr="00563443">
        <w:rPr>
          <w:i/>
        </w:rPr>
        <w:t>state-law</w:t>
      </w:r>
      <w:r w:rsidRPr="00563443">
        <w:t xml:space="preserve"> right does not defeat qualified immunity regarding the violation of federal law. </w:t>
      </w:r>
      <w:r w:rsidRPr="00563443">
        <w:rPr>
          <w:i/>
        </w:rPr>
        <w:t>Davis v. Scherer</w:t>
      </w:r>
      <w:r w:rsidRPr="00563443">
        <w:t xml:space="preserve">, 468 U.S. 183, 194 (1984). Nor do actions contrary to the officer’s training themselves “negate qualified immunity where it would otherwise be warranted.”  </w:t>
      </w:r>
      <w:r w:rsidRPr="00563443">
        <w:rPr>
          <w:i/>
        </w:rPr>
        <w:t>City &amp; Cnty. of San Francisco, Calif. v. Sheehan</w:t>
      </w:r>
      <w:r w:rsidRPr="00563443">
        <w:t>, 135 S. Ct. 1765, 1777 (2015); c</w:t>
      </w:r>
      <w:r w:rsidRPr="00563443">
        <w:rPr>
          <w:i/>
        </w:rPr>
        <w:t>f. Young v. Martin</w:t>
      </w:r>
      <w:r w:rsidRPr="00563443">
        <w:t>, 801 F.3d 172 (3d Cir. 2015) (holding that knowledge that one is violating prison regulations is relevant to determining whether defendants had fair warning that their treatment of an inmate was unconstitutional).</w:t>
      </w:r>
    </w:p>
  </w:footnote>
  <w:footnote w:id="97">
    <w:p w14:paraId="59564779" w14:textId="21BD8F18" w:rsidR="00C00A31" w:rsidRPr="00886831" w:rsidRDefault="00C00A31" w:rsidP="00F506A3">
      <w:pPr>
        <w:pStyle w:val="FootnoteText"/>
        <w:shd w:val="clear" w:color="auto" w:fill="FFFFFF" w:themeFill="background1"/>
        <w:ind w:firstLine="720"/>
        <w:mirrorIndents/>
        <w:jc w:val="left"/>
      </w:pPr>
      <w:r w:rsidRPr="00FE1314">
        <w:rPr>
          <w:rStyle w:val="FootnoteReference"/>
        </w:rPr>
        <w:footnoteRef/>
      </w:r>
      <w:r w:rsidRPr="00563443">
        <w:t xml:space="preserve"> </w:t>
      </w:r>
      <w:r w:rsidRPr="00886831">
        <w:t xml:space="preserve">See </w:t>
      </w:r>
      <w:r w:rsidRPr="00886831">
        <w:rPr>
          <w:i/>
          <w:iCs/>
        </w:rPr>
        <w:t>Pearson</w:t>
      </w:r>
      <w:r w:rsidRPr="00886831">
        <w:t xml:space="preserve">, 555 U.S. at 236-43 (discussing relevant factors in exercising this discretion); </w:t>
      </w:r>
      <w:r w:rsidRPr="00886831">
        <w:rPr>
          <w:i/>
        </w:rPr>
        <w:t>Plumhoff v. Rickard,</w:t>
      </w:r>
      <w:r w:rsidRPr="00886831">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 </w:t>
      </w:r>
      <w:r w:rsidRPr="00886831">
        <w:rPr>
          <w:i/>
        </w:rPr>
        <w:t>City &amp; Cnty. of San Francisco v. Sheehan</w:t>
      </w:r>
      <w:r w:rsidRPr="00886831">
        <w:t xml:space="preserve">, 135 S. Ct. 1765, 1775 (2015) (declining to address the Fourth Amendment issue “because this question has not been adequately briefed”); </w:t>
      </w:r>
      <w:r w:rsidRPr="00886831">
        <w:rPr>
          <w:i/>
        </w:rPr>
        <w:t>Wesby</w:t>
      </w:r>
      <w:r w:rsidRPr="00886831">
        <w:t xml:space="preserve">, 138 S. Ct. at 589, n.7 (reaching the merits because “a decision on qualified immunity alone would not have resolved all of the claims”). Compare </w:t>
      </w:r>
      <w:r w:rsidRPr="00886831">
        <w:rPr>
          <w:i/>
        </w:rPr>
        <w:t>Zalogo v. Borough of Moosic</w:t>
      </w:r>
      <w:r w:rsidRPr="00886831">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886831">
        <w:rPr>
          <w:i/>
        </w:rPr>
        <w:t>Williams v. Sec’y Pennsylvania Dep’t of Corr.</w:t>
      </w:r>
      <w:r w:rsidRPr="00886831">
        <w:t xml:space="preserve">, 848 F.3d 549, 558 (3d Cir. 2017) (deciding to address the merits of the underlying constitution question because of its salience “to the ongoing societal debate about solitary confinement” and to provide “clear statements about what the law allows” to prison officials) and </w:t>
      </w:r>
      <w:r w:rsidRPr="00886831">
        <w:rPr>
          <w:i/>
        </w:rPr>
        <w:t>Fields v. City of Philadelphia</w:t>
      </w:r>
      <w:r w:rsidRPr="00886831">
        <w:t xml:space="preserve">, 862 F.3d 353, 357-58 (3d Cir. 2017) (reaching the merits of first amendment issue because of the recurrence of the issue, the ubiquity of smartphones, the contribution of police recordings to national discussion of proper policing, and the excellent briefing in the case). </w:t>
      </w:r>
      <w:r w:rsidRPr="00886831">
        <w:rPr>
          <w:i/>
        </w:rPr>
        <w:t xml:space="preserve">See also </w:t>
      </w:r>
      <w:r w:rsidRPr="00886831">
        <w:rPr>
          <w:i/>
          <w:iCs/>
        </w:rPr>
        <w:t>Egolf v. Witmer</w:t>
      </w:r>
      <w:r w:rsidRPr="00886831">
        <w:t xml:space="preserve">, 526 F.3d 104, 110 (3d Cir. 2008) (holding, even prior to </w:t>
      </w:r>
      <w:r w:rsidRPr="00886831">
        <w:rPr>
          <w:i/>
          <w:iCs/>
        </w:rPr>
        <w:t>Pearson</w:t>
      </w:r>
      <w:r w:rsidRPr="00886831">
        <w:t xml:space="preserve">, that “the underlying principle of law elaboration is not meaningfully advanced in situations . . . when the definition of constitutional rights depends on a federal court's uncertain assumptions about state law”); </w:t>
      </w:r>
      <w:r w:rsidRPr="00886831">
        <w:rPr>
          <w:i/>
          <w:iCs/>
        </w:rPr>
        <w:t>Montanez v. Thompson</w:t>
      </w:r>
      <w:r w:rsidRPr="00886831">
        <w:t xml:space="preserve">, 603 F.3d 243, 251 (3d Cir. 2010) (following </w:t>
      </w:r>
      <w:r w:rsidRPr="00886831">
        <w:rPr>
          <w:i/>
        </w:rPr>
        <w:t>Egolf</w:t>
      </w:r>
      <w:r w:rsidRPr="00886831">
        <w:t xml:space="preserve"> after </w:t>
      </w:r>
      <w:r w:rsidRPr="00886831">
        <w:rPr>
          <w:i/>
          <w:iCs/>
        </w:rPr>
        <w:t>Pearson</w:t>
      </w:r>
      <w:r w:rsidRPr="00886831">
        <w:t xml:space="preserve">). </w:t>
      </w:r>
    </w:p>
  </w:footnote>
  <w:footnote w:id="98">
    <w:p w14:paraId="28C2FDFC" w14:textId="77777777" w:rsidR="00C00A31" w:rsidRPr="00D226C8" w:rsidRDefault="00C00A31" w:rsidP="00F506A3">
      <w:pPr>
        <w:spacing w:after="240"/>
        <w:ind w:firstLine="720"/>
        <w:mirrorIndents/>
      </w:pPr>
      <w:r w:rsidRPr="00D226C8">
        <w:rPr>
          <w:rStyle w:val="FootnoteReference"/>
        </w:rPr>
        <w:footnoteRef/>
      </w:r>
      <w:r w:rsidRPr="00D226C8">
        <w:t xml:space="preserve">  The Court of Appeals has distinguished between the underlying excessive-force inquiry and the qualified-immunity inquiry by characterizing the former as a question of fact and the latter as a question of law.  </w:t>
      </w:r>
      <w:r w:rsidRPr="00D226C8">
        <w:rPr>
          <w:i/>
          <w:iCs/>
        </w:rPr>
        <w:t>See Curley v. Klem</w:t>
      </w:r>
      <w:r w:rsidRPr="00D226C8">
        <w:t>, 499 F.3d 199, 214 (3d Cir. 2007) (“</w:t>
      </w:r>
      <w:r w:rsidRPr="00D226C8">
        <w:rPr>
          <w:i/>
          <w:iCs/>
        </w:rPr>
        <w:t>Curley II</w:t>
      </w:r>
      <w:r w:rsidRPr="00D226C8">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9">
    <w:p w14:paraId="5B967F0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e.g., Estate of Smith v. Marasco</w:t>
      </w:r>
      <w:r w:rsidRPr="00D226C8">
        <w:t xml:space="preserve">,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 </w:t>
      </w:r>
      <w:r w:rsidRPr="00D226C8">
        <w:rPr>
          <w:i/>
        </w:rPr>
        <w:t>See also</w:t>
      </w:r>
      <w:r w:rsidRPr="00D226C8">
        <w:t xml:space="preserve"> </w:t>
      </w:r>
      <w:r w:rsidRPr="00D226C8">
        <w:rPr>
          <w:i/>
        </w:rPr>
        <w:t>Tolan v. Cotton</w:t>
      </w:r>
      <w:r w:rsidRPr="00D226C8">
        <w:t>, 134 S.Ct. 1861 (2014) (per curiam) (emphasizing that the fundamental principle of summary judgment practice—that reasonable inferences should be drawn in favor of the nonmoving party—governs qualified immunity determinations).</w:t>
      </w:r>
    </w:p>
  </w:footnote>
  <w:footnote w:id="100">
    <w:p w14:paraId="3794A250" w14:textId="5FD6AD01" w:rsidR="00C00A31" w:rsidRPr="00D226C8" w:rsidRDefault="00C00A31" w:rsidP="00F506A3">
      <w:pPr>
        <w:spacing w:after="240"/>
        <w:ind w:firstLine="720"/>
        <w:mirrorIndents/>
      </w:pPr>
      <w:r w:rsidRPr="00D226C8">
        <w:rPr>
          <w:rStyle w:val="FootnoteReference"/>
        </w:rPr>
        <w:footnoteRef/>
      </w:r>
      <w:r w:rsidRPr="00D226C8">
        <w:t xml:space="preserve">  Admittedly, this statement in </w:t>
      </w:r>
      <w:r w:rsidRPr="00D226C8">
        <w:rPr>
          <w:i/>
          <w:iCs/>
        </w:rPr>
        <w:t>Carswell</w:t>
      </w:r>
      <w:r w:rsidRPr="00D226C8">
        <w:t xml:space="preserve"> was dictum: The court in </w:t>
      </w:r>
      <w:r w:rsidRPr="00D226C8">
        <w:rPr>
          <w:i/>
          <w:iCs/>
        </w:rPr>
        <w:t>Carswell</w:t>
      </w:r>
      <w:r w:rsidRPr="00D226C8">
        <w:t xml:space="preserve"> affirmed the district court’s grant of judgment as a matter of law at the close of plaintiff’s case in chief.  </w:t>
      </w:r>
      <w:r w:rsidRPr="00D226C8">
        <w:rPr>
          <w:i/>
          <w:iCs/>
        </w:rPr>
        <w:t>See Carswell</w:t>
      </w:r>
      <w:r w:rsidRPr="00D226C8">
        <w:t xml:space="preserve">, 381 F.3d at 239, 245.  </w:t>
      </w:r>
      <w:r w:rsidRPr="00D226C8">
        <w:rPr>
          <w:i/>
          <w:iCs/>
        </w:rPr>
        <w:t>See also</w:t>
      </w:r>
      <w:r w:rsidRPr="00D226C8">
        <w:t xml:space="preserve"> </w:t>
      </w:r>
      <w:r w:rsidRPr="00D226C8">
        <w:rPr>
          <w:i/>
          <w:iCs/>
        </w:rPr>
        <w:t>Harvey v. Plains Twp. Police Dept.</w:t>
      </w:r>
      <w:r w:rsidRPr="00D226C8">
        <w:t xml:space="preserve">, 421 F.3d 185, 194 n.12 (3d Cir. 2005) (citing </w:t>
      </w:r>
      <w:r w:rsidRPr="00D226C8">
        <w:rPr>
          <w:i/>
          <w:iCs/>
        </w:rPr>
        <w:t>Carswell</w:t>
      </w:r>
      <w:r w:rsidRPr="00D226C8">
        <w:t xml:space="preserve"> and </w:t>
      </w:r>
      <w:r w:rsidRPr="00D226C8">
        <w:rPr>
          <w:i/>
          <w:iCs/>
        </w:rPr>
        <w:t>Curley I</w:t>
      </w:r>
      <w:r w:rsidRPr="00D226C8">
        <w:t xml:space="preserve"> with approval).</w:t>
      </w:r>
    </w:p>
  </w:footnote>
  <w:footnote w:id="101">
    <w:p w14:paraId="5C239E51" w14:textId="77777777" w:rsidR="00C00A31" w:rsidRPr="00D226C8" w:rsidRDefault="00C00A31" w:rsidP="00F506A3">
      <w:pPr>
        <w:spacing w:after="240"/>
        <w:ind w:firstLine="720"/>
        <w:mirrorIndents/>
      </w:pPr>
      <w:r w:rsidRPr="00D226C8">
        <w:rPr>
          <w:rStyle w:val="FootnoteReference"/>
        </w:rPr>
        <w:footnoteRef/>
      </w:r>
      <w:r w:rsidRPr="00D226C8">
        <w:t xml:space="preserve">  Under </w:t>
      </w:r>
      <w:r w:rsidRPr="00D226C8">
        <w:rPr>
          <w:i/>
          <w:iCs/>
        </w:rPr>
        <w:t>Carswell</w:t>
      </w:r>
      <w:r w:rsidRPr="00D226C8">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sidRPr="00D226C8">
        <w:rPr>
          <w:i/>
          <w:iCs/>
        </w:rPr>
        <w:t>See Carswell</w:t>
      </w:r>
      <w:r w:rsidRPr="00D226C8">
        <w:t xml:space="preserve">, 381 F.3d at 242 &amp; n.2; </w:t>
      </w:r>
      <w:r w:rsidRPr="00D226C8">
        <w:rPr>
          <w:i/>
          <w:iCs/>
        </w:rPr>
        <w:t>see also Stephenson v. Doe</w:t>
      </w:r>
      <w:r w:rsidRPr="00D226C8">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sidRPr="00D226C8">
        <w:rPr>
          <w:i/>
          <w:iCs/>
        </w:rPr>
        <w:t>but see</w:t>
      </w:r>
      <w:r w:rsidRPr="00D226C8">
        <w:t xml:space="preserve"> </w:t>
      </w:r>
      <w:r w:rsidRPr="00D226C8">
        <w:rPr>
          <w:i/>
          <w:iCs/>
        </w:rPr>
        <w:t>Sloman v. Tadlock</w:t>
      </w:r>
      <w:r w:rsidRPr="00D226C8">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102">
    <w:p w14:paraId="5D7D7FA9" w14:textId="77777777" w:rsidR="00C00A31" w:rsidRPr="00D226C8" w:rsidRDefault="00C00A31" w:rsidP="00F506A3">
      <w:pPr>
        <w:spacing w:after="240"/>
        <w:ind w:firstLine="720"/>
        <w:mirrorIndents/>
      </w:pPr>
      <w:r w:rsidRPr="00D226C8">
        <w:rPr>
          <w:rStyle w:val="FootnoteReference"/>
        </w:rPr>
        <w:footnoteRef/>
      </w:r>
      <w:r w:rsidRPr="00D226C8">
        <w:t xml:space="preserve">  Though the </w:t>
      </w:r>
      <w:r w:rsidRPr="00D226C8">
        <w:rPr>
          <w:i/>
          <w:iCs/>
        </w:rPr>
        <w:t>Curley II</w:t>
      </w:r>
      <w:r w:rsidRPr="00D226C8">
        <w:t xml:space="preserve"> court stressed that “that the second step in the </w:t>
      </w:r>
      <w:r w:rsidRPr="00D226C8">
        <w:rPr>
          <w:i/>
          <w:iCs/>
        </w:rPr>
        <w:t xml:space="preserve">Saucier </w:t>
      </w:r>
      <w:r w:rsidRPr="00D226C8">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sidRPr="00D226C8">
        <w:rPr>
          <w:i/>
          <w:iCs/>
        </w:rPr>
        <w:t>Curley II</w:t>
      </w:r>
      <w:r w:rsidRPr="00D226C8">
        <w:t>, 499 F.3d at 211 n.12.</w:t>
      </w:r>
    </w:p>
  </w:footnote>
  <w:footnote w:id="103">
    <w:p w14:paraId="3297685D" w14:textId="77777777" w:rsidR="00C00A31" w:rsidRPr="00D226C8" w:rsidRDefault="00C00A31" w:rsidP="00F506A3">
      <w:pPr>
        <w:spacing w:after="240"/>
        <w:ind w:firstLine="720"/>
        <w:mirrorIndents/>
      </w:pPr>
      <w:r w:rsidRPr="00D226C8">
        <w:rPr>
          <w:rStyle w:val="FootnoteReference"/>
        </w:rPr>
        <w:footnoteRef/>
      </w:r>
      <w:r w:rsidRPr="00D226C8">
        <w:t xml:space="preserve">  For a further discussion of burdens of proof in this context, </w:t>
      </w:r>
      <w:r w:rsidRPr="00D226C8">
        <w:rPr>
          <w:i/>
          <w:iCs/>
        </w:rPr>
        <w:t xml:space="preserve">see supra </w:t>
      </w:r>
      <w:r w:rsidRPr="00D226C8">
        <w:t>Comment 4.2.</w:t>
      </w:r>
    </w:p>
  </w:footnote>
  <w:footnote w:id="104">
    <w:p w14:paraId="023408C8" w14:textId="58A34D57" w:rsidR="00C00A31" w:rsidRPr="00D226C8" w:rsidRDefault="00C00A31"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Sharrar v. Felsing</w:t>
      </w:r>
      <w:r w:rsidRPr="00D226C8">
        <w:t xml:space="preserve">, 128 F.3d 810, 826 (3d Cir. 1997) (“[T]he officer's subjective beliefs about the legality of his or her conduct generally ‘are irrelevant.’”) (quoting </w:t>
      </w:r>
      <w:r w:rsidRPr="00D226C8">
        <w:rPr>
          <w:i/>
          <w:iCs/>
        </w:rPr>
        <w:t>Anderson</w:t>
      </w:r>
      <w:r w:rsidRPr="00D226C8">
        <w:t xml:space="preserve">, 483 U.S. at 641); </w:t>
      </w:r>
      <w:r w:rsidRPr="00D226C8">
        <w:rPr>
          <w:i/>
          <w:iCs/>
        </w:rPr>
        <w:t>Grant v. City of Pittsburgh</w:t>
      </w:r>
      <w:r w:rsidRPr="00D226C8">
        <w:t>, 98 F.3d 116, 123-24 (3d Cir. 1996)</w:t>
      </w:r>
      <w:r>
        <w:t xml:space="preserve"> </w:t>
      </w:r>
      <w:r w:rsidRPr="00D226C8">
        <w:t>(“It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C00A31" w:rsidRPr="00D226C8" w:rsidRDefault="00C00A31" w:rsidP="00F506A3">
      <w:pPr>
        <w:ind w:firstLine="720"/>
        <w:mirrorIndents/>
      </w:pPr>
    </w:p>
    <w:p w14:paraId="160BF552" w14:textId="47E94495" w:rsidR="00C00A31" w:rsidRDefault="00C00A31" w:rsidP="00F506A3">
      <w:pPr>
        <w:ind w:firstLine="720"/>
        <w:mirrorIndents/>
      </w:pPr>
      <w:r w:rsidRPr="00D226C8">
        <w:t xml:space="preserve"> Justice Brennan’s concurrence in </w:t>
      </w:r>
      <w:r w:rsidRPr="00D226C8">
        <w:rPr>
          <w:i/>
          <w:iCs/>
        </w:rPr>
        <w:t>Harlow</w:t>
      </w:r>
      <w:r w:rsidRPr="00D226C8">
        <w:t xml:space="preserve">, quoting language from the majority opinion, asserted that the Court’s standard “would not allow the official who </w:t>
      </w:r>
      <w:r w:rsidRPr="00D226C8">
        <w:rPr>
          <w:i/>
          <w:iCs/>
        </w:rPr>
        <w:t xml:space="preserve">actually knows </w:t>
      </w:r>
      <w:r w:rsidRPr="00D226C8">
        <w:t>that he was violating the law to escape liability for his actions, even if he could not ‘reasonably have been expected’ to know what he actually did know . . . .  Thus the clever and unusually well</w:t>
      </w:r>
      <w:r w:rsidRPr="00D226C8">
        <w:noBreakHyphen/>
        <w:t xml:space="preserve">informed violator of constitutional rights will not evade just punishment for his crimes.”  </w:t>
      </w:r>
      <w:r w:rsidRPr="00D226C8">
        <w:rPr>
          <w:i/>
          <w:iCs/>
        </w:rPr>
        <w:t>Harlow</w:t>
      </w:r>
      <w:r w:rsidRPr="00D226C8">
        <w:t>, 457 U.S. at 821 (Brennan, J., joined by Marshall &amp; Blackmun, JJ., concurring).  The quoted language from the majority opinion, however, appears to refer to cases in which the defendant’s conduct in fact violated clearly established law:</w:t>
      </w:r>
    </w:p>
    <w:p w14:paraId="5AF8E424" w14:textId="77777777" w:rsidR="00C00A31" w:rsidRPr="00D226C8" w:rsidRDefault="00C00A31" w:rsidP="00F506A3">
      <w:pPr>
        <w:ind w:firstLine="720"/>
        <w:mirrorIndents/>
      </w:pPr>
    </w:p>
    <w:p w14:paraId="63CF1857" w14:textId="77777777" w:rsidR="00C00A31" w:rsidRPr="00D226C8" w:rsidRDefault="00C00A31" w:rsidP="00F506A3">
      <w:pPr>
        <w:ind w:left="720" w:right="720" w:firstLine="720"/>
        <w:mirrorIndents/>
      </w:pPr>
      <w:r w:rsidRPr="00D226C8">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C00A31" w:rsidRPr="00D226C8" w:rsidRDefault="00C00A31" w:rsidP="00F506A3">
      <w:pPr>
        <w:ind w:firstLine="720"/>
        <w:mirrorIndents/>
      </w:pPr>
    </w:p>
    <w:p w14:paraId="75865636" w14:textId="77777777" w:rsidR="00C00A31" w:rsidRPr="00D226C8" w:rsidRDefault="00C00A31" w:rsidP="00F506A3">
      <w:pPr>
        <w:mirrorIndents/>
      </w:pPr>
      <w:r w:rsidRPr="00D226C8">
        <w:rPr>
          <w:i/>
          <w:iCs/>
        </w:rPr>
        <w:t>Harlow</w:t>
      </w:r>
      <w:r w:rsidRPr="00D226C8">
        <w:t>, 457 U.S. at 818-19.</w:t>
      </w:r>
    </w:p>
    <w:p w14:paraId="3DA6597E" w14:textId="77777777" w:rsidR="00C00A31" w:rsidRPr="00D226C8" w:rsidRDefault="00C00A31" w:rsidP="00F506A3">
      <w:pPr>
        <w:ind w:firstLine="720"/>
        <w:mirrorIndents/>
      </w:pPr>
    </w:p>
    <w:p w14:paraId="31C404A0" w14:textId="77777777" w:rsidR="00C00A31" w:rsidRPr="00D226C8" w:rsidRDefault="00C00A31" w:rsidP="00F506A3">
      <w:pPr>
        <w:spacing w:after="240"/>
        <w:ind w:firstLine="720"/>
        <w:mirrorIndents/>
      </w:pPr>
      <w:r w:rsidRPr="00D226C8">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However, “a plaintiff may rebut this presumption by showing that, under all the factual and legal circumstances surrounding the arrest, a reasonable officer would not have relied on the prosecutor's advice.”  </w:t>
      </w:r>
      <w:r w:rsidRPr="00D226C8">
        <w:rPr>
          <w:i/>
          <w:iCs/>
        </w:rPr>
        <w:t>Id.</w:t>
      </w:r>
    </w:p>
  </w:footnote>
  <w:footnote w:id="105">
    <w:p w14:paraId="47F23D6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Berg v. County of Allegheny</w:t>
      </w:r>
      <w:r w:rsidRPr="00D226C8">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sidRPr="00D226C8">
        <w:rPr>
          <w:i/>
          <w:iCs/>
        </w:rPr>
        <w:t>See</w:t>
      </w:r>
      <w:r w:rsidRPr="00D226C8">
        <w:t xml:space="preserve"> </w:t>
      </w:r>
      <w:r w:rsidRPr="00D226C8">
        <w:rPr>
          <w:i/>
          <w:iCs/>
        </w:rPr>
        <w:t>Gilles v. Davis</w:t>
      </w:r>
      <w:r w:rsidRPr="00D226C8">
        <w:t xml:space="preserve">, 427 F.3d 197, 206 (3d Cir. 2005) (“[W]hether it was reasonable to believe there was probable cause is in part based on the limited information that the arresting officer has at the time.”); </w:t>
      </w:r>
      <w:r w:rsidRPr="00D226C8">
        <w:rPr>
          <w:i/>
          <w:iCs/>
        </w:rPr>
        <w:t>see also Harvey v. Plains Twp. Police Dept.</w:t>
      </w:r>
      <w:r w:rsidRPr="00D226C8">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sidRPr="00D226C8">
        <w:rPr>
          <w:i/>
          <w:iCs/>
        </w:rPr>
        <w:t>Blaylock v. City of Philadelphia</w:t>
      </w:r>
      <w:r w:rsidRPr="00D226C8">
        <w:t xml:space="preserve">, 504 F.3d 405, 411 (3d Cir. 2007) (citing </w:t>
      </w:r>
      <w:r w:rsidRPr="00D226C8">
        <w:rPr>
          <w:i/>
          <w:iCs/>
        </w:rPr>
        <w:t>Hunter v. Bryant</w:t>
      </w:r>
      <w:r w:rsidRPr="00D226C8">
        <w:t>, 502 U.S. 224, 228</w:t>
      </w:r>
      <w:r w:rsidRPr="00D226C8">
        <w:noBreakHyphen/>
        <w:t xml:space="preserve">29 (1991), and </w:t>
      </w:r>
      <w:r w:rsidRPr="00D226C8">
        <w:rPr>
          <w:i/>
          <w:iCs/>
        </w:rPr>
        <w:t>Anderson v. Creighton</w:t>
      </w:r>
      <w:r w:rsidRPr="00D226C8">
        <w:t xml:space="preserve">, 483 U.S. 635, 641 (1987)); </w:t>
      </w:r>
      <w:r w:rsidRPr="00D226C8">
        <w:rPr>
          <w:i/>
          <w:iCs/>
        </w:rPr>
        <w:t>Burns v. PA Dep’t of Corrections</w:t>
      </w:r>
      <w:r w:rsidRPr="00D226C8">
        <w:t>, 642 F.3d 163, 177 &amp; n.12 (3d Cir. 2011).</w:t>
      </w:r>
    </w:p>
  </w:footnote>
  <w:footnote w:id="106">
    <w:p w14:paraId="332A52A3" w14:textId="77777777" w:rsidR="00C00A31" w:rsidRPr="00D226C8" w:rsidRDefault="00C00A31" w:rsidP="00F506A3">
      <w:pPr>
        <w:ind w:firstLine="720"/>
        <w:mirrorIndents/>
      </w:pPr>
      <w:r w:rsidRPr="00D226C8">
        <w:rPr>
          <w:rStyle w:val="FootnoteReference"/>
        </w:rPr>
        <w:footnoteRef/>
      </w:r>
      <w:r w:rsidRPr="00D226C8">
        <w:t xml:space="preserve">  </w:t>
      </w:r>
      <w:r w:rsidRPr="00D226C8">
        <w:rPr>
          <w:i/>
          <w:iCs/>
        </w:rPr>
        <w:t>See Monteiro</w:t>
      </w:r>
      <w:r w:rsidRPr="00D226C8">
        <w:t>, 436 F.3d at 405 (“Perkins</w:t>
      </w:r>
      <w:r w:rsidRPr="00D226C8">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C00A31" w:rsidRPr="00D226C8" w:rsidRDefault="00C00A31" w:rsidP="00F506A3">
      <w:pPr>
        <w:ind w:firstLine="720"/>
        <w:mirrorIndents/>
      </w:pPr>
    </w:p>
    <w:p w14:paraId="19AE6ED6" w14:textId="77777777" w:rsidR="00C00A31" w:rsidRPr="00D226C8" w:rsidRDefault="00C00A31" w:rsidP="00F506A3">
      <w:pPr>
        <w:ind w:firstLine="720"/>
        <w:mirrorIndents/>
      </w:pPr>
      <w:r w:rsidRPr="00D226C8">
        <w:t xml:space="preserve">Similarly, the Eleventh Circuit noted </w:t>
      </w:r>
      <w:r w:rsidRPr="00D226C8">
        <w:rPr>
          <w:i/>
          <w:iCs/>
        </w:rPr>
        <w:t>Saucier</w:t>
      </w:r>
      <w:r w:rsidRPr="00D226C8">
        <w:t>’s holding that the qualified immunity inquiry is distinct from the merits of the claim, but explained:</w:t>
      </w:r>
    </w:p>
    <w:p w14:paraId="53DED165" w14:textId="77777777" w:rsidR="00C00A31" w:rsidRPr="00D226C8" w:rsidRDefault="00C00A31" w:rsidP="00F506A3">
      <w:pPr>
        <w:ind w:firstLine="720"/>
        <w:mirrorIndents/>
      </w:pPr>
    </w:p>
    <w:p w14:paraId="2613FEBD" w14:textId="77777777" w:rsidR="00C00A31" w:rsidRPr="00D226C8" w:rsidRDefault="00C00A31" w:rsidP="00F506A3">
      <w:pPr>
        <w:ind w:left="720" w:right="720" w:firstLine="720"/>
        <w:mirrorIndents/>
      </w:pPr>
      <w:r w:rsidRPr="00D226C8">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14:paraId="6820537A" w14:textId="77777777" w:rsidR="00C00A31" w:rsidRPr="00D226C8" w:rsidRDefault="00C00A31" w:rsidP="00F506A3">
      <w:pPr>
        <w:ind w:firstLine="720"/>
        <w:mirrorIndents/>
      </w:pPr>
    </w:p>
    <w:p w14:paraId="3B2F5FB7" w14:textId="77777777" w:rsidR="00C00A31" w:rsidRPr="00D226C8" w:rsidRDefault="00C00A31" w:rsidP="00F506A3">
      <w:pPr>
        <w:spacing w:after="240"/>
        <w:mirrorIndents/>
      </w:pPr>
      <w:r w:rsidRPr="00D226C8">
        <w:rPr>
          <w:i/>
          <w:iCs/>
        </w:rPr>
        <w:t>Johnson v. Breeden</w:t>
      </w:r>
      <w:r w:rsidRPr="00D226C8">
        <w:t>, 280 F.3d 1308, 1321-22 (11th Cir. 2002).</w:t>
      </w:r>
    </w:p>
  </w:footnote>
  <w:footnote w:id="107">
    <w:p w14:paraId="2377B4A4" w14:textId="77777777" w:rsidR="00C00A31" w:rsidRPr="00D226C8" w:rsidRDefault="00C00A31" w:rsidP="00F506A3">
      <w:pPr>
        <w:ind w:firstLine="720"/>
        <w:mirrorIndents/>
      </w:pPr>
      <w:r w:rsidRPr="00D226C8">
        <w:rPr>
          <w:rStyle w:val="FootnoteReference"/>
        </w:rPr>
        <w:footnoteRef/>
      </w:r>
      <w:r w:rsidRPr="00D226C8">
        <w:t xml:space="preserve">  The Third Circuit has held that the showing of subjective deliberate indifference necessary to establish an Eighth Amendment conditions-of-confinement claim necessarily negates the defendant’s claim to qualified immunity. </w:t>
      </w:r>
      <w:r w:rsidRPr="00D226C8">
        <w:rPr>
          <w:i/>
          <w:iCs/>
        </w:rPr>
        <w:t xml:space="preserve"> Beers-Capitol v. Whetzel</w:t>
      </w:r>
      <w:r w:rsidRPr="00D226C8">
        <w:t xml:space="preserve">, 256 F.3d 120, 142 n.15 (3d Cir. 2001) (“Because deliberate indifference under </w:t>
      </w:r>
      <w:r w:rsidRPr="00D226C8">
        <w:rPr>
          <w:i/>
          <w:iCs/>
        </w:rPr>
        <w:t xml:space="preserve">Farmer </w:t>
      </w:r>
      <w:r w:rsidRPr="00D226C8">
        <w:t>requires actual knowledge or awareness on the part of the defendant, a defendant cannot have qualified immunity if she was deliberately indifferent.”).</w:t>
      </w:r>
    </w:p>
    <w:p w14:paraId="4259C428" w14:textId="77777777" w:rsidR="00C00A31" w:rsidRPr="00D226C8" w:rsidRDefault="00C00A31" w:rsidP="00F506A3">
      <w:pPr>
        <w:ind w:firstLine="720"/>
        <w:mirrorIndents/>
      </w:pPr>
    </w:p>
    <w:p w14:paraId="08C6FE70" w14:textId="77777777" w:rsidR="00C00A31" w:rsidRPr="00D226C8" w:rsidRDefault="00C00A31" w:rsidP="00F506A3">
      <w:pPr>
        <w:ind w:firstLine="720"/>
        <w:mirrorIndents/>
      </w:pPr>
      <w:r w:rsidRPr="00D226C8">
        <w:t xml:space="preserve">The Supreme Court’s decision in </w:t>
      </w:r>
      <w:r w:rsidRPr="00D226C8">
        <w:rPr>
          <w:i/>
          <w:iCs/>
        </w:rPr>
        <w:t>Saucier</w:t>
      </w:r>
      <w:r w:rsidRPr="00D226C8">
        <w:t xml:space="preserve"> does not necessarily undermine the Third Circuit’s reasoning in </w:t>
      </w:r>
      <w:r w:rsidRPr="00D226C8">
        <w:rPr>
          <w:i/>
          <w:iCs/>
        </w:rPr>
        <w:t>Beers-Capitol</w:t>
      </w:r>
      <w:r w:rsidRPr="00D226C8">
        <w:t xml:space="preserve">.  Admittedly, the Third Circuit decided </w:t>
      </w:r>
      <w:r w:rsidRPr="00D226C8">
        <w:rPr>
          <w:i/>
          <w:iCs/>
        </w:rPr>
        <w:t>Beers-Capitol</w:t>
      </w:r>
      <w:r w:rsidRPr="00D226C8">
        <w:t xml:space="preserve"> a week before the Supreme Court decided </w:t>
      </w:r>
      <w:r w:rsidRPr="00D226C8">
        <w:rPr>
          <w:i/>
          <w:iCs/>
        </w:rPr>
        <w:t>Saucier</w:t>
      </w:r>
      <w:r w:rsidRPr="00D226C8">
        <w:t xml:space="preserve">; but </w:t>
      </w:r>
      <w:r w:rsidRPr="00D226C8">
        <w:rPr>
          <w:i/>
          <w:iCs/>
        </w:rPr>
        <w:t>Saucier</w:t>
      </w:r>
      <w:r w:rsidRPr="00D226C8">
        <w:t xml:space="preserve">’s holding (concerning Fourth Amendment excessive force claims) followed the earlier holding in </w:t>
      </w:r>
      <w:r w:rsidRPr="00D226C8">
        <w:rPr>
          <w:i/>
          <w:iCs/>
        </w:rPr>
        <w:t>Anderson v. Creighton</w:t>
      </w:r>
      <w:r w:rsidRPr="00D226C8">
        <w:t xml:space="preserve">, 483 U.S. 635, 640 (1987) (concerning Fourth Amendment search claims).  </w:t>
      </w:r>
      <w:r w:rsidRPr="00D226C8">
        <w:rPr>
          <w:i/>
          <w:iCs/>
        </w:rPr>
        <w:t>Anderson</w:t>
      </w:r>
      <w:r w:rsidRPr="00D226C8">
        <w:t xml:space="preserve"> and </w:t>
      </w:r>
      <w:r w:rsidRPr="00D226C8">
        <w:rPr>
          <w:i/>
          <w:iCs/>
        </w:rPr>
        <w:t>Saucier</w:t>
      </w:r>
      <w:r w:rsidRPr="00D226C8">
        <w:t xml:space="preserve"> can be distinguished from </w:t>
      </w:r>
      <w:r w:rsidRPr="00D226C8">
        <w:rPr>
          <w:i/>
          <w:iCs/>
        </w:rPr>
        <w:t>Beers-Capitol</w:t>
      </w:r>
      <w:r w:rsidRPr="00D226C8">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sidRPr="00D226C8">
        <w:rPr>
          <w:i/>
          <w:iCs/>
        </w:rPr>
        <w:t>Anderson</w:t>
      </w:r>
      <w:r w:rsidRPr="00D226C8">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C00A31" w:rsidRPr="00D226C8" w:rsidRDefault="00C00A31" w:rsidP="00F506A3">
      <w:pPr>
        <w:ind w:firstLine="720"/>
        <w:mirrorIndents/>
      </w:pPr>
    </w:p>
    <w:p w14:paraId="24F776CD" w14:textId="77777777" w:rsidR="00C00A31" w:rsidRPr="00D226C8" w:rsidRDefault="00C00A31" w:rsidP="00F506A3">
      <w:pPr>
        <w:ind w:firstLine="720"/>
        <w:mirrorIndents/>
      </w:pPr>
      <w:r w:rsidRPr="00D226C8">
        <w:t xml:space="preserve">However, the Supreme Court’s subsequent decision in </w:t>
      </w:r>
      <w:r w:rsidRPr="00D226C8">
        <w:rPr>
          <w:i/>
          <w:iCs/>
        </w:rPr>
        <w:t>Hope v. Pelzer</w:t>
      </w:r>
      <w:r w:rsidRPr="00D226C8">
        <w:t xml:space="preserve">, 536 U.S. 730 (2002), does raise some doubt as to the validity of the Third Circuit’s conclusion. In </w:t>
      </w:r>
      <w:r w:rsidRPr="00D226C8">
        <w:rPr>
          <w:i/>
          <w:iCs/>
        </w:rPr>
        <w:t>Hope</w:t>
      </w:r>
      <w:r w:rsidRPr="00D226C8">
        <w:t xml:space="preserve">, the Court held that the plaintiff’s allegations, if true, established an Eighth Amendment claim. </w:t>
      </w:r>
      <w:r w:rsidRPr="00D226C8">
        <w:rPr>
          <w:i/>
          <w:iCs/>
        </w:rPr>
        <w:t>See id.</w:t>
      </w:r>
      <w:r w:rsidRPr="00D226C8">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D226C8">
        <w:rPr>
          <w:i/>
        </w:rPr>
        <w:t>Id</w:t>
      </w:r>
      <w:r w:rsidRPr="00D226C8">
        <w:t xml:space="preserve">. It then proceeded to analyze whether it would have been clear to a reasonable official under the circumstances that the conduct at issue violated a clearly established constitutional right, </w:t>
      </w:r>
      <w:r w:rsidRPr="00D226C8">
        <w:rPr>
          <w:i/>
          <w:iCs/>
        </w:rPr>
        <w:t>see id.</w:t>
      </w:r>
      <w:r w:rsidRPr="00D226C8">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D226C8">
        <w:rPr>
          <w:i/>
          <w:iCs/>
        </w:rPr>
        <w:t xml:space="preserve">See id. </w:t>
      </w:r>
      <w:r w:rsidRPr="00D226C8">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D226C8">
        <w:rPr>
          <w:i/>
          <w:iCs/>
        </w:rPr>
        <w:t>Hope</w:t>
      </w:r>
      <w:r w:rsidRPr="00D226C8">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D226C8">
        <w:rPr>
          <w:i/>
          <w:iCs/>
        </w:rPr>
        <w:t>Hope</w:t>
      </w:r>
      <w:r w:rsidRPr="00D226C8">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D226C8">
        <w:rPr>
          <w:i/>
          <w:iCs/>
        </w:rPr>
        <w:t>Hope</w:t>
      </w:r>
      <w:r w:rsidRPr="00D226C8">
        <w:t xml:space="preserve">.  (In </w:t>
      </w:r>
      <w:r w:rsidRPr="00D226C8">
        <w:rPr>
          <w:i/>
          <w:iCs/>
        </w:rPr>
        <w:t>Whitley v. Albers</w:t>
      </w:r>
      <w:r w:rsidRPr="00D226C8">
        <w:t xml:space="preserve">, 475 U.S. 312 (1986), the court of appeals had stated that “[a] finding of [Eighth Amendment] deliberate indifference is inconsistent with a finding of ... qualified immunity,” </w:t>
      </w:r>
      <w:r w:rsidRPr="00D226C8">
        <w:rPr>
          <w:i/>
          <w:iCs/>
        </w:rPr>
        <w:t>Albers v. Whitley</w:t>
      </w:r>
      <w:r w:rsidRPr="00D226C8">
        <w:t xml:space="preserve">, 743 F.2d 1372, 1376 (9th Cir. 1984), but the Supreme Court refused to address this contention because the Court reversed the judgment on other grounds, </w:t>
      </w:r>
      <w:r w:rsidRPr="00D226C8">
        <w:rPr>
          <w:i/>
          <w:iCs/>
        </w:rPr>
        <w:t>see</w:t>
      </w:r>
      <w:r w:rsidRPr="00D226C8">
        <w:t xml:space="preserve"> 475 U.S. at 327-28.) In </w:t>
      </w:r>
      <w:r w:rsidRPr="00D226C8">
        <w:rPr>
          <w:i/>
        </w:rPr>
        <w:t>Young v. Martin</w:t>
      </w:r>
      <w:r w:rsidRPr="00D226C8">
        <w:t xml:space="preserve">, 801 F.3d 172 (3d Cir. 2015), the court of appeals decided that </w:t>
      </w:r>
      <w:r w:rsidRPr="00D226C8">
        <w:rPr>
          <w:i/>
        </w:rPr>
        <w:t>Hope</w:t>
      </w:r>
      <w:r w:rsidRPr="00D226C8">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C00A31" w:rsidRPr="00D226C8" w:rsidRDefault="00C00A31" w:rsidP="00F506A3">
      <w:pPr>
        <w:ind w:firstLine="720"/>
        <w:mirrorIndents/>
      </w:pPr>
    </w:p>
    <w:p w14:paraId="335326A0" w14:textId="77777777" w:rsidR="00C00A31" w:rsidRPr="00D226C8" w:rsidRDefault="00C00A31" w:rsidP="00F506A3">
      <w:pPr>
        <w:ind w:firstLine="720"/>
        <w:mirrorIndents/>
      </w:pPr>
    </w:p>
    <w:p w14:paraId="17FD905C" w14:textId="77777777" w:rsidR="00C00A31" w:rsidRPr="00D226C8" w:rsidRDefault="00C00A31" w:rsidP="00F506A3">
      <w:pPr>
        <w:ind w:firstLine="720"/>
        <w:mirrorIndents/>
      </w:pPr>
    </w:p>
  </w:footnote>
  <w:footnote w:id="108">
    <w:p w14:paraId="7597D0CA" w14:textId="77777777" w:rsidR="00C00A31" w:rsidRPr="00D226C8" w:rsidRDefault="00C00A31" w:rsidP="00F506A3">
      <w:pPr>
        <w:spacing w:after="240"/>
        <w:ind w:firstLine="720"/>
        <w:mirrorIndents/>
      </w:pPr>
      <w:r w:rsidRPr="00D226C8">
        <w:rPr>
          <w:rStyle w:val="FootnoteReference"/>
        </w:rPr>
        <w:footnoteRef/>
      </w:r>
      <w:r w:rsidRPr="00D226C8">
        <w:t xml:space="preserve">  If the release was oral, the defendant must prove voluntariness by clear and convincing evidence.</w:t>
      </w:r>
    </w:p>
  </w:footnote>
  <w:footnote w:id="109">
    <w:p w14:paraId="5C31DE80" w14:textId="77777777" w:rsidR="00C00A31" w:rsidRPr="00D226C8" w:rsidRDefault="00C00A31" w:rsidP="00F506A3">
      <w:pPr>
        <w:spacing w:after="240"/>
        <w:ind w:firstLine="720"/>
        <w:mirrorIndents/>
      </w:pPr>
      <w:r w:rsidRPr="00D226C8">
        <w:rPr>
          <w:rStyle w:val="FootnoteReference"/>
        </w:rPr>
        <w:footnoteRef/>
      </w:r>
      <w:r w:rsidRPr="00D226C8">
        <w:t xml:space="preserve">  The Court of Appeals has not determined the appropriate standard of proof of voluntariness in the case of a written release.</w:t>
      </w:r>
    </w:p>
  </w:footnote>
  <w:footnote w:id="110">
    <w:p w14:paraId="0031BDEE" w14:textId="77777777" w:rsidR="00C00A31" w:rsidRPr="00D226C8" w:rsidRDefault="00C00A31" w:rsidP="00F506A3">
      <w:pPr>
        <w:spacing w:after="240"/>
        <w:ind w:firstLine="720"/>
        <w:mirrorIndents/>
      </w:pPr>
      <w:r w:rsidRPr="00D226C8">
        <w:rPr>
          <w:rStyle w:val="FootnoteReference"/>
        </w:rPr>
        <w:footnoteRef/>
      </w:r>
      <w:r w:rsidRPr="00D226C8">
        <w:t xml:space="preserve">  If more than one defendant seeks to assert the release as a defense, the court, if the plaintiff so requests, should require the jury to consider voluntariness with respect to potential claims against each specific defendant.  </w:t>
      </w:r>
      <w:r w:rsidRPr="00D226C8">
        <w:rPr>
          <w:i/>
          <w:iCs/>
        </w:rPr>
        <w:t>See Livingstone v. North Belle Vernon Borough</w:t>
      </w:r>
      <w:r w:rsidRPr="00D226C8">
        <w:t>, 91 F.3d 515, 526 n.13 (3d Cir. 1996).</w:t>
      </w:r>
    </w:p>
  </w:footnote>
  <w:footnote w:id="111">
    <w:p w14:paraId="0F4FF661" w14:textId="77777777" w:rsidR="00C00A31" w:rsidRPr="00D226C8" w:rsidRDefault="00C00A31" w:rsidP="00F506A3">
      <w:pPr>
        <w:spacing w:after="240"/>
        <w:ind w:firstLine="720"/>
        <w:mirrorIndents/>
      </w:pPr>
      <w:r w:rsidRPr="00D226C8">
        <w:rPr>
          <w:rStyle w:val="FootnoteReference"/>
        </w:rPr>
        <w:footnoteRef/>
      </w:r>
      <w:r w:rsidRPr="00D226C8">
        <w:t xml:space="preserve">  “Whereas . . . the validity of a release</w:t>
      </w:r>
      <w:r w:rsidRPr="00D226C8">
        <w:noBreakHyphen/>
        <w:t xml:space="preserve">dismissal for a section 1983 claim is governed exclusively by federal law . . . , the validity of any purported release of . . . state claims . . . is governed by state law.”  </w:t>
      </w:r>
      <w:r w:rsidRPr="00D226C8">
        <w:rPr>
          <w:i/>
          <w:iCs/>
        </w:rPr>
        <w:t>Livingstone v. North Belle Vernon Borough</w:t>
      </w:r>
      <w:r w:rsidRPr="00D226C8">
        <w:t xml:space="preserve">, 12 F.3d 1205, 1209 n.6 (1993) (in banc); </w:t>
      </w:r>
      <w:r w:rsidRPr="00D226C8">
        <w:rPr>
          <w:i/>
          <w:iCs/>
        </w:rPr>
        <w:t>see also Livingstone</w:t>
      </w:r>
      <w:r w:rsidRPr="00D226C8">
        <w:t>, 91 F.3d at 539 (discussing treatment of release-dismissal agreements under Pennsylvania law).</w:t>
      </w:r>
    </w:p>
  </w:footnote>
  <w:footnote w:id="112">
    <w:p w14:paraId="09ABB372"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Livingstone</w:t>
      </w:r>
      <w:r w:rsidRPr="00D226C8">
        <w:t>, 91 F.3d at 536 n.34 (declining to “address the appropriate standard of proof for enforcement of a written release</w:t>
      </w:r>
      <w:r w:rsidRPr="00D226C8">
        <w:noBreakHyphen/>
        <w:t>dismissal agreement”).</w:t>
      </w:r>
    </w:p>
  </w:footnote>
  <w:footnote w:id="113">
    <w:p w14:paraId="1B0FD3D8"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 xml:space="preserve">See also </w:t>
      </w:r>
      <w:r w:rsidRPr="00D226C8">
        <w:t xml:space="preserve">Seth F. Kreimer, </w:t>
      </w:r>
      <w:r w:rsidRPr="00D226C8">
        <w:rPr>
          <w:i/>
          <w:iCs/>
        </w:rPr>
        <w:t>Releases, Redress, and Police Misconduct: Reflections on Agreements to Waive Civil Rights Actions in Exchange for Dismissal of Criminal Charges</w:t>
      </w:r>
      <w:r w:rsidRPr="00D226C8">
        <w:t>, 136 U. Pa. L. Rev. 851, 928 (1988) (noting that release-dismissal agreements pose “a substantial cost to first amendment rights, the integrity of the criminal process, and the purposes served by section 1983”).</w:t>
      </w:r>
    </w:p>
  </w:footnote>
  <w:footnote w:id="114">
    <w:p w14:paraId="493ED0AE" w14:textId="77777777" w:rsidR="00C00A31" w:rsidRPr="00D226C8" w:rsidRDefault="00C00A31" w:rsidP="00F506A3">
      <w:pPr>
        <w:spacing w:after="240"/>
        <w:ind w:firstLine="720"/>
        <w:mirrorIndents/>
      </w:pPr>
      <w:r w:rsidRPr="00D226C8">
        <w:rPr>
          <w:rStyle w:val="FootnoteReference"/>
        </w:rPr>
        <w:footnoteRef/>
      </w:r>
      <w:r w:rsidRPr="00D226C8">
        <w:t xml:space="preserve">  “[T]he concept of prosecutorial misconduct is embedded in [the] larger inquiry into whether enforcing the release would advance the public interest.”  </w:t>
      </w:r>
      <w:r w:rsidRPr="00D226C8">
        <w:rPr>
          <w:i/>
          <w:iCs/>
        </w:rPr>
        <w:t>Cain</w:t>
      </w:r>
      <w:r w:rsidRPr="00D226C8">
        <w:t>, 7 F.3d at 380.</w:t>
      </w:r>
    </w:p>
  </w:footnote>
  <w:footnote w:id="115">
    <w:p w14:paraId="09D86CA5" w14:textId="77777777" w:rsidR="00C00A31" w:rsidRPr="00D226C8" w:rsidRDefault="00C00A31" w:rsidP="00F506A3">
      <w:pPr>
        <w:spacing w:after="240"/>
        <w:ind w:firstLine="720"/>
        <w:mirrorIndents/>
      </w:pPr>
      <w:r w:rsidRPr="00D226C8">
        <w:rPr>
          <w:rStyle w:val="FootnoteReference"/>
        </w:rPr>
        <w:footnoteRef/>
      </w:r>
      <w:r w:rsidRPr="00D226C8">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sidRPr="00D226C8">
        <w:rPr>
          <w:i/>
          <w:iCs/>
        </w:rPr>
        <w:t>Livingstone</w:t>
      </w:r>
      <w:r w:rsidRPr="00D226C8">
        <w:t>, 91 F.3d at 530 n.18.</w:t>
      </w:r>
    </w:p>
  </w:footnote>
  <w:footnote w:id="116">
    <w:p w14:paraId="4ECCA9B7" w14:textId="77777777" w:rsidR="00C00A31" w:rsidRPr="00D226C8" w:rsidRDefault="00C00A31" w:rsidP="00F506A3">
      <w:pPr>
        <w:spacing w:after="240"/>
        <w:ind w:firstLine="720"/>
        <w:mirrorIndents/>
      </w:pPr>
      <w:r w:rsidRPr="00D226C8">
        <w:rPr>
          <w:rStyle w:val="FootnoteReference"/>
        </w:rPr>
        <w:footnoteRef/>
      </w:r>
      <w:r w:rsidRPr="00D226C8">
        <w:t xml:space="preserve">  “The process of weighing the evidence of police misconduct against the prosecutor's asserted reasons for concluding a release</w:t>
      </w:r>
      <w:r w:rsidRPr="00D226C8">
        <w:noBreakHyphen/>
        <w:t xml:space="preserve">dismissal agreement is part of the broad task of balancing the public interests that favor and that disfavor enforcement. That task is one for the court.”  </w:t>
      </w:r>
      <w:r w:rsidRPr="00D226C8">
        <w:rPr>
          <w:i/>
          <w:iCs/>
        </w:rPr>
        <w:t>Livingstone</w:t>
      </w:r>
      <w:r w:rsidRPr="00D226C8">
        <w:t>, 91 F.3d at 533 n.28.</w:t>
      </w:r>
    </w:p>
  </w:footnote>
  <w:footnote w:id="117">
    <w:p w14:paraId="1C97BF07" w14:textId="77777777" w:rsidR="00C00A31" w:rsidRPr="00D226C8" w:rsidRDefault="00C00A31" w:rsidP="00F506A3">
      <w:pPr>
        <w:spacing w:after="240"/>
        <w:ind w:firstLine="720"/>
        <w:mirrorIndents/>
      </w:pPr>
      <w:r w:rsidRPr="00D226C8">
        <w:rPr>
          <w:rStyle w:val="FootnoteReference"/>
        </w:rPr>
        <w:footnoteRef/>
      </w:r>
      <w:r w:rsidRPr="00D226C8">
        <w:t xml:space="preserve">  “[E]xpert medical evidence is not required to prove emotional distress in section 1983 cases.”  </w:t>
      </w:r>
      <w:r w:rsidRPr="00D226C8">
        <w:rPr>
          <w:i/>
          <w:iCs/>
        </w:rPr>
        <w:t>Bolden v. Southeastern Pennsylvania Transp. Authority</w:t>
      </w:r>
      <w:r w:rsidRPr="00D226C8">
        <w:t xml:space="preserve">, 21 F.3d 29, 36 (3d Cir. 1994).  However, the plaintiff must present competent evidence showing emotional distress.  </w:t>
      </w:r>
      <w:r w:rsidRPr="00D226C8">
        <w:rPr>
          <w:i/>
          <w:iCs/>
        </w:rPr>
        <w:t>See Chainey v. Street</w:t>
      </w:r>
      <w:r w:rsidRPr="00D226C8">
        <w:t xml:space="preserve">, 523 F.3d 200, 216 (3d Cir. 2008).  And in suits filed by prisoners, the court should ensure that the instructions on emotional and mental injury comply with 42 U.S.C. § 1997e(e).  </w:t>
      </w:r>
      <w:r w:rsidRPr="00D226C8">
        <w:rPr>
          <w:i/>
          <w:iCs/>
        </w:rPr>
        <w:t>See</w:t>
      </w:r>
      <w:r w:rsidRPr="00D226C8">
        <w:t xml:space="preserve"> Comment.</w:t>
      </w:r>
    </w:p>
  </w:footnote>
  <w:footnote w:id="118">
    <w:p w14:paraId="04883874" w14:textId="77777777" w:rsidR="00C00A31" w:rsidRPr="00D226C8" w:rsidRDefault="00C00A31" w:rsidP="00F506A3">
      <w:pPr>
        <w:spacing w:after="240"/>
        <w:ind w:firstLine="720"/>
        <w:mirrorIndents/>
      </w:pPr>
      <w:r w:rsidRPr="00D226C8">
        <w:rPr>
          <w:rStyle w:val="FootnoteReference"/>
        </w:rPr>
        <w:footnoteRef/>
      </w:r>
      <w:r w:rsidRPr="00D226C8">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9">
    <w:p w14:paraId="78EA637F" w14:textId="77777777" w:rsidR="00C00A31" w:rsidRPr="00D226C8" w:rsidRDefault="00C00A31" w:rsidP="00F506A3">
      <w:pPr>
        <w:spacing w:after="240"/>
        <w:ind w:firstLine="720"/>
        <w:mirrorIndents/>
      </w:pPr>
      <w:r w:rsidRPr="00D226C8">
        <w:rPr>
          <w:rStyle w:val="FootnoteReference"/>
        </w:rPr>
        <w:footnoteRef/>
      </w:r>
      <w:r w:rsidRPr="00D226C8">
        <w:t xml:space="preserve">  This category of damages is not available for an unreasonable search and seizure.  </w:t>
      </w:r>
      <w:r w:rsidRPr="00D226C8">
        <w:rPr>
          <w:i/>
          <w:iCs/>
        </w:rPr>
        <w:t>See Hector v. Watt</w:t>
      </w:r>
      <w:r w:rsidRPr="00D226C8">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sidRPr="00D226C8">
        <w:rPr>
          <w:i/>
          <w:iCs/>
        </w:rPr>
        <w:t>Townes v. City of New York</w:t>
      </w:r>
      <w:r w:rsidRPr="00D226C8">
        <w:t>, 176 F.3d 138, 148 (2d Cir.1999)).</w:t>
      </w:r>
    </w:p>
  </w:footnote>
  <w:footnote w:id="120">
    <w:p w14:paraId="52F80987"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Sample v. Diecks</w:t>
      </w:r>
      <w:r w:rsidRPr="00D226C8">
        <w:t>, 885 F.2d 1099, 1112 (3d Cir. 1989) (upholding award of compensatory damages for “each day of confinement after the time Sample would have been released if Diecks had fulfilled his duty to Sample”).</w:t>
      </w:r>
    </w:p>
  </w:footnote>
  <w:footnote w:id="121">
    <w:p w14:paraId="10926CC4" w14:textId="77777777" w:rsidR="00C00A31" w:rsidRPr="00D226C8" w:rsidRDefault="00C00A31" w:rsidP="00F506A3">
      <w:pPr>
        <w:ind w:firstLine="720"/>
        <w:mirrorIndents/>
      </w:pPr>
      <w:r w:rsidRPr="00D226C8">
        <w:rPr>
          <w:rStyle w:val="FootnoteReference"/>
        </w:rPr>
        <w:footnoteRef/>
      </w:r>
      <w:r w:rsidRPr="00D226C8">
        <w:t xml:space="preserve">  The Third Circuit has noted the potential relevance of 42 U.S.C. § 1988 to the question of damages in Section 1983 cases.  </w:t>
      </w:r>
      <w:r w:rsidRPr="00D226C8">
        <w:rPr>
          <w:i/>
          <w:iCs/>
        </w:rPr>
        <w:t>See Fontroy v. Owens</w:t>
      </w:r>
      <w:r w:rsidRPr="00D226C8">
        <w:t xml:space="preserve">, 150 F.3d 239, 242 (3d Cir. 1998).  The </w:t>
      </w:r>
      <w:r w:rsidRPr="00D226C8">
        <w:rPr>
          <w:i/>
          <w:iCs/>
        </w:rPr>
        <w:t>Fontroy</w:t>
      </w:r>
      <w:r w:rsidRPr="00D226C8">
        <w:t xml:space="preserve"> court relied on the approach set forth by the Supreme Court in a case addressing statute of limitations issues:</w:t>
      </w:r>
    </w:p>
    <w:p w14:paraId="5C63642F" w14:textId="77777777" w:rsidR="00C00A31" w:rsidRPr="00D226C8" w:rsidRDefault="00C00A31" w:rsidP="00F506A3">
      <w:pPr>
        <w:ind w:firstLine="720"/>
        <w:mirrorIndents/>
      </w:pPr>
    </w:p>
    <w:p w14:paraId="6C0735C4" w14:textId="77777777" w:rsidR="00C00A31" w:rsidRPr="00D226C8" w:rsidRDefault="00C00A31" w:rsidP="00F506A3">
      <w:pPr>
        <w:ind w:left="720" w:firstLine="720"/>
        <w:mirrorIndents/>
      </w:pPr>
      <w:r w:rsidRPr="00D226C8">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14:paraId="6BA6801C" w14:textId="77777777" w:rsidR="00C00A31" w:rsidRPr="00D226C8" w:rsidRDefault="00C00A31" w:rsidP="00F506A3">
      <w:pPr>
        <w:ind w:firstLine="720"/>
        <w:mirrorIndents/>
      </w:pPr>
    </w:p>
    <w:p w14:paraId="2F1A0658" w14:textId="77777777" w:rsidR="00C00A31" w:rsidRPr="00D226C8" w:rsidRDefault="00C00A31" w:rsidP="00F506A3">
      <w:pPr>
        <w:mirrorIndents/>
      </w:pPr>
      <w:r w:rsidRPr="00D226C8">
        <w:rPr>
          <w:i/>
          <w:iCs/>
        </w:rPr>
        <w:t>Fontroy</w:t>
      </w:r>
      <w:r w:rsidRPr="00D226C8">
        <w:t xml:space="preserve">, 150 F.3d at 242-43 (quoting </w:t>
      </w:r>
      <w:r w:rsidRPr="00D226C8">
        <w:rPr>
          <w:i/>
          <w:iCs/>
        </w:rPr>
        <w:t>Burnett v. Grattan</w:t>
      </w:r>
      <w:r w:rsidRPr="00D226C8">
        <w:t xml:space="preserve">, 468 U.S. 42, 47-48 (1984) (quoting 42 U.S.C. § 1988(a))); </w:t>
      </w:r>
      <w:r w:rsidRPr="00D226C8">
        <w:rPr>
          <w:i/>
          <w:iCs/>
        </w:rPr>
        <w:t>compare</w:t>
      </w:r>
      <w:r w:rsidRPr="00D226C8">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C00A31" w:rsidRPr="00D226C8" w:rsidRDefault="00C00A31" w:rsidP="00F506A3">
      <w:pPr>
        <w:ind w:firstLine="720"/>
        <w:mirrorIndents/>
      </w:pPr>
    </w:p>
    <w:p w14:paraId="6D20FFBA" w14:textId="14723C9B" w:rsidR="00C00A31" w:rsidRPr="00D226C8" w:rsidRDefault="00C00A31" w:rsidP="00F506A3">
      <w:pPr>
        <w:ind w:firstLine="720"/>
        <w:mirrorIndents/>
      </w:pPr>
      <w:r w:rsidRPr="00D226C8">
        <w:t xml:space="preserve">As noted in the text, the Supreme Court has addressed a number of questions relating to the damages available in Section 1983 actions without making Section 1988 the focus of its analysis.  </w:t>
      </w:r>
      <w:r w:rsidRPr="00D226C8">
        <w:rPr>
          <w:i/>
          <w:iCs/>
        </w:rPr>
        <w:t>See, e.g., Carey v. Piphus</w:t>
      </w:r>
      <w:r w:rsidRPr="00D226C8">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22">
    <w:p w14:paraId="25FF7630" w14:textId="77777777" w:rsidR="00C00A31" w:rsidRPr="00D226C8" w:rsidRDefault="00C00A31" w:rsidP="00F506A3">
      <w:pPr>
        <w:spacing w:after="240"/>
        <w:ind w:firstLine="720"/>
        <w:mirrorIndents/>
      </w:pPr>
      <w:r w:rsidRPr="00D226C8">
        <w:rPr>
          <w:rStyle w:val="FootnoteReference"/>
        </w:rPr>
        <w:footnoteRef/>
      </w:r>
      <w:r w:rsidRPr="00D226C8">
        <w:t xml:space="preserve">  Compensatory damages in a Section 1983 case “may include not only out</w:t>
      </w:r>
      <w:r w:rsidRPr="00D226C8">
        <w:noBreakHyphen/>
        <w:t>of</w:t>
      </w:r>
      <w:r w:rsidRPr="00D226C8">
        <w:noBreakHyphen/>
        <w:t xml:space="preserve">pocket loss and other monetary harms, but also such injuries as ‘impairment of reputation ..., personal humiliation, and mental anguish and suffering.’”  </w:t>
      </w:r>
      <w:r w:rsidRPr="00D226C8">
        <w:rPr>
          <w:i/>
          <w:iCs/>
        </w:rPr>
        <w:t>Memphis Community School Dist. v. Stachura</w:t>
      </w:r>
      <w:r w:rsidRPr="00D226C8">
        <w:t xml:space="preserve">, 477 U.S. 299, 307 (1986) (quoting </w:t>
      </w:r>
      <w:r w:rsidRPr="00D226C8">
        <w:rPr>
          <w:i/>
          <w:iCs/>
        </w:rPr>
        <w:t>Gertz v. Robert Welch, Inc.</w:t>
      </w:r>
      <w:r w:rsidRPr="00D226C8">
        <w:t xml:space="preserve">, 418 U.S. 323, 350 (1974)); </w:t>
      </w:r>
      <w:r w:rsidRPr="00D226C8">
        <w:rPr>
          <w:i/>
          <w:iCs/>
        </w:rPr>
        <w:t>see also Coleman v. Kaye</w:t>
      </w:r>
      <w:r w:rsidRPr="00D226C8">
        <w:t xml:space="preserve">, 87 F.3d 1491, 1507 (3d Cir. 1996) (in sex discrimination case, holding that plaintiff could recover damages under Section 1983 for “personal anguish she suffered as a result of being passed over for promotion”); </w:t>
      </w:r>
      <w:r w:rsidRPr="00D226C8">
        <w:rPr>
          <w:i/>
          <w:iCs/>
        </w:rPr>
        <w:t>Chainey v. Street</w:t>
      </w:r>
      <w:r w:rsidRPr="00D226C8">
        <w:t>, 523 F.3d 200, 216 (3d Cir. 2008) (discussing proof of damages for emotional distress).</w:t>
      </w:r>
    </w:p>
  </w:footnote>
  <w:footnote w:id="123">
    <w:p w14:paraId="5465CD67" w14:textId="77777777" w:rsidR="00C00A31" w:rsidRPr="00D226C8" w:rsidRDefault="00C00A31" w:rsidP="00F506A3">
      <w:pPr>
        <w:spacing w:after="240"/>
        <w:ind w:firstLine="720"/>
        <w:mirrorIndents/>
      </w:pPr>
      <w:r w:rsidRPr="00D226C8">
        <w:rPr>
          <w:rStyle w:val="FootnoteReference"/>
        </w:rPr>
        <w:footnoteRef/>
      </w:r>
      <w:r w:rsidRPr="00D226C8">
        <w:t xml:space="preserve">  One court has held that Section 1997e’s reference to “mental or emotional injury” does not encompass physical pain.  </w:t>
      </w:r>
      <w:r w:rsidRPr="00D226C8">
        <w:rPr>
          <w:i/>
          <w:iCs/>
        </w:rPr>
        <w:t>See Perez v. Jackson</w:t>
      </w:r>
      <w:r w:rsidRPr="00D226C8">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24">
    <w:p w14:paraId="6085CA93" w14:textId="77777777" w:rsidR="00C00A31" w:rsidRPr="00D226C8" w:rsidRDefault="00C00A31" w:rsidP="00F506A3">
      <w:pPr>
        <w:spacing w:after="240"/>
        <w:ind w:firstLine="720"/>
        <w:mirrorIndents/>
      </w:pPr>
      <w:r w:rsidRPr="00D226C8">
        <w:rPr>
          <w:rStyle w:val="FootnoteReference"/>
        </w:rPr>
        <w:footnoteRef/>
      </w:r>
      <w:r w:rsidRPr="00D226C8">
        <w:t xml:space="preserve">  “[T]he applicability of the personal injury requirement of 42 U.S.C. § 1997e(e) turns on the plaintiff's status as a prisoner, not at the time of the incident, but when the lawsuit is filed.”  </w:t>
      </w:r>
      <w:r w:rsidRPr="00D226C8">
        <w:rPr>
          <w:i/>
          <w:iCs/>
        </w:rPr>
        <w:t>Abdul</w:t>
      </w:r>
      <w:r w:rsidRPr="00D226C8">
        <w:rPr>
          <w:i/>
          <w:iCs/>
        </w:rPr>
        <w:noBreakHyphen/>
        <w:t>Akbar v. McKelvie</w:t>
      </w:r>
      <w:r w:rsidRPr="00D226C8">
        <w:t>, 239 F.3d 307, 314 (3d Cir. 2001) (en banc).</w:t>
      </w:r>
    </w:p>
  </w:footnote>
  <w:footnote w:id="125">
    <w:p w14:paraId="07B9414C" w14:textId="77777777" w:rsidR="00C00A31" w:rsidRPr="00D226C8" w:rsidRDefault="00C00A31" w:rsidP="00F506A3">
      <w:pPr>
        <w:spacing w:after="240"/>
        <w:ind w:firstLine="720"/>
        <w:mirrorIndents/>
      </w:pPr>
      <w:r w:rsidRPr="00D226C8">
        <w:rPr>
          <w:rStyle w:val="FootnoteReference"/>
        </w:rPr>
        <w:footnoteRef/>
      </w:r>
      <w:r w:rsidRPr="00D226C8">
        <w:t xml:space="preserve">  It is not entirely clear that Section 1997e(e) precludes an </w:t>
      </w:r>
      <w:r w:rsidRPr="00D226C8">
        <w:rPr>
          <w:i/>
          <w:iCs/>
        </w:rPr>
        <w:t>award</w:t>
      </w:r>
      <w:r w:rsidRPr="00D226C8">
        <w:t xml:space="preserve"> of damages for emotional injury absent a </w:t>
      </w:r>
      <w:r w:rsidRPr="00D226C8">
        <w:rPr>
          <w:i/>
          <w:iCs/>
        </w:rPr>
        <w:t>jury finding</w:t>
      </w:r>
      <w:r w:rsidRPr="00D226C8">
        <w:t xml:space="preserve"> of physical injury; rather, the statute focuses upon the pretrial stage, by precluding the prisoner from </w:t>
      </w:r>
      <w:r w:rsidRPr="00D226C8">
        <w:rPr>
          <w:i/>
          <w:iCs/>
        </w:rPr>
        <w:t>bringing</w:t>
      </w:r>
      <w:r w:rsidRPr="00D226C8">
        <w:t xml:space="preserve"> an action seeking damages for emotional injury absent a </w:t>
      </w:r>
      <w:r w:rsidRPr="00D226C8">
        <w:rPr>
          <w:i/>
          <w:iCs/>
        </w:rPr>
        <w:t>prior showing</w:t>
      </w:r>
      <w:r w:rsidRPr="00D226C8">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6">
    <w:p w14:paraId="690AB68E"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Cf. Slicker v. Jackson</w:t>
      </w:r>
      <w:r w:rsidRPr="00D226C8">
        <w:t>, 215 F.3d 1225, 1232 (11th Cir. 2000) (“[N]ominal damages may be appropriate where a jury reasonably concludes that the plaintiff's evidence of injury is not credible.”).</w:t>
      </w:r>
    </w:p>
  </w:footnote>
  <w:footnote w:id="127">
    <w:p w14:paraId="5B0A5D65"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Cf.  Brooks v. Andolina</w:t>
      </w:r>
      <w:r w:rsidRPr="00D226C8">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8">
    <w:p w14:paraId="37ADD68A" w14:textId="77777777" w:rsidR="00C00A31" w:rsidRPr="00D226C8" w:rsidRDefault="00C00A31" w:rsidP="00F506A3">
      <w:pPr>
        <w:spacing w:after="240"/>
        <w:ind w:firstLine="720"/>
        <w:mirrorIndents/>
      </w:pPr>
      <w:r w:rsidRPr="00D226C8">
        <w:rPr>
          <w:rStyle w:val="FootnoteReference"/>
        </w:rPr>
        <w:footnoteRef/>
      </w:r>
      <w:r w:rsidRPr="00D226C8">
        <w:t xml:space="preserve">  See Comment for alternative language tailored to Eighth Amendment excessive force claims.</w:t>
      </w:r>
    </w:p>
  </w:footnote>
  <w:footnote w:id="129">
    <w:p w14:paraId="230C46B9" w14:textId="77777777" w:rsidR="00C00A31" w:rsidRPr="00D226C8" w:rsidRDefault="00C00A31" w:rsidP="00F506A3">
      <w:pPr>
        <w:spacing w:after="240"/>
        <w:ind w:firstLine="720"/>
        <w:mirrorIndents/>
      </w:pPr>
      <w:r w:rsidRPr="00D226C8">
        <w:rPr>
          <w:rStyle w:val="FootnoteReference"/>
        </w:rPr>
        <w:footnoteRef/>
      </w:r>
      <w:r w:rsidRPr="00D226C8">
        <w:t xml:space="preserve">  The Court of Appeals has not addressed the question of the appropriate standard of proof for punitive damages with respect to Section 1983 claims, but at least one district court in the Third Circuit has applied the preponderance standard.  </w:t>
      </w:r>
      <w:r w:rsidRPr="00D226C8">
        <w:rPr>
          <w:i/>
          <w:iCs/>
        </w:rPr>
        <w:t>See Hopkins v. City of Wilmington</w:t>
      </w:r>
      <w:r w:rsidRPr="00D226C8">
        <w:t xml:space="preserve">, 615 F. Supp. 1455, 1465 (D. Del. 1985); </w:t>
      </w:r>
      <w:r w:rsidRPr="00D226C8">
        <w:rPr>
          <w:i/>
          <w:iCs/>
        </w:rPr>
        <w:t>cf., e.g., White v. Burlington Northern &amp; Santa Fe R. Co.</w:t>
      </w:r>
      <w:r w:rsidRPr="00D226C8">
        <w:t xml:space="preserve">, 364 F.3d 789, 805 (6th Cir. 2004) (en banc) (“[T]he appropriate burden of proof on a claim for punitive damages under Title VII is a preponderance of the evidence . . . .”), </w:t>
      </w:r>
      <w:r w:rsidRPr="00D226C8">
        <w:rPr>
          <w:i/>
          <w:iCs/>
        </w:rPr>
        <w:t>aff’d</w:t>
      </w:r>
      <w:r w:rsidRPr="00D226C8">
        <w:t xml:space="preserve">, 126 S. Ct. 2405 (2006); </w:t>
      </w:r>
      <w:r w:rsidRPr="00D226C8">
        <w:rPr>
          <w:i/>
          <w:iCs/>
        </w:rPr>
        <w:t>compare Pacific Mut. Life Ins. Co. v. Haslip</w:t>
      </w:r>
      <w:r w:rsidRPr="00D226C8">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30">
    <w:p w14:paraId="2901F1D6" w14:textId="77777777" w:rsidR="00C00A31" w:rsidRPr="00D226C8" w:rsidRDefault="00C00A31" w:rsidP="00F506A3">
      <w:pPr>
        <w:spacing w:after="240"/>
        <w:ind w:firstLine="720"/>
        <w:mirrorIndents/>
      </w:pPr>
      <w:r w:rsidRPr="00D226C8">
        <w:rPr>
          <w:rStyle w:val="FootnoteReference"/>
        </w:rPr>
        <w:footnoteRef/>
      </w:r>
      <w:r w:rsidRPr="00D226C8">
        <w:t xml:space="preserve">  Use “a particular defendant” and “against that defendant” in cases involving multiple defendants.</w:t>
      </w:r>
    </w:p>
  </w:footnote>
  <w:footnote w:id="131">
    <w:p w14:paraId="4AA77549" w14:textId="77777777" w:rsidR="00C00A31" w:rsidRPr="00D226C8" w:rsidRDefault="00C00A31" w:rsidP="00F506A3">
      <w:pPr>
        <w:spacing w:after="240"/>
        <w:ind w:firstLine="720"/>
        <w:mirrorIndents/>
      </w:pPr>
      <w:r w:rsidRPr="00D226C8">
        <w:rPr>
          <w:rStyle w:val="FootnoteReference"/>
        </w:rPr>
        <w:footnoteRef/>
      </w:r>
      <w:r w:rsidRPr="00D226C8">
        <w:t xml:space="preserve">  This clause may be most appropriate for cases in which a dangerous act luckily turns out to cause less damage than would have been reasonably expected.  </w:t>
      </w:r>
      <w:r w:rsidRPr="00D226C8">
        <w:rPr>
          <w:i/>
          <w:iCs/>
        </w:rPr>
        <w:t>See TXO Production Corp. v. Alliance Resources Corp.</w:t>
      </w:r>
      <w:r w:rsidRPr="00D226C8">
        <w:t>, 509 U.S. 443, 459 (1993) (Stevens, J., joined by Rehnquist, C.J., and Blackmun, J.) (noting a state court’s description of an example in which a person shoots into a crowd but fortuitously injures no one).</w:t>
      </w:r>
    </w:p>
  </w:footnote>
  <w:footnote w:id="132">
    <w:p w14:paraId="154B437E" w14:textId="77777777" w:rsidR="00C00A31" w:rsidRPr="00D226C8" w:rsidRDefault="00C00A31" w:rsidP="00F506A3">
      <w:pPr>
        <w:spacing w:after="240"/>
        <w:ind w:firstLine="720"/>
        <w:mirrorIndents/>
      </w:pPr>
      <w:r w:rsidRPr="00D226C8">
        <w:rPr>
          <w:rStyle w:val="FootnoteReference"/>
        </w:rPr>
        <w:footnoteRef/>
      </w:r>
      <w:r w:rsidRPr="00D226C8">
        <w:t xml:space="preserve">  Include this paragraph only when appropriate.  </w:t>
      </w:r>
      <w:r w:rsidRPr="00D226C8">
        <w:rPr>
          <w:i/>
          <w:iCs/>
        </w:rPr>
        <w:t>See</w:t>
      </w:r>
      <w:r w:rsidRPr="00D226C8">
        <w:t xml:space="preserve"> Comment for a discussion of</w:t>
      </w:r>
      <w:r w:rsidRPr="00D226C8">
        <w:rPr>
          <w:i/>
          <w:iCs/>
        </w:rPr>
        <w:t xml:space="preserve"> Philip Morris USA v. Williams</w:t>
      </w:r>
      <w:r w:rsidRPr="00D226C8">
        <w:t>, 127 S.Ct. 1057 (2007).</w:t>
      </w:r>
    </w:p>
  </w:footnote>
  <w:footnote w:id="133">
    <w:p w14:paraId="036907AD"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e.g., Coleman v. Kaye</w:t>
      </w:r>
      <w:r w:rsidRPr="00D226C8">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sidRPr="00D226C8">
        <w:rPr>
          <w:i/>
          <w:iCs/>
        </w:rPr>
        <w:t>Springer v. Henry</w:t>
      </w:r>
      <w:r w:rsidRPr="00D226C8">
        <w:t>, 435 F.3d 268, 281 (3d Cir. 2006) (“A jury may award punitive damages when it finds reckless, callous, intentional or malicious conduct.”).</w:t>
      </w:r>
    </w:p>
  </w:footnote>
  <w:footnote w:id="134">
    <w:p w14:paraId="6F58359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Savarese v. Agriss</w:t>
      </w:r>
      <w:r w:rsidRPr="00D226C8">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35">
    <w:p w14:paraId="260CAF1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Cooper Indus., Inc. v. Leatherman Tool Group, Inc.</w:t>
      </w:r>
      <w:r w:rsidRPr="00D226C8">
        <w:t>,  532 U.S. 424, 436 (2001) (holding that “courts of appeals should apply a de novo standard of review when passing on district courts' determinations of the constitutionality of punitive damages awards”).</w:t>
      </w:r>
    </w:p>
  </w:footnote>
  <w:footnote w:id="136">
    <w:p w14:paraId="4FA68323"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Exxon Shipping Co. v. Baker</w:t>
      </w:r>
      <w:r w:rsidRPr="00D226C8">
        <w:t>, 128 S. Ct. 2605, 2626 (2008) (“The Court’s response to outlier punitive damages awards has thus far been confined by [</w:t>
      </w:r>
      <w:r w:rsidRPr="00D226C8">
        <w:rPr>
          <w:i/>
          <w:iCs/>
        </w:rPr>
        <w:t>sic</w:t>
      </w:r>
      <w:r w:rsidRPr="00D226C8">
        <w:t xml:space="preserve">] claims at the constitutional level, and our cases have announced due process standards that every award must pass.”) (citing </w:t>
      </w:r>
      <w:r w:rsidRPr="00D226C8">
        <w:rPr>
          <w:i/>
          <w:iCs/>
        </w:rPr>
        <w:t>State Farm</w:t>
      </w:r>
      <w:r w:rsidRPr="00D226C8">
        <w:t xml:space="preserve"> and </w:t>
      </w:r>
      <w:r w:rsidRPr="00D226C8">
        <w:rPr>
          <w:i/>
          <w:iCs/>
        </w:rPr>
        <w:t>Gore</w:t>
      </w:r>
      <w:r w:rsidRPr="00D226C8">
        <w:t>).</w:t>
      </w:r>
    </w:p>
  </w:footnote>
  <w:footnote w:id="137">
    <w:p w14:paraId="4201B7DF" w14:textId="77777777" w:rsidR="00C00A31" w:rsidRPr="00D226C8" w:rsidRDefault="00C00A31" w:rsidP="00F506A3">
      <w:pPr>
        <w:spacing w:after="240"/>
        <w:ind w:firstLine="720"/>
        <w:mirrorIndents/>
      </w:pPr>
      <w:r w:rsidRPr="00D226C8">
        <w:rPr>
          <w:rStyle w:val="FootnoteReference"/>
        </w:rPr>
        <w:footnoteRef/>
      </w:r>
      <w:r w:rsidRPr="00D226C8">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sidRPr="00D226C8">
        <w:rPr>
          <w:i/>
          <w:iCs/>
        </w:rPr>
        <w:t>Exxon</w:t>
      </w:r>
      <w:r w:rsidRPr="00D226C8">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8">
    <w:p w14:paraId="56F7BDE7" w14:textId="77777777" w:rsidR="00C00A31" w:rsidRPr="00D226C8" w:rsidRDefault="00C00A31" w:rsidP="00F506A3">
      <w:pPr>
        <w:ind w:firstLine="720"/>
        <w:mirrorIndents/>
      </w:pPr>
      <w:r w:rsidRPr="00D226C8">
        <w:rPr>
          <w:rStyle w:val="FootnoteReference"/>
        </w:rPr>
        <w:footnoteRef/>
      </w:r>
      <w:r w:rsidRPr="00D226C8">
        <w:t xml:space="preserve">  To date, one of the few specific requirements imposed by the Court is that “[a] jury must be instructed . . . that it may not use evidence of out of state conduct to punish a defendant for action that was lawful in the jurisdiction where it occurred.”  </w:t>
      </w:r>
      <w:r w:rsidRPr="00D226C8">
        <w:rPr>
          <w:i/>
          <w:iCs/>
        </w:rPr>
        <w:t>State Farm</w:t>
      </w:r>
      <w:r w:rsidRPr="00D226C8">
        <w:t>, 538 U.S. at 422.  This requirement stems from the concern that a state should not impose punitive damages based on a defendant’s legal out-of-state conduct; that concern, of course, does not arise in the context of Section 1983 suits.</w:t>
      </w:r>
    </w:p>
    <w:p w14:paraId="793D233A" w14:textId="77777777" w:rsidR="00C00A31" w:rsidRPr="00D226C8" w:rsidRDefault="00C00A31" w:rsidP="00F506A3">
      <w:pPr>
        <w:spacing w:after="240"/>
        <w:ind w:firstLine="720"/>
        <w:mirrorIndents/>
      </w:pPr>
      <w:r w:rsidRPr="00D226C8">
        <w:t xml:space="preserve">The Court’s decision in </w:t>
      </w:r>
      <w:r w:rsidRPr="00D226C8">
        <w:rPr>
          <w:i/>
          <w:iCs/>
        </w:rPr>
        <w:t>Philip Morris</w:t>
      </w:r>
      <w:r w:rsidRPr="00D226C8">
        <w:t>, 127 S. Ct. 1057 (2007) – which addresses the jury’s consideration of harm to third parties – is discussed below.</w:t>
      </w:r>
    </w:p>
  </w:footnote>
  <w:footnote w:id="139">
    <w:p w14:paraId="397D5FE2"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CGB Occupational Therapy, Inc. v. RHA Health Services, Inc.</w:t>
      </w:r>
      <w:r w:rsidRPr="00D226C8">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sidRPr="00D226C8">
        <w:rPr>
          <w:i/>
          <w:iCs/>
        </w:rPr>
        <w:t>Campbell</w:t>
      </w:r>
      <w:r w:rsidRPr="00D226C8">
        <w:t xml:space="preserve">, 538 U.S. at 419); </w:t>
      </w:r>
      <w:r w:rsidRPr="00D226C8">
        <w:rPr>
          <w:i/>
          <w:iCs/>
        </w:rPr>
        <w:t>Cortez v. Trans Union, LLC</w:t>
      </w:r>
      <w:r w:rsidRPr="00D226C8">
        <w:t>, 617 F.3d 688, 718 n.37 (3d Cir. 2010) (in Fair Credit Reporting Act case, noting in dictum that there was “nothing wrong with a jury focusing on a ‘defendant's seeming insensitivity’ in deciding how much to award as punitive damages”).</w:t>
      </w:r>
    </w:p>
  </w:footnote>
  <w:footnote w:id="140">
    <w:p w14:paraId="19D425AA" w14:textId="77777777" w:rsidR="00C00A31" w:rsidRPr="00D226C8" w:rsidRDefault="00C00A31" w:rsidP="00F506A3">
      <w:pPr>
        <w:spacing w:after="240"/>
        <w:ind w:firstLine="720"/>
        <w:mirrorIndents/>
      </w:pPr>
      <w:r w:rsidRPr="00D226C8">
        <w:rPr>
          <w:rStyle w:val="FootnoteReference"/>
        </w:rPr>
        <w:footnoteRef/>
      </w:r>
      <w:r w:rsidRPr="00D226C8">
        <w:t xml:space="preserve">  In considering whether the defendant was a recidivist malefactor, the jury should consider only misconduct similar to that directed against the plaintiff.  </w:t>
      </w:r>
      <w:r w:rsidRPr="00D226C8">
        <w:rPr>
          <w:i/>
          <w:iCs/>
        </w:rPr>
        <w:t>See State Farm</w:t>
      </w:r>
      <w:r w:rsidRPr="00D226C8">
        <w:t xml:space="preserve">, 538 U.S. at 424 (“[B]ecause the Campbells have shown no conduct by State Farm similar to that which harmed them, the conduct that harmed them is the only conduct relevant to the reprehensibility analysis.”); </w:t>
      </w:r>
      <w:r w:rsidRPr="00D226C8">
        <w:rPr>
          <w:i/>
        </w:rPr>
        <w:t>Brand Marketing Group v. Interteck Testing</w:t>
      </w:r>
      <w:r w:rsidRPr="00D226C8">
        <w:t xml:space="preserve">, 801 F.3d 347, 365 (3d Cir. 2015) (holding </w:t>
      </w:r>
      <w:r w:rsidRPr="00D226C8">
        <w:rPr>
          <w:i/>
        </w:rPr>
        <w:t>State Farm</w:t>
      </w:r>
      <w:r w:rsidRPr="00D226C8">
        <w:t xml:space="preserve"> “does not prohibit the consideration of potential public harm in addition to the plaintiff’s injury. It prohibits only the consideration of conduct that is unrelated to the plaintiff’s case.”).</w:t>
      </w:r>
    </w:p>
  </w:footnote>
  <w:footnote w:id="141">
    <w:p w14:paraId="7AB5A5F3"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TXO Production Corp. v. Alliance Resources Corp.</w:t>
      </w:r>
      <w:r w:rsidRPr="00D226C8">
        <w:t xml:space="preserve">, 509 U.S. 443, 460 (1993) (Stevens, J., joined by Rehnquist, C.J., and Blackmun, J.) (“It is appropriate to consider the magnitude of the </w:t>
      </w:r>
      <w:r w:rsidRPr="00D226C8">
        <w:rPr>
          <w:i/>
          <w:iCs/>
        </w:rPr>
        <w:t xml:space="preserve">potential harm </w:t>
      </w:r>
      <w:r w:rsidRPr="00D226C8">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42">
    <w:p w14:paraId="25AC4826"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A55758">
        <w:rPr>
          <w:i/>
        </w:rPr>
        <w:t>Philip Morris</w:t>
      </w:r>
      <w:r w:rsidRPr="00D226C8">
        <w:t xml:space="preserve">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43">
    <w:p w14:paraId="2E835787" w14:textId="676FDD8D" w:rsidR="00C00A31" w:rsidRDefault="00C00A31" w:rsidP="00F506A3">
      <w:pPr>
        <w:ind w:firstLine="720"/>
        <w:mirrorIndents/>
      </w:pPr>
      <w:r w:rsidRPr="00D226C8">
        <w:rPr>
          <w:rStyle w:val="FootnoteReference"/>
        </w:rPr>
        <w:footnoteRef/>
      </w:r>
      <w:r w:rsidRPr="00D226C8">
        <w:t xml:space="preserve">  Some sets of model instructions include a reference to “extraordinary misconduct” or equivalent terms.  </w:t>
      </w:r>
      <w:r w:rsidRPr="00D226C8">
        <w:rPr>
          <w:i/>
          <w:iCs/>
        </w:rPr>
        <w:t>See</w:t>
      </w:r>
      <w:r w:rsidRPr="00D226C8">
        <w:t xml:space="preserve"> Eighth Circuit (Civil) Instruction 4.53 (“extraordinary misconduct”); Sand Instruction 87</w:t>
      </w:r>
      <w:r w:rsidRPr="00D226C8">
        <w:noBreakHyphen/>
        <w:t xml:space="preserve">92 (“extreme or outrageous conduct”).  One reason for the inclusion of this language may be that the instruction approved in </w:t>
      </w:r>
      <w:r w:rsidRPr="00D226C8">
        <w:rPr>
          <w:i/>
          <w:iCs/>
        </w:rPr>
        <w:t xml:space="preserve">Smith v. Wade </w:t>
      </w:r>
      <w:r w:rsidRPr="00D226C8">
        <w:t>referred to “extraordinary</w:t>
      </w:r>
      <w:r>
        <w:t xml:space="preserve"> </w:t>
      </w:r>
      <w:r w:rsidRPr="00D226C8">
        <w:t xml:space="preserve">misconduct.”  </w:t>
      </w:r>
      <w:r w:rsidRPr="00D226C8">
        <w:rPr>
          <w:i/>
          <w:iCs/>
        </w:rPr>
        <w:t>Smith</w:t>
      </w:r>
      <w:r w:rsidRPr="00D226C8">
        <w:t xml:space="preserve">, 461 U.S. at 33. </w:t>
      </w:r>
    </w:p>
    <w:p w14:paraId="49936AB9" w14:textId="77777777" w:rsidR="00C00A31" w:rsidRPr="00D226C8" w:rsidRDefault="00C00A31" w:rsidP="00F506A3">
      <w:pPr>
        <w:ind w:firstLine="720"/>
        <w:mirrorIndents/>
      </w:pPr>
    </w:p>
  </w:footnote>
  <w:footnote w:id="144">
    <w:p w14:paraId="7FC1B293" w14:textId="77777777" w:rsidR="00C00A31" w:rsidRPr="00D226C8" w:rsidRDefault="00C00A31" w:rsidP="00F506A3">
      <w:pPr>
        <w:spacing w:after="240"/>
        <w:ind w:firstLine="720"/>
        <w:mirrorIndents/>
      </w:pPr>
      <w:r w:rsidRPr="00D226C8">
        <w:rPr>
          <w:rStyle w:val="FootnoteReference"/>
        </w:rPr>
        <w:footnoteRef/>
      </w:r>
      <w:r w:rsidRPr="00D226C8">
        <w:t xml:space="preserve">  It is also unclear how a court would instruct a jury on the third Gore factor in the context of a Section 1983 suit; the model instruction omits any reference to this factor.</w:t>
      </w:r>
    </w:p>
  </w:footnote>
  <w:footnote w:id="145">
    <w:p w14:paraId="44ECBE1E" w14:textId="77777777" w:rsidR="00C00A31" w:rsidRPr="00D226C8" w:rsidRDefault="00C00A31" w:rsidP="00F506A3">
      <w:pPr>
        <w:ind w:firstLine="720"/>
        <w:mirrorIndents/>
      </w:pPr>
      <w:r w:rsidRPr="00D226C8">
        <w:rPr>
          <w:rStyle w:val="FootnoteReference"/>
        </w:rPr>
        <w:footnoteRef/>
      </w:r>
      <w:r w:rsidRPr="00D226C8">
        <w:t xml:space="preserve">  Indeed, an inflexible ratio would conflict with the well-established principle that compensatory damages are not a prerequisite for the imposition of punitive damages in civil rights cases.  </w:t>
      </w:r>
      <w:r w:rsidRPr="00D226C8">
        <w:rPr>
          <w:i/>
          <w:iCs/>
        </w:rPr>
        <w:t>See Allah v. Al</w:t>
      </w:r>
      <w:r w:rsidRPr="00D226C8">
        <w:rPr>
          <w:i/>
          <w:iCs/>
        </w:rPr>
        <w:noBreakHyphen/>
        <w:t>Hafeez</w:t>
      </w:r>
      <w:r w:rsidRPr="00D226C8">
        <w:t xml:space="preserve">, 226 F.3d 247, 251 (3d Cir. 2000) ("Punitive damages may . . . be awarded based solely on a constitutional violation, provided the proper showing is made."); </w:t>
      </w:r>
      <w:r w:rsidRPr="00D226C8">
        <w:rPr>
          <w:i/>
          <w:iCs/>
        </w:rPr>
        <w:t>cf. Alexander v. Riga</w:t>
      </w:r>
      <w:r w:rsidRPr="00D226C8">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sidRPr="00D226C8">
        <w:rPr>
          <w:i/>
          <w:iCs/>
        </w:rPr>
        <w:t>see also Williams v. Kaufman County</w:t>
      </w:r>
      <w:r w:rsidRPr="00D226C8">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C00A31" w:rsidRPr="00D226C8" w:rsidRDefault="00C00A31" w:rsidP="00F506A3">
      <w:pPr>
        <w:ind w:firstLine="720"/>
        <w:mirrorIndents/>
      </w:pPr>
    </w:p>
    <w:p w14:paraId="2C65420F" w14:textId="77777777" w:rsidR="00C00A31" w:rsidRPr="00D226C8" w:rsidRDefault="00C00A31" w:rsidP="00F506A3">
      <w:pPr>
        <w:spacing w:after="240"/>
        <w:ind w:firstLine="720"/>
        <w:mirrorIndents/>
      </w:pPr>
      <w:r w:rsidRPr="00D226C8">
        <w:t xml:space="preserve">The Court of Appeals has also suggested that the denominator used by a reviewing court might sometimes be larger than the amount of compensatory damages actually awarded by the jury.  </w:t>
      </w:r>
      <w:r w:rsidRPr="00D226C8">
        <w:rPr>
          <w:i/>
          <w:iCs/>
        </w:rPr>
        <w:t>See CGB Occupational</w:t>
      </w:r>
      <w:r w:rsidRPr="00D226C8">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6">
    <w:p w14:paraId="43A3F145"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Exxon Shipping Co. v. Baker</w:t>
      </w:r>
      <w:r w:rsidRPr="00D226C8">
        <w:t>, 128 S. Ct. 2605, 2622 (2008) (noting that “heavier punitive awards have been thought to be justifiable ... when the value of injury and the corresponding compensatory award are small (providing low incentives to sue)”).</w:t>
      </w:r>
    </w:p>
  </w:footnote>
  <w:footnote w:id="147">
    <w:p w14:paraId="036BCA46" w14:textId="77777777" w:rsidR="00C00A31" w:rsidRPr="00D226C8" w:rsidRDefault="00C00A31" w:rsidP="00F506A3">
      <w:pPr>
        <w:spacing w:after="240"/>
        <w:ind w:firstLine="720"/>
        <w:mirrorIndents/>
      </w:pPr>
      <w:r w:rsidRPr="00D226C8">
        <w:rPr>
          <w:rStyle w:val="FootnoteReference"/>
        </w:rPr>
        <w:footnoteRef/>
      </w:r>
      <w:r w:rsidRPr="00D226C8">
        <w:t xml:space="preserve">  A jury instructed to consider this ratio should be directed, for this purpose, to consider the harm the defendant caused </w:t>
      </w:r>
      <w:r w:rsidRPr="00D226C8">
        <w:rPr>
          <w:i/>
          <w:iCs/>
        </w:rPr>
        <w:t>the plaintiff</w:t>
      </w:r>
      <w:r w:rsidRPr="00D226C8">
        <w:t xml:space="preserve">, not harm caused to third parties.  </w:t>
      </w:r>
      <w:r w:rsidRPr="00D226C8">
        <w:rPr>
          <w:i/>
          <w:iCs/>
        </w:rPr>
        <w:t>See Philip Morris</w:t>
      </w:r>
      <w:r w:rsidRPr="00D226C8">
        <w:t xml:space="preserve">, 127 S.Ct. at 1063 (describing the second </w:t>
      </w:r>
      <w:r w:rsidRPr="00D226C8">
        <w:rPr>
          <w:i/>
          <w:iCs/>
        </w:rPr>
        <w:t>Gore</w:t>
      </w:r>
      <w:r w:rsidRPr="00D226C8">
        <w:t xml:space="preserve"> factor as “whether the award bears a reasonable relationship to the actual and potential harm caused by the defendant to the plaintiff”).</w:t>
      </w:r>
    </w:p>
  </w:footnote>
  <w:footnote w:id="148">
    <w:p w14:paraId="593B899D" w14:textId="77777777" w:rsidR="00C00A31" w:rsidRPr="00D226C8" w:rsidRDefault="00C00A31" w:rsidP="00F506A3">
      <w:pPr>
        <w:ind w:firstLine="720"/>
        <w:mirrorIndents/>
      </w:pPr>
      <w:r w:rsidRPr="00D226C8">
        <w:rPr>
          <w:rStyle w:val="FootnoteReference"/>
        </w:rPr>
        <w:footnoteRef/>
      </w:r>
      <w:r w:rsidRPr="00D226C8">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sidRPr="00D226C8">
        <w:rPr>
          <w:i/>
          <w:iCs/>
        </w:rPr>
        <w:t>State Farm</w:t>
      </w:r>
      <w:r w:rsidRPr="00D226C8">
        <w:t>, 538 U.S. at 427</w:t>
      </w:r>
      <w:r w:rsidRPr="00D226C8">
        <w:noBreakHyphen/>
        <w:t xml:space="preserve">28 (quoting </w:t>
      </w:r>
      <w:r w:rsidRPr="00D226C8">
        <w:rPr>
          <w:i/>
          <w:iCs/>
        </w:rPr>
        <w:t>Gore</w:t>
      </w:r>
      <w:r w:rsidRPr="00D226C8">
        <w:t xml:space="preserve">, 517 U.S. at 591 (Breyer, J., joined by O’Connor &amp; Souter, JJ., concurring)).  Although the </w:t>
      </w:r>
      <w:r w:rsidRPr="00D226C8">
        <w:rPr>
          <w:i/>
          <w:iCs/>
        </w:rPr>
        <w:t xml:space="preserve">State Farm </w:t>
      </w:r>
      <w:r w:rsidRPr="00D226C8">
        <w:t xml:space="preserve">Court’s quotation of this passage suggests the Court did not consider wealth an impermissible factor in the award of punitive damages, Justice Ginsburg posited that the Court’s reasoning might “unsettle” that principle.  </w:t>
      </w:r>
      <w:r w:rsidRPr="00D226C8">
        <w:rPr>
          <w:i/>
          <w:iCs/>
        </w:rPr>
        <w:t>See State Farm</w:t>
      </w:r>
      <w:r w:rsidRPr="00D226C8">
        <w:t>, 538 U.S. at 438 n.2 (Ginsburg, J., dissenting).</w:t>
      </w:r>
    </w:p>
    <w:p w14:paraId="5C1B2FFD" w14:textId="77777777" w:rsidR="00C00A31" w:rsidRPr="00D226C8" w:rsidRDefault="00C00A31" w:rsidP="00F506A3">
      <w:pPr>
        <w:ind w:firstLine="720"/>
        <w:mirrorIndents/>
      </w:pPr>
    </w:p>
    <w:p w14:paraId="1A0CE297" w14:textId="49B7DB00" w:rsidR="00C00A31" w:rsidRPr="00D226C8" w:rsidRDefault="00C00A31" w:rsidP="00F506A3">
      <w:pPr>
        <w:spacing w:after="240"/>
        <w:ind w:firstLine="720"/>
        <w:mirrorIndents/>
      </w:pPr>
      <w:r w:rsidRPr="00D226C8">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sidRPr="00D226C8">
        <w:rPr>
          <w:i/>
          <w:iCs/>
        </w:rPr>
        <w:t>See CGB Occupational</w:t>
      </w:r>
      <w:r w:rsidRPr="00D226C8">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sidRPr="00D226C8">
        <w:rPr>
          <w:i/>
          <w:iCs/>
        </w:rPr>
        <w:t>See id.</w:t>
      </w:r>
      <w:r w:rsidRPr="00D226C8">
        <w:t xml:space="preserve"> at 194 n.7.</w:t>
      </w:r>
    </w:p>
  </w:footnote>
  <w:footnote w:id="149">
    <w:p w14:paraId="7B5D80F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Cortez v. Trans Union, LLC</w:t>
      </w:r>
      <w:r w:rsidRPr="00D226C8">
        <w:t>, 617 F.3d 688, 718 n.37 (3d Cir. 2010) (in a Fair Credit Reporting Act case, stating in dictum that “[a] jury can consider the relative wealth of a defendant in deciding what amount is sufficient to inflict the intended punishment”).</w:t>
      </w:r>
    </w:p>
  </w:footnote>
  <w:footnote w:id="150">
    <w:p w14:paraId="4D2A4459" w14:textId="77777777" w:rsidR="00C00A31" w:rsidRPr="00D226C8" w:rsidRDefault="00C00A31" w:rsidP="00F506A3">
      <w:pPr>
        <w:spacing w:after="240"/>
        <w:ind w:firstLine="720"/>
        <w:mirrorIndents/>
      </w:pPr>
      <w:r w:rsidRPr="00D226C8">
        <w:rPr>
          <w:rStyle w:val="FootnoteReference"/>
        </w:rPr>
        <w:footnoteRef/>
      </w:r>
      <w:r w:rsidRPr="00D226C8">
        <w:t xml:space="preserve">  One commentator has argued that if an indemnified defendant submits evidence of limited personal means, the plaintiff should be permitted to submit evidence that the defendant will be indemnified.  </w:t>
      </w:r>
      <w:r w:rsidRPr="00D226C8">
        <w:rPr>
          <w:i/>
          <w:iCs/>
        </w:rPr>
        <w:t>See</w:t>
      </w:r>
      <w:r w:rsidRPr="00D226C8">
        <w:t xml:space="preserve"> Martin A. Schwartz, </w:t>
      </w:r>
      <w:r w:rsidRPr="00D226C8">
        <w:rPr>
          <w:i/>
          <w:iCs/>
        </w:rPr>
        <w:t>Should Juries Be Informed that Municipality Will Indemnify Officer's § 1983 Liability for Constitutional Wrongdoing?</w:t>
      </w:r>
      <w:r w:rsidRPr="00D226C8">
        <w:t xml:space="preserve">, 86 </w:t>
      </w:r>
      <w:r w:rsidRPr="00D226C8">
        <w:rPr>
          <w:smallCaps/>
        </w:rPr>
        <w:t xml:space="preserve">Iowa L. Rev. </w:t>
      </w:r>
      <w:r w:rsidRPr="00D226C8">
        <w:t>1209, 1247</w:t>
      </w:r>
      <w:r w:rsidRPr="00D226C8">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51">
    <w:p w14:paraId="698CED76" w14:textId="09A50303" w:rsidR="00C00A31" w:rsidRDefault="00C00A31" w:rsidP="00F506A3">
      <w:pPr>
        <w:ind w:firstLine="720"/>
        <w:mirrorIndents/>
      </w:pPr>
      <w:r w:rsidRPr="00D226C8">
        <w:rPr>
          <w:rStyle w:val="FootnoteReference"/>
        </w:rPr>
        <w:footnoteRef/>
      </w:r>
      <w:r w:rsidRPr="00D226C8">
        <w:t xml:space="preserve">  However, the court of appeals has rejected the contention that a lack of probable cause to make an arrest in itself establishes that the force used in making the arrest was excessive.  </w:t>
      </w:r>
      <w:r w:rsidRPr="00D226C8">
        <w:rPr>
          <w:i/>
          <w:iCs/>
        </w:rPr>
        <w:t>See Snell v. City of York</w:t>
      </w:r>
      <w:r w:rsidRPr="00D226C8">
        <w:t>, 564 F.3d 659, 672 (3d Cir. 2009) (rejecting plaintiff’s argument “that the force applied was excessive solely because probable cause was lacking for his arrest”).</w:t>
      </w:r>
    </w:p>
    <w:p w14:paraId="1A713EEB" w14:textId="77777777" w:rsidR="00C00A31" w:rsidRPr="00D226C8" w:rsidRDefault="00C00A31" w:rsidP="00F506A3">
      <w:pPr>
        <w:ind w:firstLine="720"/>
        <w:mirrorIndents/>
      </w:pPr>
    </w:p>
  </w:footnote>
  <w:footnote w:id="152">
    <w:p w14:paraId="5E7EAD9E" w14:textId="77777777" w:rsidR="00C00A31" w:rsidRPr="00D226C8" w:rsidRDefault="00C00A31" w:rsidP="00F506A3">
      <w:pPr>
        <w:spacing w:after="240"/>
        <w:ind w:firstLine="720"/>
        <w:mirrorIndents/>
      </w:pPr>
      <w:r w:rsidRPr="00D226C8">
        <w:rPr>
          <w:rStyle w:val="FootnoteReference"/>
        </w:rPr>
        <w:footnoteRef/>
      </w:r>
      <w:r w:rsidRPr="00D226C8">
        <w:t xml:space="preserve">  This inquiry should be based on the facts that the officer reasonably believed to be true at the time of the encounter.  </w:t>
      </w:r>
      <w:r w:rsidRPr="00D226C8">
        <w:rPr>
          <w:i/>
          <w:iCs/>
        </w:rPr>
        <w:t>See Saucier v. Katz</w:t>
      </w:r>
      <w:r w:rsidRPr="00D226C8">
        <w:t xml:space="preserve">, 533 U.S. 194, 205 (2001) (“If an officer reasonably, but mistakenly, believed that a suspect was likely to fight back ... the officer would be justified in using more force than in fact was needed.”); </w:t>
      </w:r>
      <w:r w:rsidRPr="00D226C8">
        <w:rPr>
          <w:i/>
          <w:iCs/>
        </w:rPr>
        <w:t>Estate of Smith v. Marasco</w:t>
      </w:r>
      <w:r w:rsidRPr="00D226C8">
        <w:t xml:space="preserve">, 318 F.3d 497, 516-17 (3d Cir. 2003) (analyzing Fourth Amendment excessive force claim based on officers’ knowledge or “objectively reasonable belief” concerning relevant facts); </w:t>
      </w:r>
      <w:r w:rsidRPr="00D226C8">
        <w:rPr>
          <w:i/>
          <w:iCs/>
        </w:rPr>
        <w:t>Curley v. Klem</w:t>
      </w:r>
      <w:r w:rsidRPr="00D226C8">
        <w:t>, 298 F.3d 271, 280 (3d Cir. 2002) (“</w:t>
      </w:r>
      <w:r w:rsidRPr="00D226C8">
        <w:rPr>
          <w:i/>
          <w:iCs/>
        </w:rPr>
        <w:t>Curley I</w:t>
      </w:r>
      <w:r w:rsidRPr="00D226C8">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sidRPr="00D226C8">
        <w:rPr>
          <w:i/>
          <w:iCs/>
        </w:rPr>
        <w:t>See Curley I</w:t>
      </w:r>
      <w:r w:rsidRPr="00D226C8">
        <w:t>, 298 F.3d at 281 (analyzing qualified immunity question based on the assumption “that a reasonable officer in Klem's position would have looked inside the Camry upon arriving at the scene”).</w:t>
      </w:r>
    </w:p>
  </w:footnote>
  <w:footnote w:id="153">
    <w:p w14:paraId="3CD779DD" w14:textId="77777777" w:rsidR="00C00A31" w:rsidRPr="00D226C8" w:rsidRDefault="00C00A31" w:rsidP="00F506A3">
      <w:pPr>
        <w:spacing w:after="240"/>
        <w:ind w:firstLine="720"/>
        <w:mirrorIndents/>
      </w:pPr>
      <w:r w:rsidRPr="00D226C8">
        <w:rPr>
          <w:rStyle w:val="FootnoteReference"/>
        </w:rPr>
        <w:footnoteRef/>
      </w:r>
      <w:r w:rsidRPr="00D226C8">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sidRPr="00D226C8">
        <w:rPr>
          <w:i/>
          <w:iCs/>
        </w:rPr>
        <w:t>Mosley v. Wilson</w:t>
      </w:r>
      <w:r w:rsidRPr="00D226C8">
        <w:t>, 102 F.3d 85, 95 (3d Cir. 1996).</w:t>
      </w:r>
    </w:p>
  </w:footnote>
  <w:footnote w:id="154">
    <w:p w14:paraId="316AE99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generally</w:t>
      </w:r>
      <w:r w:rsidRPr="00D226C8">
        <w:t xml:space="preserve"> Comment 4.12 (discussing the implications of </w:t>
      </w:r>
      <w:r w:rsidRPr="00D226C8">
        <w:rPr>
          <w:i/>
          <w:iCs/>
        </w:rPr>
        <w:t>Heck</w:t>
      </w:r>
      <w:r w:rsidRPr="00D226C8">
        <w:t>).</w:t>
      </w:r>
    </w:p>
  </w:footnote>
  <w:footnote w:id="155">
    <w:p w14:paraId="6D909C5F" w14:textId="77777777" w:rsidR="00C00A31" w:rsidRPr="00D226C8" w:rsidRDefault="00C00A31" w:rsidP="00F506A3">
      <w:pPr>
        <w:spacing w:after="240"/>
        <w:ind w:firstLine="720"/>
        <w:mirrorIndents/>
      </w:pPr>
      <w:r w:rsidRPr="00D226C8">
        <w:rPr>
          <w:rStyle w:val="FootnoteReference"/>
        </w:rPr>
        <w:footnoteRef/>
      </w:r>
      <w:r w:rsidRPr="00D226C8">
        <w:t xml:space="preserve">  Include all bullet points that are warranted by the evidence.  Include the bracketed language if listing more than one bullet point.</w:t>
      </w:r>
    </w:p>
  </w:footnote>
  <w:footnote w:id="156">
    <w:p w14:paraId="5FCBEA23" w14:textId="77777777" w:rsidR="00C00A31" w:rsidRPr="00D226C8" w:rsidRDefault="00C00A31" w:rsidP="00F506A3">
      <w:pPr>
        <w:spacing w:after="240"/>
        <w:ind w:firstLine="720"/>
        <w:mirrorIndents/>
      </w:pPr>
      <w:r w:rsidRPr="00D226C8">
        <w:rPr>
          <w:rStyle w:val="FootnoteReference"/>
        </w:rPr>
        <w:footnoteRef/>
      </w:r>
      <w:r w:rsidRPr="00D226C8">
        <w:t xml:space="preserve">  “[T]here can be no question that apprehension by the use of deadly force is a seizure subject to the reasonableness requirement of the Fourth Amendment.”  </w:t>
      </w:r>
      <w:r w:rsidRPr="00D226C8">
        <w:rPr>
          <w:i/>
          <w:iCs/>
        </w:rPr>
        <w:t>Garner</w:t>
      </w:r>
      <w:r w:rsidRPr="00D226C8">
        <w:t>, 471 U.S. at 7.</w:t>
      </w:r>
    </w:p>
  </w:footnote>
  <w:footnote w:id="157">
    <w:p w14:paraId="2CE223D9" w14:textId="77777777" w:rsidR="00C00A31" w:rsidRPr="00D226C8" w:rsidRDefault="00C00A31" w:rsidP="00F506A3">
      <w:pPr>
        <w:spacing w:after="240"/>
        <w:ind w:firstLine="720"/>
        <w:mirrorIndents/>
      </w:pPr>
      <w:r w:rsidRPr="00D226C8">
        <w:rPr>
          <w:rStyle w:val="FootnoteReference"/>
        </w:rPr>
        <w:footnoteRef/>
      </w:r>
      <w:r w:rsidRPr="00D226C8">
        <w:t xml:space="preserve">  As noted above, some uses of deadly force will give rise to cases in which a </w:t>
      </w:r>
      <w:r w:rsidRPr="00D226C8">
        <w:rPr>
          <w:i/>
          <w:iCs/>
        </w:rPr>
        <w:t>Garner</w:t>
      </w:r>
      <w:r w:rsidRPr="00D226C8">
        <w:t xml:space="preserve">-type instruction, such as Instruction 4.9.1, is not appropriate.  The remainder of this Comment uses the term “deadly force” to refer to deadly force used under circumstances which render a </w:t>
      </w:r>
      <w:r w:rsidRPr="00D226C8">
        <w:rPr>
          <w:i/>
          <w:iCs/>
        </w:rPr>
        <w:t>Garner</w:t>
      </w:r>
      <w:r w:rsidRPr="00D226C8">
        <w:t>-type instruction appropriate.</w:t>
      </w:r>
    </w:p>
  </w:footnote>
  <w:footnote w:id="158">
    <w:p w14:paraId="7A85FB38" w14:textId="77777777" w:rsidR="00C00A31" w:rsidRPr="00D226C8" w:rsidRDefault="00C00A31" w:rsidP="00F506A3">
      <w:pPr>
        <w:spacing w:after="240"/>
        <w:ind w:firstLine="720"/>
        <w:mirrorIndents/>
      </w:pPr>
      <w:r w:rsidRPr="00D226C8">
        <w:rPr>
          <w:rStyle w:val="FootnoteReference"/>
        </w:rPr>
        <w:footnoteRef/>
      </w:r>
      <w:r w:rsidRPr="00D226C8">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9">
    <w:p w14:paraId="010386D0" w14:textId="5145814B" w:rsidR="00C00A31" w:rsidRDefault="00C00A31" w:rsidP="00F506A3">
      <w:pPr>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In re City of Philadelphia Litigation</w:t>
      </w:r>
      <w:r w:rsidRPr="00D226C8">
        <w:t xml:space="preserve">, 49 F.3d 945, 966 (3d Cir. 1995) (opinion of Greenberg, J.) (concluding that defendants’ actions in dropping explosive on roof of house and allowing ensuing fire to burn did not constitute “deadly force” so as to trigger </w:t>
      </w:r>
      <w:r w:rsidRPr="00D226C8">
        <w:rPr>
          <w:i/>
          <w:iCs/>
        </w:rPr>
        <w:t>Garner</w:t>
      </w:r>
      <w:r w:rsidRPr="00D226C8">
        <w:t xml:space="preserve"> standard), and </w:t>
      </w:r>
      <w:r w:rsidRPr="00D226C8">
        <w:rPr>
          <w:i/>
          <w:iCs/>
        </w:rPr>
        <w:t>id.</w:t>
      </w:r>
      <w:r w:rsidRPr="00D226C8">
        <w:t xml:space="preserve"> at 973 n.1 (opinion of Scirica, J.) (“Although I believe the police may have used deadly force against the MOVE members, that confrontation is readily distinguishable from the situation in </w:t>
      </w:r>
      <w:r w:rsidRPr="00D226C8">
        <w:rPr>
          <w:i/>
          <w:iCs/>
        </w:rPr>
        <w:t>Garner</w:t>
      </w:r>
      <w:r w:rsidRPr="00D226C8">
        <w:t xml:space="preserve">.”), </w:t>
      </w:r>
      <w:r w:rsidRPr="00D226C8">
        <w:rPr>
          <w:i/>
          <w:iCs/>
        </w:rPr>
        <w:t xml:space="preserve">with id. </w:t>
      </w:r>
      <w:r w:rsidRPr="00D226C8">
        <w:t xml:space="preserve">at 978 n.1 (opinion of Lewis, J.) (“I believe that </w:t>
      </w:r>
      <w:r w:rsidRPr="00D226C8">
        <w:rPr>
          <w:i/>
          <w:iCs/>
        </w:rPr>
        <w:t>Garner</w:t>
      </w:r>
      <w:r w:rsidRPr="00D226C8">
        <w:t xml:space="preserve"> controls, and under </w:t>
      </w:r>
      <w:r w:rsidRPr="00D226C8">
        <w:rPr>
          <w:i/>
          <w:iCs/>
        </w:rPr>
        <w:t>Garner</w:t>
      </w:r>
      <w:r w:rsidRPr="00D226C8">
        <w:t xml:space="preserve">, it is clear to me that the deadly force used here was excessive as a matter of law and, therefore, unlawful.”).  The panel members’ debate, in </w:t>
      </w:r>
      <w:r w:rsidRPr="00D226C8">
        <w:rPr>
          <w:i/>
          <w:iCs/>
        </w:rPr>
        <w:t>In re City of Philadelphia Litigation,</w:t>
      </w:r>
      <w:r w:rsidRPr="00D226C8">
        <w:t xml:space="preserve"> over whether </w:t>
      </w:r>
      <w:r w:rsidRPr="00D226C8">
        <w:rPr>
          <w:i/>
          <w:iCs/>
        </w:rPr>
        <w:t>Garner</w:t>
      </w:r>
      <w:r w:rsidRPr="00D226C8">
        <w:t xml:space="preserve"> was the appropriate standard to apply prefigured the Supreme Court’s decision, in </w:t>
      </w:r>
      <w:r w:rsidRPr="00D226C8">
        <w:rPr>
          <w:i/>
          <w:iCs/>
        </w:rPr>
        <w:t>Scott v. Harris</w:t>
      </w:r>
      <w:r w:rsidRPr="00D226C8">
        <w:t xml:space="preserve">, to limit the reach of the </w:t>
      </w:r>
      <w:r w:rsidRPr="00D226C8">
        <w:rPr>
          <w:i/>
          <w:iCs/>
        </w:rPr>
        <w:t>Garner</w:t>
      </w:r>
      <w:r w:rsidRPr="00D226C8">
        <w:t xml:space="preserve"> test.</w:t>
      </w:r>
    </w:p>
    <w:p w14:paraId="727DF488" w14:textId="77777777" w:rsidR="00C00A31" w:rsidRPr="00D226C8" w:rsidRDefault="00C00A31" w:rsidP="00F506A3">
      <w:pPr>
        <w:ind w:firstLine="720"/>
        <w:mirrorIndents/>
      </w:pPr>
    </w:p>
    <w:p w14:paraId="5C465041" w14:textId="4D7FACB3" w:rsidR="00C00A31" w:rsidRDefault="00C00A31" w:rsidP="00F506A3">
      <w:pPr>
        <w:ind w:firstLine="720"/>
        <w:mirrorIndents/>
      </w:pPr>
      <w:r w:rsidRPr="00D226C8">
        <w:t xml:space="preserve">The Court of Appeals has decided other cases involving use of deadly force, but because those cases involved shootings, </w:t>
      </w:r>
      <w:r w:rsidRPr="00D226C8">
        <w:rPr>
          <w:i/>
          <w:iCs/>
        </w:rPr>
        <w:t>see, e.g.</w:t>
      </w:r>
      <w:r w:rsidRPr="00D226C8">
        <w:t xml:space="preserve">, </w:t>
      </w:r>
      <w:r w:rsidRPr="00D226C8">
        <w:rPr>
          <w:i/>
          <w:iCs/>
        </w:rPr>
        <w:t>Carswell v. Borough of Homestead</w:t>
      </w:r>
      <w:r w:rsidRPr="00D226C8">
        <w:t>, 381 F.3d 235, 237</w:t>
      </w:r>
      <w:r>
        <w:t xml:space="preserve"> </w:t>
      </w:r>
      <w:r w:rsidRPr="00D226C8">
        <w:t>(3d Cir. 2004), the court did not have occasion to consider what other types of force could fall within the definition of “deadly force.”</w:t>
      </w:r>
    </w:p>
    <w:p w14:paraId="36112605" w14:textId="77777777" w:rsidR="00C00A31" w:rsidRPr="00D226C8" w:rsidRDefault="00C00A31" w:rsidP="00F506A3">
      <w:pPr>
        <w:ind w:firstLine="720"/>
        <w:mirrorIndents/>
      </w:pPr>
    </w:p>
  </w:footnote>
  <w:footnote w:id="160">
    <w:p w14:paraId="1081B04C" w14:textId="77777777" w:rsidR="00C00A31" w:rsidRPr="00D226C8" w:rsidRDefault="00C00A31" w:rsidP="00F506A3">
      <w:pPr>
        <w:spacing w:after="240"/>
        <w:ind w:firstLine="720"/>
        <w:mirrorIndents/>
      </w:pPr>
      <w:r w:rsidRPr="00D226C8">
        <w:rPr>
          <w:rStyle w:val="FootnoteReference"/>
        </w:rPr>
        <w:footnoteRef/>
      </w:r>
      <w:r w:rsidRPr="00D226C8">
        <w:t xml:space="preserve">  The portion of Judge Greenberg’s opinion that addressed the definition of deadly force was joined by Judge Scirica, “but only for the limited purpose of agreeing that </w:t>
      </w:r>
      <w:r w:rsidRPr="00D226C8">
        <w:rPr>
          <w:i/>
          <w:iCs/>
        </w:rPr>
        <w:t xml:space="preserve">Tennessee v. Garner </w:t>
      </w:r>
      <w:r w:rsidRPr="00D226C8">
        <w:t xml:space="preserve">is inapplicable and that the appropriate inquiry is the reasonableness of the city defendants’ acts.”  </w:t>
      </w:r>
      <w:r w:rsidRPr="00D226C8">
        <w:rPr>
          <w:i/>
          <w:iCs/>
        </w:rPr>
        <w:t>In re City of Philadelphia Litigation</w:t>
      </w:r>
      <w:r w:rsidRPr="00D226C8">
        <w:t>, 49 F.3d at 964-65.</w:t>
      </w:r>
    </w:p>
  </w:footnote>
  <w:footnote w:id="161">
    <w:p w14:paraId="5A550F8D"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In re City of Philadelphia Litigation</w:t>
      </w:r>
      <w:r w:rsidRPr="00D226C8">
        <w:t xml:space="preserve">, 49 F.3d at 966 (opinion of Greenberg, J.) (quoting Model Penal Code § 3.11(2) (1994) and finding no deadly force); </w:t>
      </w:r>
      <w:r w:rsidRPr="00D226C8">
        <w:rPr>
          <w:i/>
          <w:iCs/>
        </w:rPr>
        <w:t>see also id.</w:t>
      </w:r>
      <w:r w:rsidRPr="00D226C8">
        <w:t xml:space="preserve"> at 977 (opinion of Lewis, J.) (quoting same section of MPC and finding deadly force).</w:t>
      </w:r>
    </w:p>
  </w:footnote>
  <w:footnote w:id="162">
    <w:p w14:paraId="0C427A0E" w14:textId="400F1529" w:rsidR="00C00A31" w:rsidRDefault="00C00A31" w:rsidP="00F506A3">
      <w:pPr>
        <w:ind w:firstLine="720"/>
        <w:mirrorIndents/>
      </w:pPr>
      <w:r w:rsidRPr="00D226C8">
        <w:rPr>
          <w:rStyle w:val="FootnoteReference"/>
        </w:rPr>
        <w:footnoteRef/>
      </w:r>
      <w:r w:rsidRPr="00D226C8">
        <w:t xml:space="preserve">  In </w:t>
      </w:r>
      <w:r w:rsidRPr="00D226C8">
        <w:rPr>
          <w:i/>
          <w:iCs/>
        </w:rPr>
        <w:t>Brosseau v. Haugen</w:t>
      </w:r>
      <w:r w:rsidRPr="00D226C8">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sidRPr="00D226C8">
        <w:rPr>
          <w:i/>
          <w:iCs/>
        </w:rPr>
        <w:t xml:space="preserve">see id. </w:t>
      </w:r>
      <w:r w:rsidRPr="00D226C8">
        <w:t>at 200.</w:t>
      </w:r>
    </w:p>
    <w:p w14:paraId="1DAB9BD7" w14:textId="77777777" w:rsidR="00C00A31" w:rsidRPr="00D226C8" w:rsidRDefault="00C00A31" w:rsidP="00F506A3">
      <w:pPr>
        <w:ind w:firstLine="720"/>
        <w:mirrorIndents/>
      </w:pPr>
    </w:p>
    <w:p w14:paraId="6D5118CA" w14:textId="77777777" w:rsidR="00C00A31" w:rsidRPr="00D226C8" w:rsidRDefault="00C00A31" w:rsidP="00F506A3">
      <w:pPr>
        <w:spacing w:after="240"/>
        <w:ind w:firstLine="720"/>
        <w:mirrorIndents/>
      </w:pPr>
      <w:r w:rsidRPr="00D226C8">
        <w:t xml:space="preserve">Justice Stevens believed the qualified immunity issue in </w:t>
      </w:r>
      <w:r w:rsidRPr="00D226C8">
        <w:rPr>
          <w:i/>
          <w:iCs/>
        </w:rPr>
        <w:t>Brosseau</w:t>
      </w:r>
      <w:r w:rsidRPr="00D226C8">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sidRPr="00D226C8">
        <w:rPr>
          <w:i/>
          <w:iCs/>
        </w:rPr>
        <w:t>Brosseau</w:t>
      </w:r>
      <w:r w:rsidRPr="00D226C8">
        <w:t xml:space="preserve">, 543 U.S. at 204 (Stevens, J., dissenting) (footnote omitted); </w:t>
      </w:r>
      <w:r w:rsidRPr="00D226C8">
        <w:rPr>
          <w:i/>
          <w:iCs/>
        </w:rPr>
        <w:t xml:space="preserve">see id. </w:t>
      </w:r>
      <w:r w:rsidRPr="00D226C8">
        <w:t>at 207 n.5 (“The factual issues relate only to the danger that [Haugen] posed while in the act of escaping.”).</w:t>
      </w:r>
    </w:p>
  </w:footnote>
  <w:footnote w:id="163">
    <w:p w14:paraId="5B30F5F1"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(assessing “whether a court can decide on summary judgment that Raso's shooting was objectively reasonable in self</w:t>
      </w:r>
      <w:r w:rsidRPr="00D226C8">
        <w:noBreakHyphen/>
        <w:t>defense”).</w:t>
      </w:r>
    </w:p>
  </w:footnote>
  <w:footnote w:id="164">
    <w:p w14:paraId="0058026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65">
    <w:p w14:paraId="4B6214A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Compare id.</w:t>
      </w:r>
      <w:r w:rsidRPr="00D226C8">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6">
    <w:p w14:paraId="0CBFD4BE" w14:textId="19D15B7E" w:rsidR="00C00A31" w:rsidRPr="00D226C8" w:rsidRDefault="00C00A31" w:rsidP="00F506A3">
      <w:pPr>
        <w:ind w:firstLine="720"/>
        <w:mirrorIndents/>
      </w:pPr>
      <w:r w:rsidRPr="00D226C8">
        <w:rPr>
          <w:rStyle w:val="FootnoteReference"/>
        </w:rPr>
        <w:footnoteRef/>
      </w:r>
      <w:r w:rsidRPr="00D226C8">
        <w:t xml:space="preserve">  As Chief Judge Becker noted, the facts in </w:t>
      </w:r>
      <w:r w:rsidRPr="00D226C8">
        <w:rPr>
          <w:i/>
          <w:iCs/>
        </w:rPr>
        <w:t>Grazier</w:t>
      </w:r>
      <w:r w:rsidRPr="00D226C8">
        <w:t xml:space="preserve"> included the following: “[T]he defendants were plain</w:t>
      </w:r>
      <w:r w:rsidRPr="00D226C8">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sidRPr="00D226C8">
        <w:rPr>
          <w:i/>
          <w:iCs/>
        </w:rPr>
        <w:t>Grazier</w:t>
      </w:r>
      <w:r w:rsidRPr="00D226C8">
        <w:t xml:space="preserve">, 328 F.3d at 131 (Becker, C.J., dissenting) – with the result, according to the plaintiff driver’s testimony, that he believed he was being carjacked, </w:t>
      </w:r>
      <w:r w:rsidRPr="00D226C8">
        <w:rPr>
          <w:i/>
          <w:iCs/>
        </w:rPr>
        <w:t xml:space="preserve">see id. </w:t>
      </w:r>
      <w:r w:rsidRPr="00D226C8">
        <w:t xml:space="preserve">at 123 (majority opinion).  </w:t>
      </w:r>
      <w:r w:rsidRPr="00D226C8">
        <w:rPr>
          <w:i/>
          <w:iCs/>
        </w:rPr>
        <w:t>Compare Bodine v. Warwick</w:t>
      </w:r>
      <w:r w:rsidRPr="00D226C8">
        <w:t xml:space="preserve">, 72 F.3d 393, 400 (3d Cir. 1995) (stating that officers who entered a dwelling unlawfully </w:t>
      </w:r>
      <w:r w:rsidRPr="00D226C8">
        <w:sym w:font="WP TypographicSymbols" w:char="0041"/>
      </w:r>
      <w:r w:rsidRPr="00D226C8">
        <w:t>would not be liable for harm produced by a ‘superseding cause,’ . . . . [a]nd they certainly would not be liable for harm that was caused by their non</w:t>
      </w:r>
      <w:r w:rsidRPr="00D226C8">
        <w:noBreakHyphen/>
        <w:t xml:space="preserve">tortious, as opposed to their tortious, ‘conduct,’ such as the use of reasonable force to arrest [the plaintiff]”); </w:t>
      </w:r>
      <w:r w:rsidRPr="00D226C8">
        <w:rPr>
          <w:i/>
          <w:iCs/>
        </w:rPr>
        <w:t>Lamont ex rel. Estate of Quick v. New Jersey</w:t>
      </w:r>
      <w:r w:rsidRPr="00D226C8">
        <w:t xml:space="preserve">, 637 F.3d 177, 186 (3d Cir. 2011) (following </w:t>
      </w:r>
      <w:r w:rsidRPr="00D226C8">
        <w:rPr>
          <w:i/>
          <w:iCs/>
        </w:rPr>
        <w:t>Bodine</w:t>
      </w:r>
      <w:r w:rsidRPr="00D226C8">
        <w:t xml:space="preserve"> and holding that “the troopers</w:t>
      </w:r>
      <w:r>
        <w:t>’</w:t>
      </w:r>
      <w:r w:rsidRPr="00D226C8">
        <w:t xml:space="preserve"> decision to enter the woods did not proximately cause Quick's death. Rather, Quick's noncompliant, threatening conduct in the woods was a superseding cause that served to break the chain of causation ....”).</w:t>
      </w:r>
    </w:p>
    <w:p w14:paraId="36513F1C" w14:textId="77777777" w:rsidR="00C00A31" w:rsidRPr="00D226C8" w:rsidRDefault="00C00A31" w:rsidP="00F506A3">
      <w:pPr>
        <w:spacing w:after="240"/>
        <w:ind w:firstLine="720"/>
        <w:mirrorIndents/>
      </w:pPr>
    </w:p>
  </w:footnote>
  <w:footnote w:id="167">
    <w:p w14:paraId="65EEF6F4" w14:textId="77777777" w:rsidR="00C00A31" w:rsidRPr="00D226C8" w:rsidRDefault="00C00A31"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68">
    <w:p w14:paraId="1B84CA0E" w14:textId="77777777" w:rsidR="00C00A31" w:rsidRPr="00D226C8" w:rsidRDefault="00C00A31" w:rsidP="00F506A3">
      <w:pPr>
        <w:spacing w:after="240"/>
        <w:ind w:firstLine="720"/>
        <w:mirrorIndents/>
      </w:pPr>
      <w:r w:rsidRPr="00D226C8">
        <w:rPr>
          <w:rStyle w:val="FootnoteReference"/>
        </w:rPr>
        <w:footnoteRef/>
      </w:r>
      <w:r w:rsidRPr="00D226C8">
        <w:t xml:space="preserve">  The Third Circuit has held that, in instructing a jury under </w:t>
      </w:r>
      <w:r w:rsidRPr="00D226C8">
        <w:rPr>
          <w:i/>
          <w:iCs/>
        </w:rPr>
        <w:t>Hudson</w:t>
      </w:r>
      <w:r w:rsidRPr="00D226C8">
        <w:t xml:space="preserve"> and </w:t>
      </w:r>
      <w:r w:rsidRPr="00D226C8">
        <w:rPr>
          <w:i/>
          <w:iCs/>
        </w:rPr>
        <w:t>Whitley</w:t>
      </w:r>
      <w:r w:rsidRPr="00D226C8">
        <w:t xml:space="preserve">, it is not error to state that the use of force must “shock the conscience.”  </w:t>
      </w:r>
      <w:r w:rsidRPr="00D226C8">
        <w:rPr>
          <w:i/>
          <w:iCs/>
        </w:rPr>
        <w:t>See Fuentes</w:t>
      </w:r>
      <w:r w:rsidRPr="00D226C8">
        <w:t>, 206 F.3d at 348-49. (</w:t>
      </w:r>
      <w:r w:rsidRPr="00D226C8">
        <w:rPr>
          <w:i/>
        </w:rPr>
        <w:t>Fuentes</w:t>
      </w:r>
      <w:r w:rsidRPr="00D226C8">
        <w:t xml:space="preserve"> applied the </w:t>
      </w:r>
      <w:r w:rsidRPr="00D226C8">
        <w:rPr>
          <w:i/>
        </w:rPr>
        <w:t>Hudson</w:t>
      </w:r>
      <w:r w:rsidRPr="00D226C8">
        <w:t xml:space="preserve"> and </w:t>
      </w:r>
      <w:r w:rsidRPr="00D226C8">
        <w:rPr>
          <w:i/>
        </w:rPr>
        <w:t>Whitley</w:t>
      </w:r>
      <w:r w:rsidRPr="00D226C8">
        <w:t xml:space="preserve"> standard to a prisoner with the constitutional status of a pretrial detainee—a holding apparently overruled by </w:t>
      </w:r>
      <w:r w:rsidRPr="00D226C8">
        <w:rPr>
          <w:i/>
        </w:rPr>
        <w:t>Kingsley</w:t>
      </w:r>
      <w:r w:rsidRPr="00D226C8">
        <w:t xml:space="preserve">—but its teaching about the content of the </w:t>
      </w:r>
      <w:r w:rsidRPr="00D226C8">
        <w:rPr>
          <w:i/>
        </w:rPr>
        <w:t>Hudson</w:t>
      </w:r>
      <w:r w:rsidRPr="00D226C8">
        <w:t xml:space="preserve"> and </w:t>
      </w:r>
      <w:r w:rsidRPr="00D226C8">
        <w:rPr>
          <w:i/>
        </w:rPr>
        <w:t>Whitley</w:t>
      </w:r>
      <w:r w:rsidRPr="00D226C8">
        <w:t xml:space="preserve"> remains good law.) </w:t>
      </w:r>
      <w:r w:rsidRPr="00D226C8">
        <w:rPr>
          <w:i/>
        </w:rPr>
        <w:t>See Young v. Martin</w:t>
      </w:r>
      <w:r w:rsidRPr="00D226C8">
        <w:t xml:space="preserve">, 801 F.3d 172 (3d Cir. 2015) (resolving issue, left open by </w:t>
      </w:r>
      <w:r w:rsidRPr="00D226C8">
        <w:rPr>
          <w:i/>
        </w:rPr>
        <w:t>Fuentes</w:t>
      </w:r>
      <w:r w:rsidRPr="00D226C8">
        <w:t xml:space="preserve">, whether the use of mechanical restraints should be analyzed under the excessive force line of cases or the conditions of confinement line of cases, by concluding that excessive force analysis is appropriate, and distinguishing </w:t>
      </w:r>
      <w:r w:rsidRPr="00D226C8">
        <w:rPr>
          <w:i/>
        </w:rPr>
        <w:t>Fuentes</w:t>
      </w:r>
      <w:r w:rsidRPr="00D226C8">
        <w:t xml:space="preserve"> on the facts). The model instruction does not include the “shocks the conscience” language, because – assuming that “shocks the conscience” describes a standard equivalent to that described in </w:t>
      </w:r>
      <w:r w:rsidRPr="00D226C8">
        <w:rPr>
          <w:i/>
          <w:iCs/>
        </w:rPr>
        <w:t>Hudson</w:t>
      </w:r>
      <w:r w:rsidRPr="00D226C8">
        <w:t xml:space="preserve"> – the “shocks the conscience” language is redundant.</w:t>
      </w:r>
    </w:p>
  </w:footnote>
  <w:footnote w:id="169">
    <w:p w14:paraId="0CE0552C" w14:textId="726626E9" w:rsidR="00C00A31" w:rsidRDefault="00C00A31" w:rsidP="00A9399C">
      <w:pPr>
        <w:pStyle w:val="FootnoteText"/>
        <w:ind w:firstLine="720"/>
        <w:jc w:val="left"/>
      </w:pPr>
      <w:r w:rsidRPr="00A55758">
        <w:rPr>
          <w:rStyle w:val="FootnoteReference"/>
        </w:rPr>
        <w:footnoteRef/>
      </w:r>
      <w:r>
        <w:t xml:space="preserve"> </w:t>
      </w:r>
      <w:r w:rsidRPr="00EE7050">
        <w:t xml:space="preserve">Drawing on the framework for excessive force claims set forth in </w:t>
      </w:r>
      <w:r w:rsidRPr="00EE7050">
        <w:rPr>
          <w:i/>
        </w:rPr>
        <w:t>Hudson v. McMillan</w:t>
      </w:r>
      <w:r w:rsidRPr="00EE7050">
        <w:t xml:space="preserve">, 503 U.S. 1 (1992), the court of appeals has held that sexual abuse of prisoners can violate the Constitution. </w:t>
      </w:r>
      <w:r w:rsidRPr="00EE7050">
        <w:rPr>
          <w:i/>
        </w:rPr>
        <w:t>Ricks v. Shover</w:t>
      </w:r>
      <w:r w:rsidRPr="00EE7050">
        <w:t xml:space="preserve">, 891 F.3d 468 (3d Cir. 2018). In these circumstances, the subjective prong depends on whether the official had a legitimate penological purpose or acted maliciously and sadistically for the very purpose of causing harm. The objective prong does not insist on “zero tolerance for all minor sexualized touching in prison,” </w:t>
      </w:r>
      <w:r w:rsidRPr="00EE7050">
        <w:rPr>
          <w:i/>
        </w:rPr>
        <w:t>Ricks</w:t>
      </w:r>
      <w:r w:rsidRPr="00EE7050">
        <w:t xml:space="preserve">, 891 F.3d at 477, but objectively serious sexual contact does include “sexualized fondling, coerced sexual activity, combinations of ongoing harassment and abuse, and exchanges of sexual activity for special treatment or to avoid discipline.” </w:t>
      </w:r>
      <w:r w:rsidRPr="00EE7050">
        <w:rPr>
          <w:i/>
        </w:rPr>
        <w:t>Id</w:t>
      </w:r>
      <w:r w:rsidRPr="00EE7050">
        <w:t>. at 478.</w:t>
      </w:r>
    </w:p>
  </w:footnote>
  <w:footnote w:id="170">
    <w:p w14:paraId="504845A4" w14:textId="77777777" w:rsidR="00C00A31" w:rsidRPr="00D226C8" w:rsidRDefault="00C00A31" w:rsidP="00F506A3">
      <w:pPr>
        <w:spacing w:after="240"/>
        <w:ind w:firstLine="720"/>
        <w:mirrorIndents/>
      </w:pPr>
      <w:r w:rsidRPr="00D226C8">
        <w:rPr>
          <w:rStyle w:val="FootnoteReference"/>
        </w:rPr>
        <w:footnoteRef/>
      </w:r>
      <w:r w:rsidRPr="00D226C8">
        <w:t xml:space="preserve">  The instruction given in </w:t>
      </w:r>
      <w:r w:rsidRPr="00D226C8">
        <w:rPr>
          <w:i/>
          <w:iCs/>
        </w:rPr>
        <w:t>Douglas v. Owens</w:t>
      </w:r>
      <w:r w:rsidRPr="00D226C8">
        <w:t xml:space="preserve">, 50 F.3d 1226 (3d Cir. 1995), did not include harm as an element.  </w:t>
      </w:r>
      <w:r w:rsidRPr="00D226C8">
        <w:rPr>
          <w:i/>
          <w:iCs/>
        </w:rPr>
        <w:t xml:space="preserve">See id. </w:t>
      </w:r>
      <w:r w:rsidRPr="00D226C8">
        <w:t xml:space="preserve">at 1232 n.13.  However, the defendants did not request that harm be included as an element, and did not raise the issue on appeal.  Thus, the </w:t>
      </w:r>
      <w:r w:rsidRPr="00D226C8">
        <w:rPr>
          <w:i/>
          <w:iCs/>
        </w:rPr>
        <w:t>Douglas</w:t>
      </w:r>
      <w:r w:rsidRPr="00D226C8">
        <w:t xml:space="preserve"> court may not have had occasion to consider the question.</w:t>
      </w:r>
    </w:p>
  </w:footnote>
  <w:footnote w:id="171">
    <w:p w14:paraId="7FA47426"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Rhodes v. Robinson</w:t>
      </w:r>
      <w:r w:rsidRPr="00D226C8">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72">
    <w:p w14:paraId="6308D242"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Douglas</w:t>
      </w:r>
      <w:r w:rsidRPr="00D226C8">
        <w:t xml:space="preserve">, the defendants “argue[d] that the charge given by the district court [wa]s inadequate because it fail[ed] to convey the notion that ‘force is not constitutionally “excessive” just because it turns out to have been unnecessary </w:t>
      </w:r>
      <w:r w:rsidRPr="00D226C8">
        <w:rPr>
          <w:i/>
          <w:iCs/>
        </w:rPr>
        <w:t>in hindsight</w:t>
      </w:r>
      <w:r w:rsidRPr="00D226C8">
        <w:t xml:space="preserve">.’” </w:t>
      </w:r>
      <w:r w:rsidRPr="00D226C8">
        <w:rPr>
          <w:i/>
          <w:iCs/>
        </w:rPr>
        <w:t>Id.</w:t>
      </w:r>
      <w:r w:rsidRPr="00D226C8">
        <w:t xml:space="preserve"> at 1233.  As noted in the text, the court rejected this contention.  The model instruction does state that the plaintiff cannot prove an Eighth Amendment violation “merely by showing that, in hindsight, the amount of force seems unreasonable.”  Though the </w:t>
      </w:r>
      <w:r w:rsidRPr="00D226C8">
        <w:rPr>
          <w:i/>
          <w:iCs/>
        </w:rPr>
        <w:t>Douglas</w:t>
      </w:r>
      <w:r w:rsidRPr="00D226C8">
        <w:t xml:space="preserve"> court held that such language was not required, it did not suggest that the language was inaccurate or misleading.</w:t>
      </w:r>
    </w:p>
  </w:footnote>
  <w:footnote w:id="173">
    <w:p w14:paraId="647722F0" w14:textId="77777777" w:rsidR="00C00A31" w:rsidRPr="00D226C8" w:rsidRDefault="00C00A31"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4">
    <w:p w14:paraId="49843FC8" w14:textId="77777777" w:rsidR="00C00A31" w:rsidRPr="00D226C8" w:rsidRDefault="00C00A31"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w:t>
      </w:r>
    </w:p>
  </w:footnote>
  <w:footnote w:id="175">
    <w:p w14:paraId="718FB964"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Betts v. New Castle Youth Development Center</w:t>
      </w:r>
      <w:r w:rsidRPr="00D226C8">
        <w:t xml:space="preserve">, 621 F.3d 249 (3d Cir. 2010), applied Eighth Amendment standards to a claim arising from injuries to a youth who had been “adjudicated delinquent” and “had been committed to ... a maximum security program for serious [juvenile] offenders,” </w:t>
      </w:r>
      <w:r w:rsidRPr="00D226C8">
        <w:rPr>
          <w:i/>
          <w:iCs/>
        </w:rPr>
        <w:t xml:space="preserve">id. </w:t>
      </w:r>
      <w:r w:rsidRPr="00D226C8">
        <w:t>at 252, 256 n.8.</w:t>
      </w:r>
    </w:p>
  </w:footnote>
  <w:footnote w:id="176">
    <w:p w14:paraId="31C81416" w14:textId="77777777" w:rsidR="00C00A31" w:rsidRPr="00D226C8" w:rsidRDefault="00C00A31" w:rsidP="00F506A3">
      <w:pPr>
        <w:spacing w:after="240"/>
        <w:ind w:firstLine="720"/>
        <w:mirrorIndents/>
      </w:pPr>
      <w:r w:rsidRPr="00D226C8">
        <w:rPr>
          <w:rStyle w:val="FootnoteReference"/>
        </w:rPr>
        <w:footnoteRef/>
      </w:r>
      <w:r w:rsidRPr="00D226C8">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sidRPr="00D226C8">
        <w:rPr>
          <w:i/>
          <w:iCs/>
        </w:rPr>
        <w:t>See Stevenson v. Carroll</w:t>
      </w:r>
      <w:r w:rsidRPr="00D226C8">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7">
    <w:p w14:paraId="48A3A8E2" w14:textId="69357E7E" w:rsidR="00C00A31" w:rsidRPr="00C73B9C" w:rsidRDefault="00C00A31" w:rsidP="00F506A3">
      <w:pPr>
        <w:spacing w:after="240"/>
        <w:ind w:firstLine="720"/>
        <w:mirrorIndents/>
      </w:pPr>
      <w:r w:rsidRPr="00D226C8">
        <w:rPr>
          <w:rStyle w:val="FootnoteReference"/>
        </w:rPr>
        <w:footnoteRef/>
      </w:r>
      <w:r w:rsidRPr="00D226C8">
        <w:t xml:space="preserve">  On some prior occasions, the Third Circuit has indicated that the standard for pretrial detainees is identical to that for convicted prisoners.  </w:t>
      </w:r>
      <w:r w:rsidRPr="00D226C8">
        <w:rPr>
          <w:i/>
          <w:iCs/>
        </w:rPr>
        <w:t>See Groman v. Township of Manalapan</w:t>
      </w:r>
      <w:r w:rsidRPr="00D226C8">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sidRPr="00D226C8">
        <w:rPr>
          <w:i/>
          <w:iCs/>
        </w:rPr>
        <w:t>See, e.g., Kost v. Kozakiewicz</w:t>
      </w:r>
      <w:r w:rsidRPr="00D226C8">
        <w:t xml:space="preserve">, 1 F.3d 176, 188 n.10 (3d Cir. 1993) (“It appears that no determination has as yet been made regarding how much more protection unconvicted prisoners should receive.   The appellants, however, have not raised this issue, and therefore we do not address it.”); </w:t>
      </w:r>
      <w:r w:rsidRPr="00D226C8">
        <w:rPr>
          <w:i/>
          <w:iCs/>
        </w:rPr>
        <w:t>Natale v. Camden County Correctional Facility</w:t>
      </w:r>
      <w:r w:rsidRPr="00D226C8">
        <w:t xml:space="preserve">, 318 F.3d 575, 581 n.5 (3d Cir. 2003); </w:t>
      </w:r>
      <w:r w:rsidRPr="00D226C8">
        <w:rPr>
          <w:i/>
          <w:iCs/>
        </w:rPr>
        <w:t>Woloszyn v. County of Lawrence</w:t>
      </w:r>
      <w:r w:rsidRPr="00D226C8">
        <w:t>, 396 F.3d 314, 320 n.5 (3d Cir. 2005) (“[I]n developing our jurisprudence on pre</w:t>
      </w:r>
      <w:r w:rsidRPr="00D226C8">
        <w:noBreakHyphen/>
        <w:t>trial detainees' suicides we looked to the Eighth Amendment ... because the due process rights of pre</w:t>
      </w:r>
      <w:r w:rsidRPr="00D226C8">
        <w:noBreakHyphen/>
        <w:t>trial detainees are at least as great as the Eighth Amendment rights of convicted and sentenced prisoners”)</w:t>
      </w:r>
      <w:r w:rsidRPr="00C73B9C">
        <w:t xml:space="preserve">; </w:t>
      </w:r>
      <w:r w:rsidRPr="00C73B9C">
        <w:rPr>
          <w:i/>
        </w:rPr>
        <w:t>Wharton v. Danberg</w:t>
      </w:r>
      <w:r w:rsidRPr="00C73B9C">
        <w:t>, 854 F.3d 234, 247 (3d Cir. 2017) (noting that “while the detention of sentenced inmates is governed by the Eight Amendment, the treatment of pretrial detainees is governed by the Due Process Clause,” but finding no need to delve into any differences, because the suit was against supervisory officials for the creation of policies and practices, which requires deliberate indifference, and there was no genuine dispute of material fact as to deliberate indifference).</w:t>
      </w:r>
    </w:p>
    <w:p w14:paraId="63B7530D" w14:textId="77777777" w:rsidR="00C00A31" w:rsidRPr="00D226C8" w:rsidRDefault="00C00A31" w:rsidP="00F506A3">
      <w:pPr>
        <w:spacing w:after="240"/>
        <w:ind w:firstLine="720"/>
        <w:mirrorIndents/>
      </w:pPr>
    </w:p>
  </w:footnote>
  <w:footnote w:id="178">
    <w:p w14:paraId="0AFA095F" w14:textId="77777777" w:rsidR="00C00A31" w:rsidRPr="00D226C8" w:rsidRDefault="00C00A31" w:rsidP="00F506A3">
      <w:pPr>
        <w:ind w:firstLine="720"/>
        <w:mirrorIndents/>
      </w:pPr>
      <w:r w:rsidRPr="00D226C8">
        <w:rPr>
          <w:rStyle w:val="FootnoteReference"/>
        </w:rPr>
        <w:footnoteRef/>
      </w:r>
      <w:r w:rsidRPr="00D226C8">
        <w:t xml:space="preserve">  By contrast, a plaintiff can prove deliberate indifference by showing that a physician knew what the appropriate treatment was and decided not to provide that treatment for a non-medical reason such as cost-cutting.  </w:t>
      </w:r>
      <w:r w:rsidRPr="00D226C8">
        <w:rPr>
          <w:i/>
          <w:iCs/>
        </w:rPr>
        <w:t>See Durmer v. O’Carroll</w:t>
      </w:r>
      <w:r w:rsidRPr="00D226C8">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14:paraId="3985D450" w14:textId="77777777" w:rsidR="00C00A31" w:rsidRPr="00D226C8" w:rsidRDefault="00C00A31" w:rsidP="00F506A3">
      <w:pPr>
        <w:ind w:firstLine="720"/>
        <w:mirrorIndents/>
      </w:pPr>
    </w:p>
    <w:p w14:paraId="3546275A" w14:textId="77777777" w:rsidR="00C00A31" w:rsidRPr="00D226C8" w:rsidRDefault="00C00A31" w:rsidP="00F506A3">
      <w:pPr>
        <w:spacing w:after="240"/>
        <w:ind w:firstLine="720"/>
        <w:mirrorIndents/>
      </w:pPr>
      <w:r w:rsidRPr="00D226C8">
        <w:t xml:space="preserve">Similarly, though “mere disagreements over medical judgment do not state Eighth Amendment claims,” </w:t>
      </w:r>
      <w:r w:rsidRPr="00D226C8">
        <w:rPr>
          <w:i/>
          <w:iCs/>
        </w:rPr>
        <w:t>White v. Napoleon</w:t>
      </w:r>
      <w:r w:rsidRPr="00D226C8">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sidRPr="00D226C8">
        <w:rPr>
          <w:i/>
          <w:iCs/>
        </w:rPr>
        <w:t xml:space="preserve"> id. </w:t>
      </w:r>
      <w:r w:rsidRPr="00D226C8">
        <w:t>at 111 (quoting amended complaint).</w:t>
      </w:r>
    </w:p>
  </w:footnote>
  <w:footnote w:id="179">
    <w:p w14:paraId="5F60771E" w14:textId="77777777" w:rsidR="00C00A31" w:rsidRPr="00D226C8" w:rsidRDefault="00C00A31" w:rsidP="00F506A3">
      <w:pPr>
        <w:spacing w:after="240"/>
        <w:ind w:firstLine="720"/>
        <w:mirrorIndents/>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w:t>
      </w:r>
      <w:r w:rsidRPr="00D226C8">
        <w:rPr>
          <w:i/>
          <w:iCs/>
        </w:rPr>
        <w:t>supra</w:t>
      </w:r>
      <w:r w:rsidRPr="00D226C8">
        <w:t xml:space="preserve"> Instruction 4.6.7 cmt. &amp; Instruction 4.6.8 cmt.</w:t>
      </w:r>
    </w:p>
  </w:footnote>
  <w:footnote w:id="180">
    <w:p w14:paraId="12C6A86C" w14:textId="77777777" w:rsidR="00C00A31" w:rsidRPr="00D226C8" w:rsidRDefault="00C00A31" w:rsidP="00F506A3">
      <w:pPr>
        <w:spacing w:after="240"/>
        <w:ind w:firstLine="720"/>
        <w:mirrorIndents/>
      </w:pPr>
      <w:r w:rsidRPr="00D226C8">
        <w:rPr>
          <w:rStyle w:val="FootnoteReference"/>
        </w:rPr>
        <w:footnoteRef/>
      </w:r>
      <w:r w:rsidRPr="00D226C8">
        <w:t xml:space="preserve">  However, a defendant “would not escape liability if the evidence showed that he merely refused to verify underlying facts that he strongly suspected to be true, or declined to confirm inferences of risk that he strongly suspected to exist.”  </w:t>
      </w:r>
      <w:r w:rsidRPr="00D226C8">
        <w:rPr>
          <w:i/>
          <w:iCs/>
        </w:rPr>
        <w:t>Id.</w:t>
      </w:r>
      <w:r w:rsidRPr="00D226C8">
        <w:t xml:space="preserve"> at 843 n.8.</w:t>
      </w:r>
    </w:p>
  </w:footnote>
  <w:footnote w:id="181">
    <w:p w14:paraId="6A37E7A3" w14:textId="3075ECF2"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Monmouth County Correctional Inst. Inmates v. Lanzaro</w:t>
      </w:r>
      <w:r w:rsidRPr="00D226C8">
        <w:t xml:space="preserve">, 834 F.2d 326, 346 (3d Cir. 1987) (quoting </w:t>
      </w:r>
      <w:r w:rsidRPr="00D226C8">
        <w:rPr>
          <w:i/>
          <w:iCs/>
        </w:rPr>
        <w:t>Westlake v. Lucas</w:t>
      </w:r>
      <w:r w:rsidRPr="00D226C8">
        <w:t>, 537 F.2d 857, 860 (6th Cir.1976</w:t>
      </w:r>
      <w:r w:rsidRPr="00990274">
        <w:t>))</w:t>
      </w:r>
      <w:r>
        <w:t>;</w:t>
      </w:r>
      <w:r w:rsidRPr="00990274">
        <w:rPr>
          <w:i/>
        </w:rPr>
        <w:t xml:space="preserve"> see Pearson v. Prison Health Serv</w:t>
      </w:r>
      <w:r w:rsidRPr="00990274">
        <w:t xml:space="preserve">., 850 F.3d 526, 540 (3d Cir. 2017) (reversing summary judgment for a nurse who was told that prisoner was suffering from excruciating pain at a time he was not being treated by a physician, refused to examine him in his cell, forced him to crawl to a wheelchair to obtain medical treatment, and did nothing but order him placed in the infirmary overnight despite recognized signs of appendicitis); </w:t>
      </w:r>
      <w:r w:rsidRPr="00990274">
        <w:rPr>
          <w:i/>
        </w:rPr>
        <w:t>Palakovic v. Wetzel</w:t>
      </w:r>
      <w:r w:rsidRPr="00990274">
        <w:t xml:space="preserve">, 854 F.3d 209 (3d Cir. 2017) (finding complaint sufficient because it alleged that medical personnel were forbidden from speaking with mentally ill prisoners in solitary confinement for more than one or two minutes at a time through solid steel doors, relied on medication rather than counseling, failed to evaluate the efficacy of the medication even when told that it was not effective, and substituted solitary confinement for treatment). </w:t>
      </w:r>
      <w:r w:rsidRPr="00990274">
        <w:rPr>
          <w:i/>
        </w:rPr>
        <w:t>Palakovic</w:t>
      </w:r>
      <w:r w:rsidRPr="00990274">
        <w:t xml:space="preserve"> also made clear that such a claim is distinct from a failure to prevent suicide claim.</w:t>
      </w:r>
    </w:p>
  </w:footnote>
  <w:footnote w:id="182">
    <w:p w14:paraId="7DBE3F17"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(quoting </w:t>
      </w:r>
      <w:r w:rsidRPr="00D226C8">
        <w:rPr>
          <w:i/>
          <w:iCs/>
        </w:rPr>
        <w:t>Ancata v. Prison Health Servs.</w:t>
      </w:r>
      <w:r w:rsidRPr="00D226C8">
        <w:t>, 769 F.2d 700, 704 (11th Cir.1985)).</w:t>
      </w:r>
    </w:p>
  </w:footnote>
  <w:footnote w:id="183">
    <w:p w14:paraId="06873E42" w14:textId="3877D6EF"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(quoting </w:t>
      </w:r>
      <w:r w:rsidRPr="00D226C8">
        <w:rPr>
          <w:i/>
          <w:iCs/>
        </w:rPr>
        <w:t>Ancata v. Prison Health Servs.</w:t>
      </w:r>
      <w:r w:rsidRPr="00D226C8">
        <w:t xml:space="preserve">, 769 F.2d 700, 704 (11th Cir.1985)); </w:t>
      </w:r>
      <w:r w:rsidRPr="00D226C8">
        <w:rPr>
          <w:i/>
        </w:rPr>
        <w:t>cf. Parkell v. Danberg</w:t>
      </w:r>
      <w:r w:rsidRPr="00D226C8">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84">
    <w:p w14:paraId="0D6C28D8"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at 347 (quoting </w:t>
      </w:r>
      <w:r w:rsidRPr="00D226C8">
        <w:rPr>
          <w:i/>
          <w:iCs/>
        </w:rPr>
        <w:t>Todaro v. Ward</w:t>
      </w:r>
      <w:r w:rsidRPr="00D226C8">
        <w:t xml:space="preserve">, 565 F.2d 48, 53 (2d Cir.1977)).  </w:t>
      </w:r>
      <w:r w:rsidRPr="00D226C8">
        <w:rPr>
          <w:i/>
        </w:rPr>
        <w:t>Compare</w:t>
      </w:r>
      <w:r w:rsidRPr="00D226C8">
        <w:t xml:space="preserve"> </w:t>
      </w:r>
      <w:r w:rsidRPr="00D226C8">
        <w:rPr>
          <w:i/>
        </w:rPr>
        <w:t>Byrd v. Shannon</w:t>
      </w:r>
      <w:r w:rsidRPr="00D226C8">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85">
    <w:p w14:paraId="0967A929"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w:t>
      </w:r>
      <w:r w:rsidRPr="00D226C8">
        <w:rPr>
          <w:i/>
          <w:iCs/>
        </w:rPr>
        <w:t>compare Reynolds v. Wagner</w:t>
      </w:r>
      <w:r w:rsidRPr="00D226C8">
        <w:t>, 128 F.3d 166, 174 (3d Cir. 1997) (rejecting “the plaintiffs' argument that charging inmates for medical care is per se unconstitutional”).</w:t>
      </w:r>
    </w:p>
  </w:footnote>
  <w:footnote w:id="186">
    <w:p w14:paraId="68D13055"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Lanzaro</w:t>
      </w:r>
      <w:r w:rsidRPr="00D226C8">
        <w:t xml:space="preserve">, 834 F.2d at 347 (quoting </w:t>
      </w:r>
      <w:r w:rsidRPr="00D226C8">
        <w:rPr>
          <w:i/>
          <w:iCs/>
        </w:rPr>
        <w:t>Inmates of Allegheny County Jail v. Pierce</w:t>
      </w:r>
      <w:r w:rsidRPr="00D226C8">
        <w:t>, 612 F.2d 754, 762 (3d Cir.1979)).</w:t>
      </w:r>
    </w:p>
  </w:footnote>
  <w:footnote w:id="187">
    <w:p w14:paraId="3C380DB0"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Rouse v. Plantier</w:t>
      </w:r>
      <w:r w:rsidRPr="00D226C8">
        <w:t xml:space="preserve">, 182 F.3d 192, 197 (3d Cir. 1999) (quoting </w:t>
      </w:r>
      <w:r w:rsidRPr="00D226C8">
        <w:rPr>
          <w:i/>
          <w:iCs/>
        </w:rPr>
        <w:t>White v. Napoleon</w:t>
      </w:r>
      <w:r w:rsidRPr="00D226C8">
        <w:t>, 897 F.2d 103, 109 (3d Cir. 1990)).</w:t>
      </w:r>
    </w:p>
  </w:footnote>
  <w:footnote w:id="188">
    <w:p w14:paraId="4D71E67D" w14:textId="77777777" w:rsidR="00C00A31" w:rsidRPr="00D226C8" w:rsidRDefault="00C00A31" w:rsidP="00F506A3">
      <w:pPr>
        <w:ind w:firstLine="720"/>
        <w:mirrorIndents/>
      </w:pPr>
      <w:r w:rsidRPr="00D226C8">
        <w:rPr>
          <w:rStyle w:val="FootnoteReference"/>
        </w:rPr>
        <w:footnoteRef/>
      </w:r>
      <w:r w:rsidRPr="00D226C8">
        <w:t xml:space="preserve">  For example, the court in </w:t>
      </w:r>
      <w:r w:rsidRPr="00D226C8">
        <w:rPr>
          <w:i/>
          <w:iCs/>
        </w:rPr>
        <w:t>Brooks v. Kyler</w:t>
      </w:r>
      <w:r w:rsidRPr="00D226C8">
        <w:t>, 204 F.3d 102 (3d Cir. 2000) rejected a medical-needs claim based on the following reasoning:</w:t>
      </w:r>
    </w:p>
    <w:p w14:paraId="25A4232D" w14:textId="77777777" w:rsidR="00C00A31" w:rsidRPr="00D226C8" w:rsidRDefault="00C00A31" w:rsidP="00F506A3">
      <w:pPr>
        <w:ind w:firstLine="720"/>
        <w:mirrorIndents/>
      </w:pPr>
    </w:p>
    <w:p w14:paraId="24E6400E" w14:textId="7AC19064" w:rsidR="00C00A31" w:rsidRPr="00D226C8" w:rsidRDefault="00C00A31" w:rsidP="00F506A3">
      <w:pPr>
        <w:ind w:left="720" w:right="720" w:firstLine="720"/>
        <w:mirrorIndents/>
      </w:pPr>
      <w:r w:rsidRPr="00D226C8">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sidRPr="00D226C8">
        <w:rPr>
          <w:i/>
          <w:iCs/>
        </w:rPr>
        <w:t>See Hudson v. McMillian</w:t>
      </w:r>
      <w:r w:rsidRPr="00D226C8">
        <w:t>, 503 U.S. 1, 9 (1992) (</w:t>
      </w:r>
      <w:r>
        <w:t>“</w:t>
      </w:r>
      <w:r w:rsidRPr="00D226C8">
        <w:t>Because society does not expect that prisoners will have unqualified access to health care, deliberate indifference to medical needs amounts to an Eighth Amendment violation only if those needs are serious.</w:t>
      </w:r>
      <w:r>
        <w:t>”</w:t>
      </w:r>
      <w:r w:rsidRPr="00D226C8">
        <w:t xml:space="preserve">). </w:t>
      </w:r>
    </w:p>
    <w:p w14:paraId="3034103C" w14:textId="77777777" w:rsidR="00C00A31" w:rsidRPr="00D226C8" w:rsidRDefault="00C00A31" w:rsidP="00F506A3">
      <w:pPr>
        <w:ind w:firstLine="720"/>
        <w:mirrorIndents/>
      </w:pPr>
    </w:p>
    <w:p w14:paraId="585F9BA5" w14:textId="77777777" w:rsidR="00C00A31" w:rsidRPr="00D226C8" w:rsidRDefault="00C00A31" w:rsidP="00F506A3">
      <w:pPr>
        <w:spacing w:after="240"/>
        <w:mirrorIndents/>
      </w:pPr>
      <w:r w:rsidRPr="00D226C8">
        <w:rPr>
          <w:i/>
          <w:iCs/>
        </w:rPr>
        <w:t xml:space="preserve">Id. </w:t>
      </w:r>
      <w:r w:rsidRPr="00D226C8">
        <w:t xml:space="preserve">at 105 n.4; </w:t>
      </w:r>
      <w:r w:rsidRPr="00D226C8">
        <w:rPr>
          <w:i/>
          <w:iCs/>
        </w:rPr>
        <w:t>see also Lanzaro</w:t>
      </w:r>
      <w:r w:rsidRPr="00D226C8">
        <w:t>, 834 F.2d at 347 (“The seriousness of an inmate's medical need may also be determined by reference to the effect of denying the particular treatment.”).</w:t>
      </w:r>
    </w:p>
  </w:footnote>
  <w:footnote w:id="189">
    <w:p w14:paraId="66E2FE94"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Atkinson</w:t>
      </w:r>
      <w:r w:rsidRPr="00D226C8">
        <w:t xml:space="preserve"> accords with a pre-</w:t>
      </w:r>
      <w:r w:rsidRPr="00D226C8">
        <w:rPr>
          <w:i/>
          <w:iCs/>
        </w:rPr>
        <w:t>Helling</w:t>
      </w:r>
      <w:r w:rsidRPr="00D226C8">
        <w:t xml:space="preserve"> case, </w:t>
      </w:r>
      <w:r w:rsidRPr="00D226C8">
        <w:rPr>
          <w:i/>
          <w:iCs/>
        </w:rPr>
        <w:t>White v. Napoleon</w:t>
      </w:r>
      <w:r w:rsidRPr="00D226C8">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sidRPr="00D226C8">
        <w:rPr>
          <w:i/>
          <w:iCs/>
        </w:rPr>
        <w:t>id.</w:t>
      </w:r>
      <w:r w:rsidRPr="00D226C8">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sidRPr="00D226C8">
        <w:rPr>
          <w:i/>
          <w:iCs/>
        </w:rPr>
        <w:t xml:space="preserve"> Id.</w:t>
      </w:r>
      <w:r w:rsidRPr="00D226C8">
        <w:t xml:space="preserve"> at 111.  The plaintiffs in </w:t>
      </w:r>
      <w:r w:rsidRPr="00D226C8">
        <w:rPr>
          <w:i/>
          <w:iCs/>
        </w:rPr>
        <w:t>White</w:t>
      </w:r>
      <w:r w:rsidRPr="00D226C8">
        <w:t xml:space="preserve"> sought both injunctive and monetary relief, and the court did not resolve whether the plaintiff who suffered mental anxiety and increased risk of future harm (but no present physical injury) could obtain damages.  </w:t>
      </w:r>
      <w:r w:rsidRPr="00D226C8">
        <w:rPr>
          <w:i/>
          <w:iCs/>
        </w:rPr>
        <w:t xml:space="preserve">See id. </w:t>
      </w:r>
      <w:r w:rsidRPr="00D226C8">
        <w:t>at 111 (“What damages, if any, flow from the alleged conduct is an issue for later proceedings.”).</w:t>
      </w:r>
    </w:p>
  </w:footnote>
  <w:footnote w:id="190">
    <w:p w14:paraId="2D4D545A" w14:textId="77777777" w:rsidR="00C00A31" w:rsidRPr="00D226C8" w:rsidRDefault="00C00A31" w:rsidP="00F506A3">
      <w:pPr>
        <w:spacing w:after="240"/>
        <w:ind w:firstLine="720"/>
        <w:mirrorIndents/>
      </w:pPr>
      <w:r w:rsidRPr="00D226C8">
        <w:rPr>
          <w:rStyle w:val="FootnoteReference"/>
        </w:rPr>
        <w:footnoteRef/>
      </w:r>
      <w:r w:rsidRPr="00D226C8">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sidRPr="00D226C8">
        <w:rPr>
          <w:i/>
          <w:iCs/>
        </w:rPr>
        <w:t>Id.</w:t>
      </w:r>
    </w:p>
  </w:footnote>
  <w:footnote w:id="191">
    <w:p w14:paraId="02EF1E5F" w14:textId="2DA4ADB7" w:rsidR="00C00A31" w:rsidRPr="003B5115" w:rsidRDefault="00C00A31" w:rsidP="00F506A3">
      <w:pPr>
        <w:pStyle w:val="FootnoteText"/>
        <w:shd w:val="clear" w:color="auto" w:fill="FFFFFF" w:themeFill="background1"/>
        <w:ind w:firstLine="720"/>
        <w:mirrorIndents/>
        <w:jc w:val="left"/>
      </w:pPr>
      <w:r w:rsidRPr="002E055C">
        <w:rPr>
          <w:rStyle w:val="FootnoteReference"/>
        </w:rPr>
        <w:footnoteRef/>
      </w:r>
      <w:r w:rsidRPr="002E055C">
        <w:rPr>
          <w:vertAlign w:val="superscript"/>
        </w:rPr>
        <w:t xml:space="preserve"> </w:t>
      </w:r>
      <w:r w:rsidRPr="00D226C8">
        <w:t xml:space="preserve">This Instruction is based on </w:t>
      </w:r>
      <w:r w:rsidRPr="00D226C8">
        <w:rPr>
          <w:i/>
          <w:iCs/>
        </w:rPr>
        <w:t>Farmer v. Brennan</w:t>
      </w:r>
      <w:r w:rsidRPr="00D226C8">
        <w:t xml:space="preserve">, 511 U.S. 825, 837 (1994), which rejected “an objective test for deliberate indifference” under the Eighth Amendment and held that such a claim requires that “the official knows of and disregards an excessive risk.” Readers should be aware that in </w:t>
      </w:r>
      <w:r w:rsidRPr="00D226C8">
        <w:rPr>
          <w:i/>
        </w:rPr>
        <w:t>Palakovic v. Wetzel</w:t>
      </w:r>
      <w:r w:rsidRPr="00D226C8">
        <w:t xml:space="preserve">, 854 F.3d 209 (3d Cir. 2017), however, the court of appeals stated that the district court “erroneously applied a subjective test,” by examining what the officials were actually aware of as opposed to what they should have been aware of and that “our case law is clear: It is not necessary for the custodian to have a subjective appreciation of the detainee’s particular vulnerability.” </w:t>
      </w:r>
      <w:r w:rsidRPr="00D226C8">
        <w:rPr>
          <w:i/>
        </w:rPr>
        <w:t>Id</w:t>
      </w:r>
      <w:r w:rsidRPr="00D226C8">
        <w:t>. at 231. See discussion in Comment.</w:t>
      </w:r>
      <w:r w:rsidRPr="003B5115">
        <w:rPr>
          <w:szCs w:val="24"/>
        </w:rPr>
        <w:t xml:space="preserve"> </w:t>
      </w:r>
    </w:p>
    <w:p w14:paraId="609B7A96" w14:textId="1E1B334D" w:rsidR="00C00A31" w:rsidRPr="00D226C8" w:rsidRDefault="00C00A31" w:rsidP="00F506A3">
      <w:pPr>
        <w:pStyle w:val="FootnoteText"/>
        <w:shd w:val="clear" w:color="auto" w:fill="FFFFFF" w:themeFill="background1"/>
        <w:ind w:firstLine="720"/>
        <w:mirrorIndents/>
        <w:jc w:val="left"/>
      </w:pPr>
      <w:r w:rsidRPr="00460B22">
        <w:t xml:space="preserve">In light of </w:t>
      </w:r>
      <w:r w:rsidRPr="00460B22">
        <w:rPr>
          <w:i/>
        </w:rPr>
        <w:t>Palakovic</w:t>
      </w:r>
      <w:r w:rsidRPr="00460B22">
        <w:t xml:space="preserve">, in appropriate cases, this sentence of the Instruction might be altered to state, “[Plaintiff] must show that [defendant] knew or should have known of the risk,” and the last two sentences of this paragraph of the Instruction omitted. </w:t>
      </w:r>
    </w:p>
  </w:footnote>
  <w:footnote w:id="192">
    <w:p w14:paraId="0AA9B958" w14:textId="77777777" w:rsidR="00C00A31" w:rsidRPr="00D226C8" w:rsidRDefault="00C00A31"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3">
    <w:p w14:paraId="21382715" w14:textId="77777777" w:rsidR="00C00A31" w:rsidRPr="00D226C8" w:rsidRDefault="00C00A31" w:rsidP="00F506A3">
      <w:pPr>
        <w:spacing w:after="240"/>
        <w:ind w:firstLine="720"/>
        <w:mirrorIndents/>
      </w:pPr>
      <w:r w:rsidRPr="00D226C8">
        <w:rPr>
          <w:rStyle w:val="FootnoteReference"/>
        </w:rPr>
        <w:footnoteRef/>
      </w:r>
      <w:r w:rsidRPr="00D226C8">
        <w:t xml:space="preserve">  If the plaintiff’s claim concerns a fatal attack on an inmate, the name of the decedent (rather than the plaintiff’s name) should be inserted in appropriate places in this instruction.</w:t>
      </w:r>
    </w:p>
  </w:footnote>
  <w:footnote w:id="194">
    <w:p w14:paraId="024025CA" w14:textId="77777777" w:rsidR="00C00A31" w:rsidRPr="00D226C8" w:rsidRDefault="00C00A31" w:rsidP="00F506A3">
      <w:pPr>
        <w:spacing w:after="240"/>
        <w:ind w:firstLine="720"/>
        <w:mirrorIndents/>
      </w:pPr>
      <w:r w:rsidRPr="00D226C8">
        <w:rPr>
          <w:rStyle w:val="FootnoteReference"/>
        </w:rPr>
        <w:footnoteRef/>
      </w:r>
      <w:r w:rsidRPr="00D226C8">
        <w:t xml:space="preserve">  For a discussion of whether physical injury is an element of this claim, see the Comment to this Instruction, below, and the Comments to Instructions 4.8.1 and 4.10. </w:t>
      </w:r>
    </w:p>
  </w:footnote>
  <w:footnote w:id="195">
    <w:p w14:paraId="71F66759" w14:textId="77777777" w:rsidR="00C00A31" w:rsidRPr="00D226C8" w:rsidRDefault="00C00A31"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6">
    <w:p w14:paraId="14E7A2EE" w14:textId="77777777" w:rsidR="00C00A31" w:rsidRPr="00D226C8" w:rsidRDefault="00C00A31" w:rsidP="00F506A3">
      <w:pPr>
        <w:spacing w:after="240"/>
        <w:ind w:firstLine="720"/>
        <w:mirrorIndents/>
      </w:pPr>
      <w:r w:rsidRPr="00D226C8">
        <w:rPr>
          <w:rStyle w:val="FootnoteReference"/>
        </w:rPr>
        <w:footnoteRef/>
      </w:r>
      <w:r w:rsidRPr="00D226C8">
        <w:rPr>
          <w:i/>
          <w:iCs/>
        </w:rPr>
        <w:t xml:space="preserve">  See, e.g., Urrutia v. Harrisburg County Police Dept.</w:t>
      </w:r>
      <w:r w:rsidRPr="00D226C8">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sidRPr="00D226C8">
        <w:rPr>
          <w:i/>
          <w:iCs/>
        </w:rPr>
        <w:t>A.M. ex rel. J.M.K. v. Luzerne County Juvenile Detention Center</w:t>
      </w:r>
      <w:r w:rsidRPr="00D226C8">
        <w:t xml:space="preserve">, 372 F.3d 572, 587 (3d Cir. 2004) (reversing grant of summary judgment to child care workers, and applying Eighth Amendment standard to claim that those workers failed to protect juvenile detainee from attack); </w:t>
      </w:r>
      <w:r w:rsidRPr="00D226C8">
        <w:rPr>
          <w:i/>
          <w:iCs/>
        </w:rPr>
        <w:t>id.</w:t>
      </w:r>
      <w:r w:rsidRPr="00D226C8">
        <w:t xml:space="preserve"> at 587 n.4 (noting that the substantive due process standard has “not been defined” but that “detainees are entitled to no less protection than a convicted prisoner”); </w:t>
      </w:r>
      <w:r w:rsidRPr="00D226C8">
        <w:rPr>
          <w:i/>
        </w:rPr>
        <w:t>Bistrian v. Levi</w:t>
      </w:r>
      <w:r w:rsidRPr="00D226C8">
        <w:t>, 696 F.3d 352, 367 (3d Cir. 2012).</w:t>
      </w:r>
    </w:p>
  </w:footnote>
  <w:footnote w:id="197">
    <w:p w14:paraId="15625250" w14:textId="77777777" w:rsidR="00C00A31" w:rsidRPr="00D226C8" w:rsidRDefault="00C00A31" w:rsidP="00F506A3">
      <w:pPr>
        <w:spacing w:after="240"/>
        <w:ind w:firstLine="720"/>
        <w:mirrorIndents/>
      </w:pPr>
      <w:r w:rsidRPr="00D226C8">
        <w:rPr>
          <w:rStyle w:val="FootnoteReference"/>
        </w:rPr>
        <w:footnoteRef/>
      </w:r>
      <w:r w:rsidRPr="00D226C8">
        <w:t xml:space="preserve">  “Having incarcerated ‘persons [with] demonstrated proclivit[ies] for antisocial criminal, and often violent, conduct,’ ... having stripped them of virtually every means of self</w:t>
      </w:r>
      <w:r w:rsidRPr="00D226C8">
        <w:noBreakHyphen/>
        <w:t xml:space="preserve">protection and foreclosed their access to outside aid, the government and its officials are not free to let the state of nature take its course.”  </w:t>
      </w:r>
      <w:r w:rsidRPr="00D226C8">
        <w:rPr>
          <w:i/>
          <w:iCs/>
        </w:rPr>
        <w:t>Farmer</w:t>
      </w:r>
      <w:r w:rsidRPr="00D226C8">
        <w:t xml:space="preserve">, 511 U.S. at 833 (quoting </w:t>
      </w:r>
      <w:r w:rsidRPr="00D226C8">
        <w:rPr>
          <w:i/>
          <w:iCs/>
        </w:rPr>
        <w:t>Hudson v. Palmer</w:t>
      </w:r>
      <w:r w:rsidRPr="00D226C8">
        <w:t>, 468 U.S. 517, 526 (1984)).</w:t>
      </w:r>
    </w:p>
  </w:footnote>
  <w:footnote w:id="198">
    <w:p w14:paraId="77FC9655" w14:textId="77777777" w:rsidR="00C00A31" w:rsidRPr="00D226C8" w:rsidRDefault="00C00A31" w:rsidP="00F506A3">
      <w:pPr>
        <w:spacing w:after="240"/>
        <w:ind w:firstLine="720"/>
        <w:mirrorIndents/>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Comment 4.6.7 &amp; Comment 4.6.8, </w:t>
      </w:r>
      <w:r w:rsidRPr="00D226C8">
        <w:rPr>
          <w:i/>
          <w:iCs/>
        </w:rPr>
        <w:t>supra</w:t>
      </w:r>
      <w:r w:rsidRPr="00D226C8">
        <w:t>.</w:t>
      </w:r>
    </w:p>
  </w:footnote>
  <w:footnote w:id="199">
    <w:p w14:paraId="302041D3" w14:textId="77777777" w:rsidR="00C00A31" w:rsidRPr="00D226C8" w:rsidRDefault="00C00A31" w:rsidP="00F506A3">
      <w:pPr>
        <w:spacing w:after="240"/>
        <w:ind w:firstLine="720"/>
        <w:mirrorIndents/>
      </w:pPr>
      <w:r w:rsidRPr="00D226C8">
        <w:rPr>
          <w:rStyle w:val="FootnoteReference"/>
        </w:rPr>
        <w:footnoteRef/>
      </w:r>
      <w:r w:rsidRPr="00D226C8">
        <w:t xml:space="preserve">  The fact that the plaintiff did not notify the defendant in advance concerning the risk of attack does not preclude a finding of subjective recklessness.  </w:t>
      </w:r>
      <w:r w:rsidRPr="00D226C8">
        <w:rPr>
          <w:i/>
          <w:iCs/>
        </w:rPr>
        <w:t>See Farmer</w:t>
      </w:r>
      <w:r w:rsidRPr="00D226C8">
        <w:t xml:space="preserve">, 511 U.S. at 848; </w:t>
      </w:r>
      <w:r w:rsidRPr="00D226C8">
        <w:rPr>
          <w:i/>
          <w:iCs/>
        </w:rPr>
        <w:t>Hamilton v. Leavy</w:t>
      </w:r>
      <w:r w:rsidRPr="00D226C8">
        <w:t>, 117 F.3d 742, 747 (3d Cir. 1997).</w:t>
      </w:r>
    </w:p>
  </w:footnote>
  <w:footnote w:id="200">
    <w:p w14:paraId="608A1ABC"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Hamilton v. Leavy</w:t>
      </w:r>
      <w:r w:rsidRPr="00D226C8">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sidRPr="00D226C8">
        <w:rPr>
          <w:i/>
          <w:iCs/>
        </w:rPr>
        <w:t>Beers</w:t>
      </w:r>
      <w:r w:rsidRPr="00D226C8">
        <w:rPr>
          <w:i/>
          <w:iCs/>
        </w:rPr>
        <w:noBreakHyphen/>
        <w:t>Capitol v. Whetzel</w:t>
      </w:r>
      <w:r w:rsidRPr="00D226C8">
        <w:t>, 256 F.3d 120, 138 (3d Cir. 2001).</w:t>
      </w:r>
    </w:p>
  </w:footnote>
  <w:footnote w:id="201">
    <w:p w14:paraId="2D308B65" w14:textId="77777777" w:rsidR="00C00A31" w:rsidRPr="00D226C8" w:rsidRDefault="00C00A31" w:rsidP="00F506A3">
      <w:pPr>
        <w:spacing w:after="240"/>
        <w:ind w:firstLine="720"/>
        <w:mirrorIndents/>
      </w:pPr>
      <w:r w:rsidRPr="00D226C8">
        <w:rPr>
          <w:rStyle w:val="FootnoteReference"/>
        </w:rPr>
        <w:footnoteRef/>
      </w:r>
      <w:r w:rsidRPr="00D226C8">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sidRPr="00D226C8">
        <w:rPr>
          <w:i/>
          <w:iCs/>
        </w:rPr>
        <w:t>Farmer</w:t>
      </w:r>
      <w:r w:rsidRPr="00D226C8">
        <w:t>, 511 U.S. at 843 n.8.</w:t>
      </w:r>
    </w:p>
  </w:footnote>
  <w:footnote w:id="202">
    <w:p w14:paraId="3A606727" w14:textId="77777777" w:rsidR="00C00A31" w:rsidRPr="00D226C8" w:rsidRDefault="00C00A31" w:rsidP="00F506A3">
      <w:pPr>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Beers</w:t>
      </w:r>
      <w:r w:rsidRPr="00D226C8">
        <w:rPr>
          <w:i/>
          <w:iCs/>
        </w:rPr>
        <w:noBreakHyphen/>
        <w:t>Capitol</w:t>
      </w:r>
      <w:r w:rsidRPr="00D226C8">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C00A31" w:rsidRPr="00D226C8" w:rsidRDefault="00C00A31" w:rsidP="00F506A3">
      <w:pPr>
        <w:ind w:firstLine="720"/>
        <w:mirrorIndents/>
      </w:pPr>
    </w:p>
    <w:p w14:paraId="0E707066" w14:textId="77777777" w:rsidR="00C00A31" w:rsidRPr="00D226C8" w:rsidRDefault="00C00A31" w:rsidP="00F506A3">
      <w:pPr>
        <w:spacing w:after="240"/>
        <w:ind w:firstLine="720"/>
        <w:mirrorIndents/>
      </w:pPr>
      <w:r w:rsidRPr="00D226C8">
        <w:t xml:space="preserve">Even if a defendant initially makes a recommendation that constitutes a reasonable response to the risk to the inmate, the defendant may be liable if she fails to take additional reasonable steps when that recommendation is rejected.  For example, in </w:t>
      </w:r>
      <w:r w:rsidRPr="00D226C8">
        <w:rPr>
          <w:i/>
          <w:iCs/>
        </w:rPr>
        <w:t>Hamilton v. Leavy</w:t>
      </w:r>
      <w:r w:rsidRPr="00D226C8">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sidRPr="00D226C8">
        <w:rPr>
          <w:i/>
          <w:iCs/>
        </w:rPr>
        <w:t>Hamilton</w:t>
      </w:r>
      <w:r w:rsidRPr="00D226C8">
        <w:t>, 117 F.3d at 748.</w:t>
      </w:r>
    </w:p>
  </w:footnote>
  <w:footnote w:id="203">
    <w:p w14:paraId="0A94AE1C" w14:textId="77777777" w:rsidR="00C00A31" w:rsidRPr="00D226C8" w:rsidRDefault="00C00A31" w:rsidP="00F506A3">
      <w:pPr>
        <w:ind w:firstLine="720"/>
        <w:mirrorIndents/>
      </w:pPr>
      <w:r w:rsidRPr="00D226C8">
        <w:rPr>
          <w:rStyle w:val="FootnoteReference"/>
        </w:rPr>
        <w:footnoteRef/>
      </w:r>
      <w:r w:rsidRPr="00D226C8">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C00A31" w:rsidRPr="00D226C8" w:rsidRDefault="00C00A31" w:rsidP="00F506A3">
      <w:pPr>
        <w:ind w:firstLine="720"/>
        <w:mirrorIndents/>
      </w:pPr>
    </w:p>
    <w:p w14:paraId="552F1B5C" w14:textId="77777777" w:rsidR="00C00A31" w:rsidRPr="00D226C8" w:rsidRDefault="00C00A31" w:rsidP="00F506A3">
      <w:pPr>
        <w:ind w:firstLine="720"/>
        <w:mirrorIndents/>
      </w:pPr>
      <w:r w:rsidRPr="00D226C8">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sidRPr="00D226C8">
        <w:rPr>
          <w:i/>
          <w:iCs/>
        </w:rPr>
        <w:t>See Berg</w:t>
      </w:r>
      <w:r w:rsidRPr="00D226C8">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C00A31" w:rsidRPr="00D226C8" w:rsidRDefault="00C00A31" w:rsidP="00F506A3">
      <w:pPr>
        <w:ind w:firstLine="720"/>
        <w:mirrorIndents/>
      </w:pPr>
    </w:p>
    <w:p w14:paraId="35518C7B" w14:textId="77777777" w:rsidR="00C00A31" w:rsidRPr="00D226C8" w:rsidRDefault="00C00A31" w:rsidP="00F506A3">
      <w:pPr>
        <w:spacing w:after="240"/>
        <w:ind w:firstLine="720"/>
        <w:mirrorIndents/>
      </w:pPr>
      <w:r w:rsidRPr="00D226C8">
        <w:t>This Comment focuses on the first two steps of the inquiry – seizure and unreasonableness.</w:t>
      </w:r>
    </w:p>
  </w:footnote>
  <w:footnote w:id="204">
    <w:p w14:paraId="14870BF3" w14:textId="77777777" w:rsidR="00C00A31" w:rsidRPr="00D226C8" w:rsidRDefault="00C00A31" w:rsidP="00F506A3">
      <w:pPr>
        <w:ind w:firstLine="720"/>
        <w:mirrorIndents/>
        <w:rPr>
          <w:i/>
          <w:iCs/>
        </w:rPr>
      </w:pPr>
      <w:r w:rsidRPr="00D226C8">
        <w:rPr>
          <w:rStyle w:val="FootnoteReference"/>
        </w:rPr>
        <w:footnoteRef/>
      </w:r>
      <w:r w:rsidRPr="00D226C8">
        <w:t xml:space="preserve"> “[A] Fourth Amendment seizure . . . [occurs] only when there is a governmental termination of freedom of movement </w:t>
      </w:r>
      <w:r w:rsidRPr="00D226C8">
        <w:rPr>
          <w:i/>
          <w:iCs/>
        </w:rPr>
        <w:t>through means intentionally applied</w:t>
      </w:r>
      <w:r w:rsidRPr="00D226C8">
        <w:t xml:space="preserve">.”  </w:t>
      </w:r>
      <w:r w:rsidRPr="00D226C8">
        <w:rPr>
          <w:i/>
          <w:iCs/>
        </w:rPr>
        <w:t>Brower v. County of Inyo</w:t>
      </w:r>
      <w:r w:rsidRPr="00D226C8">
        <w:t xml:space="preserve">, 489 U.S. 593, 596-97 (1989) (emphasis in original).  “A seizure occurs even when an unintended person is the object of detention, so long as the means of detention are intentionally applied to that person.” </w:t>
      </w:r>
      <w:r w:rsidRPr="00D226C8">
        <w:rPr>
          <w:i/>
          <w:iCs/>
        </w:rPr>
        <w:t xml:space="preserve"> Berg</w:t>
      </w:r>
      <w:r w:rsidRPr="00D226C8">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sidRPr="00D226C8">
        <w:rPr>
          <w:i/>
          <w:iCs/>
        </w:rPr>
        <w:t>Id.</w:t>
      </w:r>
    </w:p>
    <w:p w14:paraId="1BE224C6" w14:textId="77777777" w:rsidR="00C00A31" w:rsidRPr="00D226C8" w:rsidRDefault="00C00A31" w:rsidP="00F506A3">
      <w:pPr>
        <w:ind w:firstLine="720"/>
        <w:mirrorIndents/>
      </w:pPr>
    </w:p>
    <w:p w14:paraId="7A04DFB5" w14:textId="21EFA2B9" w:rsidR="00C00A31" w:rsidRDefault="00C00A31" w:rsidP="00F506A3">
      <w:pPr>
        <w:ind w:firstLine="720"/>
        <w:mirrorIndents/>
      </w:pPr>
      <w:r w:rsidRPr="00D226C8">
        <w:t xml:space="preserve">An officer’s attempt to stop a suspect through a show of authority does not constitute a seizure if the attempt is unsuccessful.  </w:t>
      </w:r>
      <w:r w:rsidRPr="00D226C8">
        <w:rPr>
          <w:i/>
          <w:iCs/>
        </w:rPr>
        <w:t>See California v. Hodari D.</w:t>
      </w:r>
      <w:r w:rsidRPr="00D226C8">
        <w:t xml:space="preserve">, 499 U.S. 621, 626 (1991) (“An arrest requires </w:t>
      </w:r>
      <w:r w:rsidRPr="00D226C8">
        <w:rPr>
          <w:i/>
          <w:iCs/>
        </w:rPr>
        <w:t xml:space="preserve">either </w:t>
      </w:r>
      <w:r w:rsidRPr="00D226C8">
        <w:t xml:space="preserve">physical force . . . </w:t>
      </w:r>
      <w:r w:rsidRPr="00D226C8">
        <w:rPr>
          <w:i/>
          <w:iCs/>
        </w:rPr>
        <w:t>or</w:t>
      </w:r>
      <w:r w:rsidRPr="00D226C8">
        <w:t xml:space="preserve">, where that is absent, </w:t>
      </w:r>
      <w:r w:rsidRPr="00D226C8">
        <w:rPr>
          <w:i/>
          <w:iCs/>
        </w:rPr>
        <w:t xml:space="preserve">submission </w:t>
      </w:r>
      <w:r w:rsidRPr="00D226C8">
        <w:t xml:space="preserve">to the assertion of authority” (emphasis in original).).  </w:t>
      </w:r>
      <w:r w:rsidRPr="00D226C8">
        <w:rPr>
          <w:i/>
          <w:iCs/>
        </w:rPr>
        <w:t>See also United States  v. Waterman</w:t>
      </w:r>
      <w:r w:rsidRPr="00D226C8">
        <w:t>, 569 F.3d 144, at 146 (3d Cir. 2009) (officers’ drawing their guns did not count as “physical force” within the meaning</w:t>
      </w:r>
      <w:r>
        <w:t xml:space="preserve"> </w:t>
      </w:r>
      <w:r w:rsidRPr="00D226C8">
        <w:t xml:space="preserve">of </w:t>
      </w:r>
      <w:r w:rsidRPr="00D226C8">
        <w:rPr>
          <w:i/>
          <w:iCs/>
        </w:rPr>
        <w:t>Hodari D.</w:t>
      </w:r>
      <w:r w:rsidRPr="00D226C8">
        <w:t xml:space="preserve">); </w:t>
      </w:r>
      <w:r w:rsidRPr="00D226C8">
        <w:rPr>
          <w:i/>
          <w:iCs/>
        </w:rPr>
        <w:t>United States v. Smith</w:t>
      </w:r>
      <w:r w:rsidRPr="00D226C8">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D226C8">
        <w:rPr>
          <w:i/>
        </w:rPr>
        <w:t>see also</w:t>
      </w:r>
      <w:r w:rsidRPr="00D226C8">
        <w:t xml:space="preserve"> </w:t>
      </w:r>
      <w:r w:rsidRPr="00D226C8">
        <w:rPr>
          <w:i/>
        </w:rPr>
        <w:t>United States v. Lowe</w:t>
      </w:r>
      <w:r w:rsidRPr="00D226C8">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p w14:paraId="014256A6" w14:textId="77777777" w:rsidR="00C00A31" w:rsidRPr="00D226C8" w:rsidRDefault="00C00A31" w:rsidP="00F506A3">
      <w:pPr>
        <w:ind w:firstLine="720"/>
        <w:mirrorIndents/>
      </w:pPr>
    </w:p>
  </w:footnote>
  <w:footnote w:id="205">
    <w:p w14:paraId="28071911"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Brendlin v. California</w:t>
      </w:r>
      <w:r w:rsidRPr="00D226C8">
        <w:t>, 127 S. Ct. 2400, 2406-07 (2007) (holding that “during a traffic stop an officer seizes everyone in the vehicle, not just the driver”).</w:t>
      </w:r>
    </w:p>
  </w:footnote>
  <w:footnote w:id="206">
    <w:p w14:paraId="335973D3" w14:textId="651EFCD4" w:rsidR="00C00A31" w:rsidRPr="00D226C8" w:rsidRDefault="00C00A31" w:rsidP="00F506A3">
      <w:pPr>
        <w:spacing w:after="240"/>
        <w:ind w:firstLine="720"/>
        <w:mirrorIndents/>
      </w:pPr>
      <w:r w:rsidRPr="00D226C8">
        <w:rPr>
          <w:rStyle w:val="FootnoteReference"/>
        </w:rPr>
        <w:footnoteRef/>
      </w:r>
      <w:r w:rsidRPr="00D226C8">
        <w:t xml:space="preserve">  Citing </w:t>
      </w:r>
      <w:r w:rsidRPr="00D226C8">
        <w:rPr>
          <w:i/>
          <w:iCs/>
        </w:rPr>
        <w:t>Drayton</w:t>
      </w:r>
      <w:r w:rsidRPr="00D226C8">
        <w:t xml:space="preserve">, the Court of Appeals has rejected the view that a seizure should be presumed when officers approach a person for questioning based on a tip.  </w:t>
      </w:r>
      <w:r w:rsidRPr="00D226C8">
        <w:rPr>
          <w:i/>
          <w:iCs/>
        </w:rPr>
        <w:t>See United States v. Crandell</w:t>
      </w:r>
      <w:r w:rsidRPr="00D226C8">
        <w:t>, 554 F.3d 79, 85 (3d Cir. 2009) (“The subjective intent underlying an officer</w:t>
      </w:r>
      <w:r>
        <w:t>’</w:t>
      </w:r>
      <w:r w:rsidRPr="00D226C8">
        <w:t xml:space="preserve">s approach does not affect the seizure analysis.... [A] seizure does not occur simply because an officer approaches an individual ... to ask questions....  Therefore, a tip police received that motivates their encounter with an individual merely serves to color the backstory at this stage.”). </w:t>
      </w:r>
    </w:p>
    <w:p w14:paraId="09BD268B" w14:textId="77777777" w:rsidR="00C00A31" w:rsidRPr="00D226C8" w:rsidRDefault="00C00A31" w:rsidP="00F506A3">
      <w:pPr>
        <w:spacing w:after="240"/>
        <w:ind w:firstLine="720"/>
        <w:mirrorIndents/>
      </w:pPr>
      <w:r w:rsidRPr="00D226C8">
        <w:t xml:space="preserve">In </w:t>
      </w:r>
      <w:r w:rsidRPr="00D226C8">
        <w:rPr>
          <w:i/>
        </w:rPr>
        <w:t>James v. City of Wilkes-Barre</w:t>
      </w:r>
      <w:r w:rsidRPr="00D226C8">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D226C8">
        <w:rPr>
          <w:i/>
        </w:rPr>
        <w:t>Id.</w:t>
      </w:r>
      <w:r w:rsidRPr="00D226C8">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D226C8">
        <w:rPr>
          <w:i/>
        </w:rPr>
        <w:t>Id.</w:t>
      </w:r>
      <w:r w:rsidRPr="00D226C8">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D226C8">
        <w:rPr>
          <w:i/>
        </w:rPr>
        <w:t>Id.</w:t>
      </w:r>
      <w:r w:rsidRPr="00D226C8">
        <w:t xml:space="preserve"> at 682.</w:t>
      </w:r>
    </w:p>
  </w:footnote>
  <w:footnote w:id="207">
    <w:p w14:paraId="387C6183" w14:textId="77777777" w:rsidR="00C00A31" w:rsidRPr="00D226C8" w:rsidRDefault="00C00A31" w:rsidP="00F506A3">
      <w:pPr>
        <w:spacing w:after="240"/>
        <w:ind w:firstLine="720"/>
        <w:mirrorIndents/>
      </w:pPr>
      <w:r w:rsidRPr="00D226C8">
        <w:rPr>
          <w:rStyle w:val="FootnoteReference"/>
        </w:rPr>
        <w:footnoteRef/>
      </w:r>
      <w:r w:rsidRPr="00D226C8">
        <w:t xml:space="preserve">  In some cases where the nature of the seizure (if any) is in question, a party may wish to ask the court to instruct on both reasonable suspicion and probable cause.  </w:t>
      </w:r>
      <w:r w:rsidRPr="00D226C8">
        <w:rPr>
          <w:i/>
          <w:iCs/>
        </w:rPr>
        <w:t>Cf. Pitts v. Delaware</w:t>
      </w:r>
      <w:r w:rsidRPr="00D226C8">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rsidRPr="00D226C8">
        <w:noBreakHyphen/>
        <w:t>suspicion analysis).</w:t>
      </w:r>
    </w:p>
  </w:footnote>
  <w:footnote w:id="208">
    <w:p w14:paraId="16B5AF37" w14:textId="77777777" w:rsidR="00C00A31" w:rsidRPr="00D226C8" w:rsidRDefault="00C00A31" w:rsidP="00F506A3">
      <w:pPr>
        <w:spacing w:after="240"/>
        <w:ind w:firstLine="720"/>
        <w:mirrorIndents/>
      </w:pPr>
      <w:r w:rsidRPr="00D226C8">
        <w:rPr>
          <w:rStyle w:val="FootnoteReference"/>
        </w:rPr>
        <w:footnoteRef/>
      </w:r>
      <w:r w:rsidRPr="00D226C8">
        <w:t xml:space="preserve">  “The validity of the arrest is not dependent on whether the suspect actually committed any crime, and ‘the mere fact that the suspect is later acquitted of the offense for which he is arrested is irrelevant.’” </w:t>
      </w:r>
      <w:r w:rsidRPr="00D226C8">
        <w:rPr>
          <w:i/>
          <w:iCs/>
        </w:rPr>
        <w:t>Johnson</w:t>
      </w:r>
      <w:r w:rsidRPr="00D226C8">
        <w:t xml:space="preserve">, 332 F.3d at 211 (quoting </w:t>
      </w:r>
      <w:r w:rsidRPr="00D226C8">
        <w:rPr>
          <w:i/>
          <w:iCs/>
        </w:rPr>
        <w:t>Michigan v. DeFillippo</w:t>
      </w:r>
      <w:r w:rsidRPr="00D226C8">
        <w:t>, 443 U.S. 31, 36 (1979)).</w:t>
      </w:r>
    </w:p>
  </w:footnote>
  <w:footnote w:id="209">
    <w:p w14:paraId="646D3A42" w14:textId="77777777" w:rsidR="00C00A31" w:rsidRDefault="00C00A31" w:rsidP="00F506A3">
      <w:pPr>
        <w:ind w:firstLine="720"/>
        <w:mirrorIndents/>
      </w:pPr>
      <w:r w:rsidRPr="00D226C8">
        <w:rPr>
          <w:rStyle w:val="FootnoteReference"/>
        </w:rPr>
        <w:footnoteRef/>
      </w:r>
      <w:r w:rsidRPr="00D226C8">
        <w:t xml:space="preserve">  Because the plaintiff in </w:t>
      </w:r>
      <w:r w:rsidRPr="00D226C8">
        <w:rPr>
          <w:i/>
          <w:iCs/>
        </w:rPr>
        <w:t xml:space="preserve">Schneyder </w:t>
      </w:r>
      <w:r w:rsidRPr="00D226C8">
        <w:t>had effectively conceded the constitutionality of the initial detention (and challenged only her detention after the trial was continued), the Court of</w:t>
      </w:r>
      <w:r>
        <w:t xml:space="preserve"> A</w:t>
      </w:r>
      <w:r w:rsidRPr="00D226C8">
        <w:t xml:space="preserve">ppeals noted but did not address the possible argument </w:t>
      </w:r>
    </w:p>
    <w:p w14:paraId="418F8E18" w14:textId="77777777" w:rsidR="00C00A31" w:rsidRDefault="00C00A31" w:rsidP="00F506A3">
      <w:pPr>
        <w:ind w:left="720" w:right="720"/>
        <w:mirrorIndents/>
      </w:pPr>
    </w:p>
    <w:p w14:paraId="2D5CA81E" w14:textId="2CC2A062" w:rsidR="00C00A31" w:rsidRPr="00D226C8" w:rsidRDefault="00C00A31" w:rsidP="00F506A3">
      <w:pPr>
        <w:ind w:left="720" w:right="720"/>
        <w:mirrorIndents/>
      </w:pPr>
      <w:r w:rsidRPr="00D226C8">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sidRPr="00D226C8">
        <w:rPr>
          <w:i/>
          <w:iCs/>
        </w:rPr>
        <w:t>See</w:t>
      </w:r>
      <w:r w:rsidRPr="00D226C8">
        <w:t xml:space="preserve"> [</w:t>
      </w:r>
      <w:r w:rsidRPr="00D226C8">
        <w:rPr>
          <w:i/>
          <w:iCs/>
        </w:rPr>
        <w:t>Ashcroft v. Al</w:t>
      </w:r>
      <w:r w:rsidRPr="00D226C8">
        <w:rPr>
          <w:i/>
          <w:iCs/>
        </w:rPr>
        <w:noBreakHyphen/>
        <w:t>Kidd</w:t>
      </w:r>
      <w:r w:rsidRPr="00D226C8">
        <w:t>], 131 S. Ct. [2074,] 2084</w:t>
      </w:r>
      <w:r w:rsidRPr="00D226C8">
        <w:sym w:font="WP TypographicSymbols" w:char="0042"/>
      </w:r>
      <w:r w:rsidRPr="00D226C8">
        <w:t xml:space="preserve">85 [(2011)] (suggesting the possibility of such an argument but noting that plaintiff in that case had not taken that position); </w:t>
      </w:r>
      <w:r w:rsidRPr="00D226C8">
        <w:rPr>
          <w:i/>
          <w:iCs/>
        </w:rPr>
        <w:t>id.</w:t>
      </w:r>
      <w:r w:rsidRPr="00D226C8">
        <w:t xml:space="preserve"> at 2085</w:t>
      </w:r>
      <w:r w:rsidRPr="00D226C8">
        <w:sym w:font="WP TypographicSymbols" w:char="0042"/>
      </w:r>
      <w:r w:rsidRPr="00D226C8">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C00A31" w:rsidRPr="00D226C8" w:rsidRDefault="00C00A31" w:rsidP="00F506A3">
      <w:pPr>
        <w:ind w:firstLine="720"/>
        <w:mirrorIndents/>
      </w:pPr>
    </w:p>
    <w:p w14:paraId="5F9917FD" w14:textId="77777777" w:rsidR="00C00A31" w:rsidRPr="00D226C8" w:rsidRDefault="00C00A31" w:rsidP="00F506A3">
      <w:pPr>
        <w:spacing w:after="240"/>
        <w:mirrorIndents/>
      </w:pPr>
      <w:r w:rsidRPr="00D226C8">
        <w:rPr>
          <w:i/>
          <w:iCs/>
        </w:rPr>
        <w:t>Id</w:t>
      </w:r>
      <w:r w:rsidRPr="00D226C8">
        <w:t>. at 324 n.15.</w:t>
      </w:r>
    </w:p>
  </w:footnote>
  <w:footnote w:id="210">
    <w:p w14:paraId="0F3A2AE4" w14:textId="77777777" w:rsidR="00C00A31" w:rsidRPr="00D226C8" w:rsidRDefault="00C00A31" w:rsidP="00F506A3">
      <w:pPr>
        <w:spacing w:after="240"/>
        <w:ind w:firstLine="720"/>
        <w:mirrorIndents/>
      </w:pPr>
      <w:r w:rsidRPr="00D226C8">
        <w:rPr>
          <w:rStyle w:val="FootnoteReference"/>
        </w:rPr>
        <w:footnoteRef/>
      </w:r>
      <w:r w:rsidRPr="00D226C8">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sidRPr="00D226C8">
        <w:rPr>
          <w:i/>
          <w:iCs/>
        </w:rPr>
        <w:t>Heck</w:t>
      </w:r>
      <w:r w:rsidRPr="00D226C8">
        <w:t xml:space="preserve"> which necessarily implicate the validity of a conviction or sentence.”  </w:t>
      </w:r>
      <w:r w:rsidRPr="00D226C8">
        <w:rPr>
          <w:i/>
          <w:iCs/>
        </w:rPr>
        <w:t>Montgomery v. De Simone</w:t>
      </w:r>
      <w:r w:rsidRPr="00D226C8">
        <w:t xml:space="preserve">, 159 F.3d 120, 126 n.5 (3d Cir. 1998); </w:t>
      </w:r>
      <w:r w:rsidRPr="00D226C8">
        <w:rPr>
          <w:i/>
          <w:iCs/>
        </w:rPr>
        <w:t xml:space="preserve">but see Gibson v. Superintendent of NJ Dept. of Law and Public Safety </w:t>
      </w:r>
      <w:r w:rsidRPr="00D226C8">
        <w:rPr>
          <w:i/>
          <w:iCs/>
        </w:rPr>
        <w:noBreakHyphen/>
        <w:t xml:space="preserve"> Division of State Police</w:t>
      </w:r>
      <w:r w:rsidRPr="00D226C8">
        <w:t>, 411 F.3d 427, 450-51 (3d Cir. 2005) (“</w:t>
      </w:r>
      <w:r w:rsidRPr="00D226C8">
        <w:rPr>
          <w:i/>
          <w:iCs/>
        </w:rPr>
        <w:t>Heck</w:t>
      </w:r>
      <w:r w:rsidRPr="00D226C8">
        <w:t xml:space="preserve"> does not set forth a categorical rule that all Fourth Amendment claims accrue at the time of the violation. This Court's determination that the plaintiff's false arrest claim in </w:t>
      </w:r>
      <w:r w:rsidRPr="00D226C8">
        <w:rPr>
          <w:i/>
          <w:iCs/>
        </w:rPr>
        <w:t>Montgomery</w:t>
      </w:r>
      <w:r w:rsidRPr="00D226C8">
        <w:t xml:space="preserve"> qualified as an exception to the </w:t>
      </w:r>
      <w:r w:rsidRPr="00D226C8">
        <w:rPr>
          <w:i/>
          <w:iCs/>
        </w:rPr>
        <w:t>Heck</w:t>
      </w:r>
      <w:r w:rsidRPr="00D226C8">
        <w:t xml:space="preserve"> deferral rule, and thus accrued on the night of the arrest, does not mandate a blanket rule that all false arrest claims accrue at the time of the arrest.”).  </w:t>
      </w:r>
      <w:r w:rsidRPr="00D226C8">
        <w:rPr>
          <w:i/>
          <w:iCs/>
        </w:rPr>
        <w:t>Cf. Rose v. Bartle</w:t>
      </w:r>
      <w:r w:rsidRPr="00D226C8">
        <w:t>, 871 F.2d 331, 350-51 (3d Cir. 1989) (expressing doubt concerning the holding of another Circuit that “conviction is a complete defense to a section 1983 action for false arrest”).</w:t>
      </w:r>
    </w:p>
  </w:footnote>
  <w:footnote w:id="211">
    <w:p w14:paraId="458C2879" w14:textId="77777777" w:rsidR="00C00A31" w:rsidRPr="00D226C8" w:rsidRDefault="00C00A31" w:rsidP="00F506A3">
      <w:pPr>
        <w:spacing w:after="240"/>
        <w:ind w:firstLine="720"/>
        <w:mirrorIndents/>
      </w:pPr>
      <w:r w:rsidRPr="00D226C8">
        <w:rPr>
          <w:rStyle w:val="FootnoteReference"/>
        </w:rPr>
        <w:footnoteRef/>
      </w:r>
      <w:r w:rsidRPr="00D226C8">
        <w:t xml:space="preserve">  It is unclear whether this bar also applies to persons no longer in custody.  </w:t>
      </w:r>
      <w:r w:rsidRPr="00D226C8">
        <w:rPr>
          <w:i/>
          <w:iCs/>
        </w:rPr>
        <w:t xml:space="preserve">See infra </w:t>
      </w:r>
      <w:r w:rsidRPr="00D226C8">
        <w:t>Comment to Instruction 4.13.</w:t>
      </w:r>
    </w:p>
  </w:footnote>
  <w:footnote w:id="212">
    <w:p w14:paraId="2CF973EA" w14:textId="2D596E76" w:rsidR="00C00A31" w:rsidRPr="00D226C8" w:rsidRDefault="00C00A31" w:rsidP="00F506A3">
      <w:pPr>
        <w:spacing w:after="240"/>
        <w:ind w:firstLine="720"/>
        <w:mirrorIndents/>
      </w:pPr>
      <w:r w:rsidRPr="00D226C8">
        <w:rPr>
          <w:rStyle w:val="FootnoteReference"/>
        </w:rPr>
        <w:footnoteRef/>
      </w:r>
      <w:r w:rsidRPr="00D226C8">
        <w:t xml:space="preserve"> See Comment for a discussion of the burden of proof regarding </w:t>
      </w:r>
      <w:r>
        <w:t>“</w:t>
      </w:r>
      <w:r w:rsidRPr="00D226C8">
        <w:t>reasonable suspicion.”</w:t>
      </w:r>
    </w:p>
  </w:footnote>
  <w:footnote w:id="213">
    <w:p w14:paraId="78E09632" w14:textId="77777777" w:rsidR="00C00A31" w:rsidRPr="00D226C8" w:rsidRDefault="00C00A31" w:rsidP="00F506A3">
      <w:pPr>
        <w:spacing w:after="240"/>
        <w:ind w:firstLine="720"/>
        <w:mirrorIndents/>
      </w:pPr>
      <w:r w:rsidRPr="00D226C8">
        <w:rPr>
          <w:rStyle w:val="FootnoteReference"/>
        </w:rPr>
        <w:footnoteRef/>
      </w:r>
      <w:r w:rsidRPr="00D226C8">
        <w:t xml:space="preserve">  This sentence may be included if there is relevant evidence of the officer’s training and/or experience.</w:t>
      </w:r>
    </w:p>
  </w:footnote>
  <w:footnote w:id="214">
    <w:p w14:paraId="5AEEF339" w14:textId="77777777" w:rsidR="00C00A31" w:rsidRPr="00D226C8" w:rsidRDefault="00C00A31" w:rsidP="00F506A3">
      <w:pPr>
        <w:spacing w:after="240"/>
        <w:ind w:firstLine="720"/>
        <w:mirrorIndents/>
      </w:pPr>
      <w:r w:rsidRPr="00D226C8">
        <w:rPr>
          <w:rStyle w:val="FootnoteReference"/>
        </w:rPr>
        <w:footnoteRef/>
      </w:r>
      <w:r w:rsidRPr="00D226C8">
        <w:t xml:space="preserve">  If a more detailed discussion of this issue is desired, language from the second paragraph of Instruction 4.12.2 can be added here.</w:t>
      </w:r>
    </w:p>
  </w:footnote>
  <w:footnote w:id="215">
    <w:p w14:paraId="1BF5C3AD" w14:textId="77777777" w:rsidR="00C00A31" w:rsidRPr="00D226C8" w:rsidRDefault="00C00A31" w:rsidP="00F506A3">
      <w:pPr>
        <w:ind w:firstLine="720"/>
        <w:mirrorIndents/>
      </w:pPr>
      <w:r w:rsidRPr="00D226C8">
        <w:rPr>
          <w:rStyle w:val="FootnoteReference"/>
        </w:rPr>
        <w:footnoteRef/>
      </w:r>
      <w:r w:rsidRPr="00D226C8">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sidRPr="00D226C8">
        <w:rPr>
          <w:i/>
          <w:iCs/>
        </w:rPr>
        <w:t>Adams</w:t>
      </w:r>
      <w:r w:rsidRPr="00D226C8">
        <w:t xml:space="preserve">, 407 U.S. at 146 (quoting </w:t>
      </w:r>
      <w:r w:rsidRPr="00D226C8">
        <w:rPr>
          <w:i/>
          <w:iCs/>
        </w:rPr>
        <w:t>Terry</w:t>
      </w:r>
      <w:r w:rsidRPr="00D226C8">
        <w:t xml:space="preserve">, 392 U.S. at 24).  To fall within this principle, such a search “must be limited to that which is necessary for the discovery of weapons which might be used to harm the officer or others nearby.”  </w:t>
      </w:r>
      <w:r w:rsidRPr="00D226C8">
        <w:rPr>
          <w:i/>
          <w:iCs/>
        </w:rPr>
        <w:t>Terry</w:t>
      </w:r>
      <w:r w:rsidRPr="00D226C8">
        <w:t>, 392 U.S. at 26.  As the Supreme Court more recently explained:</w:t>
      </w:r>
    </w:p>
    <w:p w14:paraId="3E6081E4" w14:textId="77777777" w:rsidR="00C00A31" w:rsidRPr="00D226C8" w:rsidRDefault="00C00A31" w:rsidP="00F506A3">
      <w:pPr>
        <w:ind w:firstLine="720"/>
        <w:mirrorIndents/>
      </w:pPr>
    </w:p>
    <w:p w14:paraId="1763CA98" w14:textId="77777777" w:rsidR="00C00A31" w:rsidRPr="00D226C8" w:rsidRDefault="00C00A31" w:rsidP="00F506A3">
      <w:pPr>
        <w:ind w:left="720" w:right="720" w:firstLine="720"/>
        <w:mirrorIndents/>
      </w:pPr>
      <w:r w:rsidRPr="00D226C8">
        <w:t>[I]n a traffic</w:t>
      </w:r>
      <w:r w:rsidRPr="00D226C8">
        <w:noBreakHyphen/>
        <w:t xml:space="preserve">stop setting, the first </w:t>
      </w:r>
      <w:r w:rsidRPr="00D226C8">
        <w:rPr>
          <w:i/>
          <w:iCs/>
        </w:rPr>
        <w:t>Terry</w:t>
      </w:r>
      <w:r w:rsidRPr="00D226C8">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C00A31" w:rsidRPr="00D226C8" w:rsidRDefault="00C00A31" w:rsidP="00F506A3">
      <w:pPr>
        <w:ind w:firstLine="720"/>
        <w:mirrorIndents/>
      </w:pPr>
    </w:p>
    <w:p w14:paraId="79B994CF" w14:textId="77777777" w:rsidR="00C00A31" w:rsidRPr="00D226C8" w:rsidRDefault="00C00A31" w:rsidP="00F506A3">
      <w:pPr>
        <w:mirrorIndents/>
      </w:pPr>
      <w:r w:rsidRPr="00D226C8">
        <w:rPr>
          <w:i/>
          <w:iCs/>
        </w:rPr>
        <w:t>Arizona v. Johnson</w:t>
      </w:r>
      <w:r w:rsidRPr="00D226C8">
        <w:t>, 129 S. Ct. 781, 784 (2009).</w:t>
      </w:r>
      <w:r w:rsidRPr="00D226C8">
        <w:rPr>
          <w:i/>
        </w:rPr>
        <w:t xml:space="preserve"> See also</w:t>
      </w:r>
      <w:r w:rsidRPr="00D226C8">
        <w:t xml:space="preserve"> </w:t>
      </w:r>
      <w:r w:rsidRPr="00D226C8">
        <w:rPr>
          <w:i/>
        </w:rPr>
        <w:t>United States v. Murray</w:t>
      </w:r>
      <w:r w:rsidRPr="00D226C8">
        <w:t xml:space="preserve">, 821 F.3d 386 (3d Cir. 2016) (holding that a </w:t>
      </w:r>
      <w:r w:rsidRPr="00D226C8">
        <w:rPr>
          <w:i/>
        </w:rPr>
        <w:t>Terry</w:t>
      </w:r>
      <w:r w:rsidRPr="00D226C8">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C00A31" w:rsidRPr="00D226C8" w:rsidRDefault="00C00A31" w:rsidP="00F506A3">
      <w:pPr>
        <w:ind w:firstLine="720"/>
        <w:mirrorIndents/>
      </w:pPr>
    </w:p>
    <w:p w14:paraId="02083AA8" w14:textId="77777777" w:rsidR="00C00A31" w:rsidRPr="00D226C8" w:rsidRDefault="00C00A31" w:rsidP="00F506A3">
      <w:pPr>
        <w:ind w:firstLine="720"/>
        <w:mirrorIndents/>
      </w:pPr>
      <w:r w:rsidRPr="00D226C8">
        <w:t xml:space="preserve">If during such a search the officer detects “nonthreatening contraband,” the officer may seize that contraband.  </w:t>
      </w:r>
      <w:r w:rsidRPr="00D226C8">
        <w:rPr>
          <w:i/>
          <w:iCs/>
        </w:rPr>
        <w:t>Minnesota v. Dickerson</w:t>
      </w:r>
      <w:r w:rsidRPr="00D226C8">
        <w:t>, 508 U.S. 366, 373 (1993).  As the Court of Appeals has summarized the test:</w:t>
      </w:r>
    </w:p>
    <w:p w14:paraId="10BEF522" w14:textId="77777777" w:rsidR="00C00A31" w:rsidRPr="00D226C8" w:rsidRDefault="00C00A31" w:rsidP="00F506A3">
      <w:pPr>
        <w:ind w:firstLine="720"/>
        <w:mirrorIndents/>
      </w:pPr>
    </w:p>
    <w:p w14:paraId="08CED261" w14:textId="77777777" w:rsidR="00C00A31" w:rsidRPr="00D226C8" w:rsidRDefault="00C00A31" w:rsidP="00F506A3">
      <w:pPr>
        <w:ind w:left="720" w:right="720" w:firstLine="720"/>
        <w:mirrorIndents/>
      </w:pPr>
      <w:r w:rsidRPr="00D226C8">
        <w:t xml:space="preserve">Assuming that an officer is authorized to conduct a </w:t>
      </w:r>
      <w:r w:rsidRPr="00D226C8">
        <w:rPr>
          <w:i/>
          <w:iCs/>
        </w:rPr>
        <w:t xml:space="preserve">Terry </w:t>
      </w:r>
      <w:r w:rsidRPr="00D226C8">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w:t>
      </w:r>
      <w:r w:rsidRPr="00DD1E61">
        <w:rPr>
          <w:i/>
        </w:rPr>
        <w:t>Terry</w:t>
      </w:r>
      <w:r w:rsidRPr="00D226C8">
        <w:t xml:space="preserve"> and its fruits will be suppressed." </w:t>
      </w:r>
      <w:r w:rsidRPr="00D226C8">
        <w:rPr>
          <w:i/>
          <w:iCs/>
        </w:rPr>
        <w:t>Dickerson</w:t>
      </w:r>
      <w:r w:rsidRPr="00D226C8">
        <w:t>, 508 U.S. at 373.</w:t>
      </w:r>
    </w:p>
    <w:p w14:paraId="01698020" w14:textId="77777777" w:rsidR="00C00A31" w:rsidRPr="00D226C8" w:rsidRDefault="00C00A31" w:rsidP="00F506A3">
      <w:pPr>
        <w:ind w:firstLine="720"/>
        <w:mirrorIndents/>
      </w:pPr>
    </w:p>
    <w:p w14:paraId="4764F788" w14:textId="77777777" w:rsidR="00C00A31" w:rsidRPr="00D226C8" w:rsidRDefault="00C00A31" w:rsidP="00F506A3">
      <w:pPr>
        <w:spacing w:after="240"/>
        <w:mirrorIndents/>
      </w:pPr>
      <w:r w:rsidRPr="00D226C8">
        <w:rPr>
          <w:i/>
          <w:iCs/>
        </w:rPr>
        <w:t>United States v. Yamba</w:t>
      </w:r>
      <w:r w:rsidRPr="00D226C8">
        <w:t>, 506 F.3d 251, 259 (3d Cir. 2007).</w:t>
      </w:r>
    </w:p>
  </w:footnote>
  <w:footnote w:id="216">
    <w:p w14:paraId="0779072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rPr>
        <w:t>See United States v. Lewis</w:t>
      </w:r>
      <w:r w:rsidRPr="00D226C8">
        <w:t>, 672 F.3d 232, 237-38 (3d Cir. 2012) (holding that illegally tinted car windows could not justify stop of car absent any testimony that officers noticed the tinting prior to making the stop).</w:t>
      </w:r>
    </w:p>
    <w:p w14:paraId="49154ECB" w14:textId="77777777" w:rsidR="00C00A31" w:rsidRPr="00D226C8" w:rsidRDefault="00C00A31" w:rsidP="00F506A3">
      <w:pPr>
        <w:spacing w:after="240"/>
        <w:ind w:firstLine="720"/>
        <w:mirrorIndents/>
      </w:pPr>
      <w:r w:rsidRPr="00D226C8">
        <w:t xml:space="preserve">In </w:t>
      </w:r>
      <w:r w:rsidRPr="00D226C8">
        <w:rPr>
          <w:i/>
          <w:iCs/>
        </w:rPr>
        <w:t>United States v. Whitfield</w:t>
      </w:r>
      <w:r w:rsidRPr="00D226C8">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sidRPr="00D226C8">
        <w:rPr>
          <w:i/>
          <w:iCs/>
        </w:rPr>
        <w:t>Id.</w:t>
      </w:r>
      <w:r w:rsidRPr="00D226C8">
        <w:t xml:space="preserve"> at 745; </w:t>
      </w:r>
      <w:r w:rsidRPr="00D226C8">
        <w:rPr>
          <w:i/>
          <w:iCs/>
        </w:rPr>
        <w:t>see also id.</w:t>
      </w:r>
      <w:r w:rsidRPr="00D226C8">
        <w:t xml:space="preserve"> at 746 (“It would make little sense to decline to apply the collective knowledge doctrine in a fast</w:t>
      </w:r>
      <w:r w:rsidRPr="00D226C8">
        <w:noBreakHyphen/>
        <w:t>paced, dynamic situation such as we have before us, in which the officers worked together as a unified and tight</w:t>
      </w:r>
      <w:r w:rsidRPr="00D226C8">
        <w:noBreakHyphen/>
        <w:t>knit team; indeed, it would be impractical to expect an officer in such a situation to communicate to the other officers every fact that could be pertinent in a subsequent reasonable suspicion analysis.”).</w:t>
      </w:r>
    </w:p>
  </w:footnote>
  <w:footnote w:id="217">
    <w:p w14:paraId="517CAED7" w14:textId="77777777" w:rsidR="00C00A31" w:rsidRPr="00D226C8" w:rsidRDefault="00C00A31" w:rsidP="00F506A3">
      <w:pPr>
        <w:ind w:firstLine="720"/>
        <w:mirrorIndents/>
      </w:pPr>
      <w:r w:rsidRPr="00D226C8">
        <w:rPr>
          <w:rStyle w:val="FootnoteReference"/>
        </w:rPr>
        <w:footnoteRef/>
      </w:r>
      <w:r w:rsidRPr="00D226C8">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sidRPr="00D226C8">
        <w:rPr>
          <w:i/>
          <w:iCs/>
        </w:rPr>
        <w:t>Florida v. J.L.</w:t>
      </w:r>
      <w:r w:rsidRPr="00D226C8">
        <w:t xml:space="preserve">, 529 U.S. 266, 270 (2000) (quoting </w:t>
      </w:r>
      <w:r w:rsidRPr="00D226C8">
        <w:rPr>
          <w:i/>
          <w:iCs/>
        </w:rPr>
        <w:t>Alabama v. White</w:t>
      </w:r>
      <w:r w:rsidRPr="00D226C8">
        <w:t>, 496 U.S. 325, 329 (1990)).</w:t>
      </w:r>
      <w:r w:rsidRPr="00D226C8">
        <w:rPr>
          <w:i/>
          <w:iCs/>
        </w:rPr>
        <w:t xml:space="preserve">  Cf. United States v. Mathurin</w:t>
      </w:r>
      <w:r w:rsidRPr="00D226C8">
        <w:t xml:space="preserve">,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 </w:t>
      </w:r>
      <w:r w:rsidRPr="00D226C8">
        <w:rPr>
          <w:i/>
        </w:rPr>
        <w:t>United States v. Benoit</w:t>
      </w:r>
      <w:r w:rsidRPr="00D226C8">
        <w:t xml:space="preserve">, 730 F.3d 280, 285 (3d Cir. 2013) (extending the rationale of </w:t>
      </w:r>
      <w:r w:rsidRPr="00D226C8">
        <w:rPr>
          <w:i/>
        </w:rPr>
        <w:t>Mathurin</w:t>
      </w:r>
      <w:r w:rsidRPr="00D226C8">
        <w:t xml:space="preserve"> to foreign authorities “with whom our country has a working relationship to prevent drug trafficking”). Nonetheless, “there are situations in which an anonymous tip, suitably corroborated, exhibits ‘sufficient indicia of reliability to provide reasonable suspicion to make the investigatory stop.’” </w:t>
      </w:r>
      <w:r w:rsidRPr="00D226C8">
        <w:rPr>
          <w:i/>
          <w:iCs/>
        </w:rPr>
        <w:t>J.L.</w:t>
      </w:r>
      <w:r w:rsidRPr="00D226C8">
        <w:t xml:space="preserve">, 529 U.S. at 270 (quoting </w:t>
      </w:r>
      <w:r w:rsidRPr="00D226C8">
        <w:rPr>
          <w:i/>
          <w:iCs/>
        </w:rPr>
        <w:t>White</w:t>
      </w:r>
      <w:r w:rsidRPr="00D226C8">
        <w:t xml:space="preserve">, 496 U.S. at 327); </w:t>
      </w:r>
      <w:r w:rsidRPr="00D226C8">
        <w:rPr>
          <w:i/>
          <w:iCs/>
        </w:rPr>
        <w:t>see also United States v. Silveus</w:t>
      </w:r>
      <w:r w:rsidRPr="00D226C8">
        <w:t>, 542 F.3d 993, 1000 (3d Cir. 2008) (reasonable suspicion rested in large part on anonymous tip that “appeared to be reliable, given that it was corroborated by the agents' prior knowledge”).</w:t>
      </w:r>
    </w:p>
    <w:p w14:paraId="374C59EE" w14:textId="77777777" w:rsidR="00C00A31" w:rsidRPr="00D226C8" w:rsidRDefault="00C00A31" w:rsidP="00F506A3">
      <w:pPr>
        <w:ind w:firstLine="720"/>
        <w:mirrorIndents/>
      </w:pPr>
    </w:p>
    <w:p w14:paraId="0722C18D" w14:textId="77777777" w:rsidR="00C00A31" w:rsidRPr="00D226C8" w:rsidRDefault="00C00A31" w:rsidP="00F506A3">
      <w:pPr>
        <w:spacing w:after="240"/>
        <w:ind w:firstLine="720"/>
        <w:mirrorIndents/>
      </w:pPr>
      <w:r w:rsidRPr="00D226C8">
        <w:t xml:space="preserve">In </w:t>
      </w:r>
      <w:r w:rsidRPr="00D226C8">
        <w:rPr>
          <w:i/>
          <w:iCs/>
        </w:rPr>
        <w:t>United States v. Torres</w:t>
      </w:r>
      <w:r w:rsidRPr="00D226C8">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sidRPr="00D226C8">
        <w:rPr>
          <w:i/>
          <w:iCs/>
        </w:rPr>
        <w:t>Id.</w:t>
      </w:r>
      <w:r w:rsidRPr="00D226C8">
        <w:t xml:space="preserve"> at 213.  </w:t>
      </w:r>
      <w:r w:rsidRPr="00D226C8">
        <w:rPr>
          <w:i/>
          <w:iCs/>
        </w:rPr>
        <w:t>See also United States v. Johnson</w:t>
      </w:r>
      <w:r w:rsidRPr="00D226C8">
        <w:t>, 592 F.3d 442, 449</w:t>
      </w:r>
      <w:r w:rsidRPr="00D226C8">
        <w:noBreakHyphen/>
        <w:t xml:space="preserve">50 (3d Cir. 2010) (reasonable suspicion existed based on non-anonymous 911 call reporting a shooting and providing details – some of which matched police observations – regarding vehicle containing persons involved in the shooting); </w:t>
      </w:r>
      <w:r w:rsidRPr="00D226C8">
        <w:rPr>
          <w:i/>
          <w:iCs/>
        </w:rPr>
        <w:t xml:space="preserve">Prado Navarette v. California,  </w:t>
      </w:r>
      <w:r w:rsidRPr="00D226C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8">
    <w:p w14:paraId="5B67F9A4" w14:textId="77777777" w:rsidR="00C00A31" w:rsidRPr="00D226C8" w:rsidRDefault="00C00A31" w:rsidP="00F506A3">
      <w:pPr>
        <w:spacing w:after="240"/>
        <w:ind w:firstLine="720"/>
        <w:mirrorIndents/>
      </w:pPr>
      <w:r w:rsidRPr="00D226C8">
        <w:rPr>
          <w:rStyle w:val="FootnoteReference"/>
        </w:rPr>
        <w:footnoteRef/>
      </w:r>
      <w:r w:rsidRPr="00D226C8">
        <w:t xml:space="preserve">  The requisite reasonable suspicion focuses on the elements of the crime and not on an affirmative defense.  </w:t>
      </w:r>
      <w:r w:rsidRPr="00D226C8">
        <w:rPr>
          <w:i/>
          <w:iCs/>
        </w:rPr>
        <w:t>Compare</w:t>
      </w:r>
      <w:r w:rsidRPr="00D226C8">
        <w:t> </w:t>
      </w:r>
      <w:r w:rsidRPr="00D226C8">
        <w:rPr>
          <w:i/>
          <w:iCs/>
        </w:rPr>
        <w:t>United States v. Gatlin</w:t>
      </w:r>
      <w:r w:rsidRPr="00D226C8">
        <w:t xml:space="preserve">, 613 F.3d 374, 377-79 (3d Cir. 2010) (rejecting defendant’s argument – that officers lacked reasonable suspicion because they did not know “whether he was licensed to carry a concealed weapon” – on the ground that under Delaware law possession of a license is an affirmative defense), </w:t>
      </w:r>
      <w:r w:rsidRPr="00D226C8">
        <w:rPr>
          <w:i/>
        </w:rPr>
        <w:t>with United States v. Lewis</w:t>
      </w:r>
      <w:r w:rsidRPr="00D226C8">
        <w:t>, 672 F.3d 232, 240 (3d Cir. 2012) (in holding that tip concerning firearms in car did not provide reasonable suspicion to justify the stop of the car, relying on fact that “Virgin Islands law contains no presumption that an individual lacks a permit to carry a firearm”).</w:t>
      </w:r>
    </w:p>
  </w:footnote>
  <w:footnote w:id="219">
    <w:p w14:paraId="3EE0E3FE" w14:textId="77777777" w:rsidR="00C00A31" w:rsidRPr="00D226C8" w:rsidRDefault="00C00A31" w:rsidP="00F506A3">
      <w:pPr>
        <w:spacing w:after="240"/>
        <w:ind w:firstLine="720"/>
        <w:mirrorIndents/>
      </w:pPr>
      <w:r w:rsidRPr="00D226C8">
        <w:rPr>
          <w:rStyle w:val="FootnoteReference"/>
        </w:rPr>
        <w:footnoteRef/>
      </w:r>
      <w:r w:rsidRPr="00D226C8">
        <w:t xml:space="preserve">  As the Court explained in </w:t>
      </w:r>
      <w:r w:rsidRPr="00D226C8">
        <w:rPr>
          <w:i/>
          <w:iCs/>
        </w:rPr>
        <w:t>Cortez</w:t>
      </w:r>
      <w:r w:rsidRPr="00D226C8">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sidRPr="00D226C8">
        <w:rPr>
          <w:i/>
          <w:iCs/>
        </w:rPr>
        <w:t>Cortez</w:t>
      </w:r>
      <w:r w:rsidRPr="00D226C8">
        <w:t xml:space="preserve">, 449 U.S. at 418.  </w:t>
      </w:r>
      <w:r w:rsidRPr="00D226C8">
        <w:rPr>
          <w:i/>
        </w:rPr>
        <w:t>See also United States v. Navedo</w:t>
      </w:r>
      <w:r w:rsidRPr="00D226C8">
        <w:t xml:space="preserve">, 694 F.3d 463, 468 (3d Cir. 2012) (holding that “[t]he reasonable suspicion required under </w:t>
      </w:r>
      <w:r w:rsidRPr="00D226C8">
        <w:rPr>
          <w:i/>
        </w:rPr>
        <w:t>Terry</w:t>
      </w:r>
      <w:r w:rsidRPr="00D226C8">
        <w:t xml:space="preserve"> is specific to the person who is detained”).</w:t>
      </w:r>
    </w:p>
  </w:footnote>
  <w:footnote w:id="220">
    <w:p w14:paraId="549751D3" w14:textId="77777777" w:rsidR="00C00A31" w:rsidRPr="00D226C8" w:rsidRDefault="00C00A31" w:rsidP="00F506A3">
      <w:pPr>
        <w:ind w:firstLine="720"/>
        <w:mirrorIndents/>
      </w:pPr>
      <w:r w:rsidRPr="00D226C8">
        <w:rPr>
          <w:rStyle w:val="FootnoteReference"/>
        </w:rPr>
        <w:footnoteRef/>
      </w:r>
      <w:r w:rsidRPr="00D226C8">
        <w:t xml:space="preserve">  This approach is more forgiving of an officer’s mistake of law than the prior doctrine in the Third Circuit, which found reasonable suspicion only if an officer who understood the law correctly would have had reasonable suspicion. See </w:t>
      </w:r>
      <w:r w:rsidRPr="00D226C8">
        <w:rPr>
          <w:i/>
        </w:rPr>
        <w:t>United States v. Delfin-Colina</w:t>
      </w:r>
      <w:r w:rsidRPr="00D226C8">
        <w:t>, 464 F.3d 392, 400-01 (3d Cir. 2006) (noting that the officer “made a significant mistake of law,” but “because an objective review of the facts shows that an officer who correctly interpreted [the statute] and was in [the officer’s] position would have possessed reasonable suspicion . . . . [the] mistake of law did not render the traffic stop unconstitutional”).</w:t>
      </w:r>
    </w:p>
    <w:p w14:paraId="4C2B0197" w14:textId="77777777" w:rsidR="00C00A31" w:rsidRPr="00D226C8" w:rsidRDefault="00C00A31" w:rsidP="00F506A3">
      <w:pPr>
        <w:ind w:firstLine="720"/>
        <w:mirrorIndents/>
      </w:pPr>
    </w:p>
  </w:footnote>
  <w:footnote w:id="221">
    <w:p w14:paraId="28E8D3F3"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Johnson</w:t>
      </w:r>
      <w:r w:rsidRPr="00D226C8">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22">
    <w:p w14:paraId="0717DFCE"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rPr>
        <w:t>See United States v. Navedo</w:t>
      </w:r>
      <w:r w:rsidRPr="00D226C8">
        <w:t xml:space="preserve">, 694 F.3d 463, 474 (3d Cir. 2012) (“Unprovoked flight can only elevate reasonable suspicion to probable cause if police have ‘reasonably trustworthy information or circumstances’ to believe that an individual is engaged in criminal activity ….”) (quoting </w:t>
      </w:r>
      <w:r w:rsidRPr="00D226C8">
        <w:rPr>
          <w:i/>
        </w:rPr>
        <w:t>United States v. Laville</w:t>
      </w:r>
      <w:r w:rsidRPr="00D226C8">
        <w:t>, 480 F.3d 187, 194 (3d Cir. 2007)).</w:t>
      </w:r>
    </w:p>
  </w:footnote>
  <w:footnote w:id="223">
    <w:p w14:paraId="39F1A319" w14:textId="77777777" w:rsidR="00C00A31" w:rsidRPr="00D226C8" w:rsidRDefault="00C00A31" w:rsidP="00F506A3">
      <w:pPr>
        <w:spacing w:after="240"/>
        <w:ind w:firstLine="720"/>
        <w:mirrorIndents/>
      </w:pPr>
      <w:r w:rsidRPr="00D226C8">
        <w:rPr>
          <w:rStyle w:val="FootnoteReference"/>
        </w:rPr>
        <w:footnoteRef/>
      </w:r>
      <w:r w:rsidRPr="00D226C8">
        <w:t xml:space="preserve">  Include this paragraph only if the defendant disputes that an arrest occurred.</w:t>
      </w:r>
    </w:p>
  </w:footnote>
  <w:footnote w:id="224">
    <w:p w14:paraId="060AD7F1" w14:textId="77777777" w:rsidR="00C00A31" w:rsidRPr="00D226C8" w:rsidRDefault="00C00A31" w:rsidP="00F506A3">
      <w:pPr>
        <w:spacing w:after="240"/>
        <w:ind w:firstLine="720"/>
        <w:mirrorIndents/>
      </w:pPr>
      <w:r w:rsidRPr="00D226C8">
        <w:rPr>
          <w:rStyle w:val="FootnoteReference"/>
        </w:rPr>
        <w:footnoteRef/>
      </w:r>
      <w:r w:rsidRPr="00D226C8">
        <w:t xml:space="preserve">  Include this phrase only if the defendant disputes that an arrest occurred.</w:t>
      </w:r>
    </w:p>
  </w:footnote>
  <w:footnote w:id="225">
    <w:p w14:paraId="690AF491" w14:textId="77777777" w:rsidR="00C00A31" w:rsidRPr="00D226C8" w:rsidRDefault="00C00A31" w:rsidP="00F506A3">
      <w:pPr>
        <w:spacing w:after="240"/>
        <w:ind w:firstLine="720"/>
        <w:mirrorIndents/>
      </w:pPr>
      <w:r w:rsidRPr="00D226C8">
        <w:rPr>
          <w:rStyle w:val="FootnoteReference"/>
        </w:rPr>
        <w:footnoteRef/>
      </w:r>
      <w:r w:rsidRPr="00D226C8">
        <w:t xml:space="preserve">  In the case of a warrantless arrest, some Third Circuit caselaw supports the view that the defendant has the burden of proof as to probable cause, but other Third Circuit precedent indicates the contrary.  </w:t>
      </w:r>
      <w:r w:rsidRPr="00D226C8">
        <w:rPr>
          <w:i/>
          <w:iCs/>
        </w:rPr>
        <w:t>See</w:t>
      </w:r>
      <w:r w:rsidRPr="00D226C8">
        <w:t xml:space="preserve"> Comment 4.12.2.  Accordingly, the model includes alternative language concerning the burden on this issue.</w:t>
      </w:r>
    </w:p>
  </w:footnote>
  <w:footnote w:id="226">
    <w:p w14:paraId="64554B78" w14:textId="77777777" w:rsidR="00C00A31" w:rsidRPr="00D226C8" w:rsidRDefault="00C00A31" w:rsidP="00F506A3">
      <w:pPr>
        <w:spacing w:after="240"/>
        <w:ind w:firstLine="720"/>
        <w:mirrorIndents/>
      </w:pPr>
      <w:r w:rsidRPr="00D226C8">
        <w:rPr>
          <w:rStyle w:val="FootnoteReference"/>
        </w:rPr>
        <w:footnoteRef/>
      </w:r>
      <w:r w:rsidRPr="00D226C8">
        <w:t xml:space="preserve">  Third Circuit caselaw has not clearly settled whether warrantless arrests for misdemeanors committed outside the officer’s presence are permitted by the Fourth Amendment.  </w:t>
      </w:r>
      <w:r w:rsidRPr="00D226C8">
        <w:rPr>
          <w:i/>
          <w:iCs/>
        </w:rPr>
        <w:t>See</w:t>
      </w:r>
      <w:r w:rsidRPr="00D226C8">
        <w:t xml:space="preserve"> Comment.</w:t>
      </w:r>
    </w:p>
  </w:footnote>
  <w:footnote w:id="227">
    <w:p w14:paraId="373D30E8" w14:textId="77777777" w:rsidR="00C00A31" w:rsidRPr="00D226C8" w:rsidRDefault="00C00A31" w:rsidP="00F506A3">
      <w:pPr>
        <w:spacing w:after="240"/>
        <w:ind w:firstLine="720"/>
        <w:mirrorIndents/>
      </w:pPr>
      <w:r w:rsidRPr="00D226C8">
        <w:rPr>
          <w:rStyle w:val="FootnoteReference"/>
        </w:rPr>
        <w:footnoteRef/>
      </w:r>
      <w:r w:rsidRPr="00D226C8">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8">
    <w:p w14:paraId="418A06DA" w14:textId="77777777" w:rsidR="00C00A31" w:rsidRPr="00D226C8" w:rsidRDefault="00C00A31" w:rsidP="00F506A3">
      <w:pPr>
        <w:ind w:firstLine="720"/>
        <w:mirrorIndents/>
      </w:pPr>
      <w:r w:rsidRPr="00D226C8">
        <w:rPr>
          <w:rStyle w:val="FootnoteReference"/>
        </w:rPr>
        <w:footnoteRef/>
      </w:r>
      <w:r w:rsidRPr="00D226C8">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sidRPr="00D226C8">
        <w:rPr>
          <w:i/>
          <w:iCs/>
        </w:rPr>
        <w:t>Baker</w:t>
      </w:r>
      <w:r w:rsidRPr="00D226C8">
        <w:t xml:space="preserve">, 50 F.3d at 1193.  (The use of guns or handcuffs can in some circumstances give rise to an excessive force claim.  </w:t>
      </w:r>
      <w:r w:rsidRPr="00D226C8">
        <w:rPr>
          <w:i/>
          <w:iCs/>
        </w:rPr>
        <w:t>See id.</w:t>
      </w:r>
      <w:r w:rsidRPr="00D226C8">
        <w:t xml:space="preserve">; </w:t>
      </w:r>
      <w:r w:rsidRPr="00D226C8">
        <w:rPr>
          <w:i/>
          <w:iCs/>
        </w:rPr>
        <w:t>see also Kopec v. Tate</w:t>
      </w:r>
      <w:r w:rsidRPr="00D226C8">
        <w:t>, 361 F.3d 772, 777 (3d Cir. 2004).)</w:t>
      </w:r>
    </w:p>
    <w:p w14:paraId="401D8254" w14:textId="77777777" w:rsidR="00C00A31" w:rsidRPr="00D226C8" w:rsidRDefault="00C00A31" w:rsidP="00F506A3">
      <w:pPr>
        <w:ind w:firstLine="720"/>
        <w:mirrorIndents/>
      </w:pPr>
    </w:p>
    <w:p w14:paraId="6735B97A" w14:textId="5AEF6814" w:rsidR="00C00A31" w:rsidRPr="00D226C8" w:rsidRDefault="00C00A31" w:rsidP="00F506A3">
      <w:pPr>
        <w:spacing w:after="240"/>
        <w:ind w:firstLine="720"/>
        <w:mirrorIndents/>
      </w:pPr>
      <w:r w:rsidRPr="00D226C8">
        <w:t xml:space="preserve">Whether the seizure rises to the level of an arrest (so as to require probable cause) depends on the circumstances.  </w:t>
      </w:r>
      <w:r w:rsidRPr="00D226C8">
        <w:rPr>
          <w:i/>
          <w:iCs/>
        </w:rPr>
        <w:t>See, e.g., Kaupp v. Texas</w:t>
      </w:r>
      <w:r w:rsidRPr="00D226C8">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sidRPr="00D226C8">
        <w:rPr>
          <w:i/>
          <w:iCs/>
        </w:rPr>
        <w:t>Dunaway v. New York</w:t>
      </w:r>
      <w:r w:rsidRPr="00D226C8">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r>
        <w:t xml:space="preserve">; </w:t>
      </w:r>
      <w:r w:rsidRPr="00672C74">
        <w:rPr>
          <w:i/>
        </w:rPr>
        <w:t>United State v. Wrensford</w:t>
      </w:r>
      <w:r w:rsidRPr="00672C74">
        <w:t>, 866 F.3d 76 (3d Cir. 2017) (holding that involuntary transportation to the police station and detention in a cell constituted an arrest)</w:t>
      </w:r>
      <w:r>
        <w:t>;</w:t>
      </w:r>
      <w:r w:rsidRPr="009D7FE9">
        <w:rPr>
          <w:i/>
        </w:rPr>
        <w:t xml:space="preserve"> </w:t>
      </w:r>
      <w:r w:rsidRPr="00774721">
        <w:rPr>
          <w:i/>
        </w:rPr>
        <w:t>United States v. Foster</w:t>
      </w:r>
      <w:r w:rsidRPr="00774721">
        <w:t>, 891 F.3d 93, 106–07 (3d Cir. 2018)</w:t>
      </w:r>
      <w:r>
        <w:t xml:space="preserve"> (holding that </w:t>
      </w:r>
      <w:r w:rsidRPr="00774721">
        <w:t xml:space="preserve">the scope of a permissible </w:t>
      </w:r>
      <w:r w:rsidRPr="00774721">
        <w:rPr>
          <w:i/>
        </w:rPr>
        <w:t>Terry</w:t>
      </w:r>
      <w:r w:rsidRPr="00774721">
        <w:t xml:space="preserve"> stop was not exceeded even though the suspect was put in handcuffs and transported a short distance for identification</w:t>
      </w:r>
      <w:r>
        <w:t>)</w:t>
      </w:r>
      <w:r w:rsidRPr="00774721">
        <w:t>.</w:t>
      </w:r>
    </w:p>
  </w:footnote>
  <w:footnote w:id="229">
    <w:p w14:paraId="131966D3"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United States v. Sed</w:t>
      </w:r>
      <w:r w:rsidRPr="00D226C8">
        <w:t xml:space="preserve">, 601 F.3d 224 (3d Cir. 2010), the fact that an arrest by Pennsylvania State Police occurred in Ohio and violated Ohio state law did not establish a Fourth Amendment violation.  </w:t>
      </w:r>
      <w:r w:rsidRPr="00D226C8">
        <w:rPr>
          <w:i/>
          <w:iCs/>
        </w:rPr>
        <w:t>See id.</w:t>
      </w:r>
      <w:r w:rsidRPr="00D226C8">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sidRPr="00D226C8">
        <w:rPr>
          <w:i/>
          <w:iCs/>
        </w:rPr>
        <w:t xml:space="preserve">de minimis </w:t>
      </w:r>
      <w:r w:rsidRPr="00D226C8">
        <w:t xml:space="preserve">one at that.”  </w:t>
      </w:r>
      <w:r w:rsidRPr="00D226C8">
        <w:rPr>
          <w:i/>
          <w:iCs/>
        </w:rPr>
        <w:t>Id.</w:t>
      </w:r>
      <w:r w:rsidRPr="00D226C8">
        <w:t xml:space="preserve"> at 229.</w:t>
      </w:r>
    </w:p>
  </w:footnote>
  <w:footnote w:id="230">
    <w:p w14:paraId="508A5689" w14:textId="77777777" w:rsidR="00C00A31" w:rsidRPr="00D226C8" w:rsidRDefault="00C00A31" w:rsidP="00F506A3">
      <w:pPr>
        <w:ind w:firstLine="720"/>
        <w:mirrorIndents/>
      </w:pPr>
      <w:r w:rsidRPr="00D226C8">
        <w:rPr>
          <w:rStyle w:val="FootnoteReference"/>
        </w:rPr>
        <w:footnoteRef/>
      </w:r>
      <w:r w:rsidRPr="00D226C8">
        <w:t xml:space="preserve">  Discussing the issuance of search warrants, the Court has held:</w:t>
      </w:r>
    </w:p>
    <w:p w14:paraId="6626B436" w14:textId="77777777" w:rsidR="00C00A31" w:rsidRPr="00D226C8" w:rsidRDefault="00C00A31" w:rsidP="00F506A3">
      <w:pPr>
        <w:ind w:firstLine="720"/>
        <w:mirrorIndents/>
      </w:pPr>
    </w:p>
    <w:p w14:paraId="75DC71C7" w14:textId="77777777" w:rsidR="00C00A31" w:rsidRPr="00D226C8" w:rsidRDefault="00C00A31" w:rsidP="00F506A3">
      <w:pPr>
        <w:ind w:left="720" w:right="720" w:firstLine="720"/>
        <w:mirrorIndents/>
      </w:pPr>
      <w:r w:rsidRPr="00D226C8">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14:paraId="2505CA4B" w14:textId="77777777" w:rsidR="00C00A31" w:rsidRPr="00D226C8" w:rsidRDefault="00C00A31" w:rsidP="00F506A3">
      <w:pPr>
        <w:ind w:firstLine="720"/>
        <w:mirrorIndents/>
      </w:pPr>
    </w:p>
    <w:p w14:paraId="6A2E6168" w14:textId="77777777" w:rsidR="00C00A31" w:rsidRPr="00D226C8" w:rsidRDefault="00C00A31" w:rsidP="00F506A3">
      <w:pPr>
        <w:spacing w:after="240"/>
        <w:mirrorIndents/>
      </w:pPr>
      <w:r w:rsidRPr="00D226C8">
        <w:rPr>
          <w:i/>
          <w:iCs/>
        </w:rPr>
        <w:t>Illinois v. Gates</w:t>
      </w:r>
      <w:r w:rsidRPr="00D226C8">
        <w:t xml:space="preserve">, 462 U.S. 213, 238-39 (1983) (quoting </w:t>
      </w:r>
      <w:r w:rsidRPr="00D226C8">
        <w:rPr>
          <w:i/>
          <w:iCs/>
        </w:rPr>
        <w:t>Jones v. United States</w:t>
      </w:r>
      <w:r w:rsidRPr="00D226C8">
        <w:t xml:space="preserve">, 362 U.S. 257, 271 (1960), </w:t>
      </w:r>
      <w:r w:rsidRPr="00D226C8">
        <w:rPr>
          <w:i/>
          <w:iCs/>
        </w:rPr>
        <w:t>overruled on other grounds by United States v. Salvucci</w:t>
      </w:r>
      <w:r w:rsidRPr="00D226C8">
        <w:t>, 448 U.S. 83 (1980)).</w:t>
      </w:r>
    </w:p>
  </w:footnote>
  <w:footnote w:id="231">
    <w:p w14:paraId="105BBB89" w14:textId="77777777" w:rsidR="00C00A31" w:rsidRPr="00D226C8" w:rsidRDefault="00C00A31" w:rsidP="00F506A3">
      <w:pPr>
        <w:spacing w:after="240"/>
        <w:ind w:firstLine="720"/>
        <w:mirrorIndents/>
      </w:pPr>
      <w:r w:rsidRPr="00D226C8">
        <w:rPr>
          <w:rStyle w:val="FootnoteReference"/>
        </w:rPr>
        <w:footnoteRef/>
      </w:r>
      <w:r w:rsidRPr="00D226C8">
        <w:t xml:space="preserve">  Thus, for example, the fact that an officer was motivated by race would not render an otherwise proper arrest violative of the Fourth Amendment, though it would raise Equal Protection issues.  </w:t>
      </w:r>
      <w:r w:rsidRPr="00D226C8">
        <w:rPr>
          <w:i/>
          <w:iCs/>
        </w:rPr>
        <w:t>See Whren</w:t>
      </w:r>
      <w:r w:rsidRPr="00D226C8">
        <w:t xml:space="preserve">, 517 U.S. at 813 (“[T]he constitutional basis for objecting to intentionally discriminatory application of laws is the Equal Protection Clause, not the Fourth Amendment.”); </w:t>
      </w:r>
      <w:r w:rsidRPr="00D226C8">
        <w:rPr>
          <w:i/>
          <w:iCs/>
        </w:rPr>
        <w:t>cf. Desi's Pizza, Inc. v. City of Wilkes</w:t>
      </w:r>
      <w:r w:rsidRPr="00D226C8">
        <w:rPr>
          <w:i/>
          <w:iCs/>
        </w:rPr>
        <w:noBreakHyphen/>
        <w:t>Barre</w:t>
      </w:r>
      <w:r w:rsidRPr="00D226C8">
        <w:t xml:space="preserve">, 321 F.3d 411, 425 (3d Cir. 2003) (noting that “selective prosecution may constitute illegal discrimination even if the prosecution is otherwise warranted”); </w:t>
      </w:r>
      <w:r w:rsidRPr="00D226C8">
        <w:rPr>
          <w:i/>
          <w:iCs/>
        </w:rPr>
        <w:t xml:space="preserve">Gibson v. Superintendent of NJ Dept. of Law and Public Safety </w:t>
      </w:r>
      <w:r w:rsidRPr="00D226C8">
        <w:rPr>
          <w:i/>
          <w:iCs/>
        </w:rPr>
        <w:noBreakHyphen/>
        <w:t xml:space="preserve"> Division of State Police</w:t>
      </w:r>
      <w:r w:rsidRPr="00D226C8">
        <w:t>, 411 F.3d 427, 441 (3d Cir. 2005) (permitting racially selective law enforcement claim to proceed).</w:t>
      </w:r>
    </w:p>
    <w:p w14:paraId="2A3627B3" w14:textId="2D789E7C" w:rsidR="00C00A31" w:rsidRPr="00D226C8" w:rsidRDefault="00C00A31" w:rsidP="00F506A3">
      <w:pPr>
        <w:spacing w:after="240"/>
        <w:ind w:firstLine="720"/>
        <w:mirrorIndents/>
      </w:pPr>
      <w:r w:rsidRPr="00D226C8">
        <w:t xml:space="preserve">Questions concerning the interaction between probable cause and improper motive can also arise outside the context of race discrimination.  In </w:t>
      </w:r>
      <w:r w:rsidRPr="00D226C8">
        <w:rPr>
          <w:i/>
        </w:rPr>
        <w:t>Reichle v. Howards</w:t>
      </w:r>
      <w:r w:rsidRPr="00D226C8">
        <w:t xml:space="preserve">, 132 S. Ct. 2088 (2012), the plaintiff claimed that he was arrested “in retaliation for his political speech.”  </w:t>
      </w:r>
      <w:r w:rsidRPr="00D226C8">
        <w:rPr>
          <w:i/>
        </w:rPr>
        <w:t>Id.</w:t>
      </w:r>
      <w:r w:rsidRPr="00D226C8">
        <w:t xml:space="preserve"> at 2091.  The </w:t>
      </w:r>
      <w:r w:rsidRPr="00D226C8">
        <w:rPr>
          <w:i/>
        </w:rPr>
        <w:t>Reichle</w:t>
      </w:r>
      <w:r w:rsidRPr="00D226C8">
        <w:t xml:space="preserve"> Court noted, without deciding, the question of whether a claim for retaliatory arrest requires a showing that there was a lack of probable cause.  </w:t>
      </w:r>
      <w:r w:rsidRPr="00D226C8">
        <w:rPr>
          <w:i/>
        </w:rPr>
        <w:t xml:space="preserve">See id. </w:t>
      </w:r>
      <w:r w:rsidRPr="00D226C8">
        <w:t>at 2094-96</w:t>
      </w:r>
      <w:r>
        <w:t>;</w:t>
      </w:r>
      <w:r w:rsidRPr="008822DE">
        <w:t xml:space="preserve"> </w:t>
      </w:r>
      <w:r w:rsidRPr="00DA4A1F">
        <w:rPr>
          <w:i/>
        </w:rPr>
        <w:t>see also</w:t>
      </w:r>
      <w:r w:rsidRPr="008822DE">
        <w:t xml:space="preserve"> </w:t>
      </w:r>
      <w:r w:rsidRPr="008822DE">
        <w:rPr>
          <w:i/>
        </w:rPr>
        <w:t>Lozman v. City of Riviera Beach, Fla.</w:t>
      </w:r>
      <w:r w:rsidRPr="008822DE">
        <w:t xml:space="preserve">, 138 S. Ct. 1945, 1954-55 (2018) (holding that because the plaintiff sued the city itself—based on the allegation that the city (through its legislators) formed a premeditated plan to intimidate him in retaliation for his speech and those same high officers ordered his arrest—probable cause did not defeat the claim, but not deciding whether probable cause would defeat a claim against an arresting officer who was the one alleged to have engaged in the retaliation). </w:t>
      </w:r>
    </w:p>
  </w:footnote>
  <w:footnote w:id="232">
    <w:p w14:paraId="7A9DC8F4" w14:textId="0052695C" w:rsidR="00C00A31" w:rsidRPr="00D226C8" w:rsidRDefault="00C00A31" w:rsidP="00F506A3">
      <w:pPr>
        <w:spacing w:after="240"/>
        <w:ind w:firstLine="720"/>
        <w:mirrorIndents/>
      </w:pPr>
      <w:r w:rsidRPr="00D226C8">
        <w:rPr>
          <w:rStyle w:val="FootnoteReference"/>
        </w:rPr>
        <w:footnoteRef/>
      </w:r>
      <w:r w:rsidRPr="00D226C8">
        <w:t xml:space="preserve">  “[T]he common law presumption raised by a magistrate</w:t>
      </w:r>
      <w:r>
        <w:t>’</w:t>
      </w:r>
      <w:r w:rsidRPr="00D226C8">
        <w:t xml:space="preserve">s prior finding that probable cause exists does not apply to section 1983 actions.”  </w:t>
      </w:r>
      <w:r w:rsidRPr="00D226C8">
        <w:rPr>
          <w:i/>
          <w:iCs/>
        </w:rPr>
        <w:t>Merkle v. Upper Dublin School Dist.</w:t>
      </w:r>
      <w:r w:rsidRPr="00D226C8">
        <w:t>, 211 F.3d 782, 789 (3d Cir. 2000).</w:t>
      </w:r>
    </w:p>
  </w:footnote>
  <w:footnote w:id="233">
    <w:p w14:paraId="12332B0F" w14:textId="77777777" w:rsidR="00C00A31" w:rsidRPr="00D226C8" w:rsidRDefault="00C00A31" w:rsidP="00F506A3">
      <w:pPr>
        <w:ind w:firstLine="720"/>
        <w:mirrorIndents/>
      </w:pPr>
      <w:r w:rsidRPr="00D226C8">
        <w:rPr>
          <w:rStyle w:val="FootnoteReference"/>
        </w:rPr>
        <w:footnoteRef/>
      </w:r>
      <w:r w:rsidRPr="00D226C8">
        <w:t xml:space="preserve">  By contrast, another Circuit has shifted the burden of production but not the burden of proof:</w:t>
      </w:r>
    </w:p>
    <w:p w14:paraId="5007A003" w14:textId="77777777" w:rsidR="00C00A31" w:rsidRPr="00D226C8" w:rsidRDefault="00C00A31" w:rsidP="00F506A3">
      <w:pPr>
        <w:ind w:firstLine="720"/>
        <w:mirrorIndents/>
      </w:pPr>
    </w:p>
    <w:p w14:paraId="4F926A75" w14:textId="77777777" w:rsidR="00C00A31" w:rsidRPr="00D226C8" w:rsidRDefault="00C00A31" w:rsidP="00F506A3">
      <w:pPr>
        <w:ind w:left="720" w:right="720" w:firstLine="720"/>
        <w:mirrorIndents/>
      </w:pPr>
      <w:r w:rsidRPr="00D226C8">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C00A31" w:rsidRPr="00D226C8" w:rsidRDefault="00C00A31" w:rsidP="00F506A3">
      <w:pPr>
        <w:ind w:firstLine="720"/>
        <w:mirrorIndents/>
      </w:pPr>
    </w:p>
    <w:p w14:paraId="1EB6235A" w14:textId="77777777" w:rsidR="00C00A31" w:rsidRPr="00D226C8" w:rsidRDefault="00C00A31" w:rsidP="00F506A3">
      <w:pPr>
        <w:spacing w:after="240"/>
        <w:mirrorIndents/>
      </w:pPr>
      <w:r w:rsidRPr="00D226C8">
        <w:rPr>
          <w:i/>
          <w:iCs/>
        </w:rPr>
        <w:t>Dubner v. City and County of San Francisco</w:t>
      </w:r>
      <w:r w:rsidRPr="00D226C8">
        <w:t xml:space="preserve">, 266 F.3d 959, 965 (9th Cir. 2001); </w:t>
      </w:r>
      <w:r w:rsidRPr="00D226C8">
        <w:rPr>
          <w:i/>
          <w:iCs/>
        </w:rPr>
        <w:t>see also Davis v. Rodriguez</w:t>
      </w:r>
      <w:r w:rsidRPr="00D226C8">
        <w:t>, 364 F.3d 424, 433 n.8 (2d Cir. 2004) (noting circuit split as to “which side carries the burden regarding probable cause” with respect to Section 1983 false arrest claims).</w:t>
      </w:r>
    </w:p>
  </w:footnote>
  <w:footnote w:id="234">
    <w:p w14:paraId="4C76F58F" w14:textId="77777777" w:rsidR="00C00A31" w:rsidRPr="00D226C8" w:rsidRDefault="00C00A31" w:rsidP="00F506A3">
      <w:pPr>
        <w:ind w:firstLine="720"/>
        <w:mirrorIndents/>
      </w:pPr>
      <w:r w:rsidRPr="00D226C8">
        <w:rPr>
          <w:rStyle w:val="FootnoteReference"/>
        </w:rPr>
        <w:footnoteRef/>
      </w:r>
      <w:r w:rsidRPr="00D226C8">
        <w:t xml:space="preserve">  </w:t>
      </w:r>
      <w:r w:rsidRPr="00D226C8">
        <w:rPr>
          <w:i/>
          <w:iCs/>
        </w:rPr>
        <w:t>Pierson</w:t>
      </w:r>
      <w:r w:rsidRPr="00D226C8">
        <w:t xml:space="preserve"> is distinguishable from a typical Fourth Amendment false arrest case.  In </w:t>
      </w:r>
      <w:r w:rsidRPr="00D226C8">
        <w:rPr>
          <w:i/>
          <w:iCs/>
        </w:rPr>
        <w:t>Pierson</w:t>
      </w:r>
      <w:r w:rsidRPr="00D226C8">
        <w:t xml:space="preserve">, clergy members attempting to use a segregated bus terminal in Jackson, Mississippi were arrested by city police and charged with misdemeanors under a state statute.  </w:t>
      </w:r>
      <w:r w:rsidRPr="00D226C8">
        <w:rPr>
          <w:i/>
          <w:iCs/>
        </w:rPr>
        <w:t>See Pierson</w:t>
      </w:r>
      <w:r w:rsidRPr="00D226C8">
        <w:t xml:space="preserve">, 386 U.S. at 549.  (The state statute was later held unconstitutional as applied to a similar situation, because it was used to enforce race discrimination in a facility used for interstate transportation.  </w:t>
      </w:r>
      <w:r w:rsidRPr="00D226C8">
        <w:rPr>
          <w:i/>
          <w:iCs/>
        </w:rPr>
        <w:t xml:space="preserve">See id. </w:t>
      </w:r>
      <w:r w:rsidRPr="00D226C8">
        <w:t xml:space="preserve">at 550 n.4.)  The core of the plaintiffs’ claims in </w:t>
      </w:r>
      <w:r w:rsidRPr="00D226C8">
        <w:rPr>
          <w:i/>
          <w:iCs/>
        </w:rPr>
        <w:t>Pierson</w:t>
      </w:r>
      <w:r w:rsidRPr="00D226C8">
        <w:t xml:space="preserve">, then, was that the arrests were motivated by a desire to enforce segregation.  </w:t>
      </w:r>
      <w:r w:rsidRPr="00D226C8">
        <w:rPr>
          <w:i/>
          <w:iCs/>
        </w:rPr>
        <w:t xml:space="preserve">See id. </w:t>
      </w:r>
      <w:r w:rsidRPr="00D226C8">
        <w:t xml:space="preserve">at 557 (noting plaintiffs’ claim that “the police officers arrested them solely for attempting to use the 'White Only' waiting room”).  That the Court placed the burden on the defendant officers to prove good faith and probable cause in </w:t>
      </w:r>
      <w:r w:rsidRPr="00D226C8">
        <w:rPr>
          <w:i/>
          <w:iCs/>
        </w:rPr>
        <w:t>Pierson</w:t>
      </w:r>
      <w:r w:rsidRPr="00D226C8">
        <w:t>, then, may not conclusively establish that defendants have a similar burden in run-of-the-mill Fourth Amendment false arrest cases.</w:t>
      </w:r>
    </w:p>
    <w:p w14:paraId="0AB73BD4" w14:textId="77777777" w:rsidR="00C00A31" w:rsidRPr="00D226C8" w:rsidRDefault="00C00A31" w:rsidP="00F506A3">
      <w:pPr>
        <w:ind w:firstLine="720"/>
        <w:mirrorIndents/>
      </w:pPr>
    </w:p>
    <w:p w14:paraId="327EF56E" w14:textId="77777777" w:rsidR="00C00A31" w:rsidRPr="00D226C8" w:rsidRDefault="00C00A31" w:rsidP="00F506A3">
      <w:pPr>
        <w:spacing w:after="240"/>
        <w:ind w:firstLine="720"/>
        <w:mirrorIndents/>
      </w:pPr>
      <w:r w:rsidRPr="00D226C8">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The plaintiff “may rebut this presumption by showing that, under all the factual and legal circumstances surrounding the arrest, a reasonable officer would not have relied on the prosecutor's advice.”  </w:t>
      </w:r>
      <w:r w:rsidRPr="00D226C8">
        <w:rPr>
          <w:i/>
          <w:iCs/>
        </w:rPr>
        <w:t>Id.</w:t>
      </w:r>
    </w:p>
  </w:footnote>
  <w:footnote w:id="235">
    <w:p w14:paraId="4B9A4664" w14:textId="77777777" w:rsidR="00C00A31" w:rsidRPr="00D226C8" w:rsidRDefault="00C00A31" w:rsidP="00F506A3">
      <w:pPr>
        <w:spacing w:after="240"/>
        <w:ind w:firstLine="720"/>
        <w:mirrorIndents/>
      </w:pPr>
      <w:r w:rsidRPr="00D226C8">
        <w:rPr>
          <w:rStyle w:val="FootnoteReference"/>
        </w:rPr>
        <w:footnoteRef/>
      </w:r>
      <w:r w:rsidRPr="00D226C8">
        <w:t xml:space="preserve">  For a decision applying the </w:t>
      </w:r>
      <w:r w:rsidRPr="00D226C8">
        <w:rPr>
          <w:i/>
          <w:iCs/>
        </w:rPr>
        <w:t>Gates</w:t>
      </w:r>
      <w:r w:rsidRPr="00D226C8">
        <w:t xml:space="preserve"> test to an application for a search warrant, see </w:t>
      </w:r>
      <w:r w:rsidRPr="00D226C8">
        <w:rPr>
          <w:i/>
          <w:iCs/>
        </w:rPr>
        <w:t>United States v. Stearn</w:t>
      </w:r>
      <w:r w:rsidRPr="00D226C8">
        <w:t>, 597 F.3d 540, 555-56 (3d Cir. 2010).</w:t>
      </w:r>
    </w:p>
  </w:footnote>
  <w:footnote w:id="236">
    <w:p w14:paraId="788B4477" w14:textId="77777777" w:rsidR="00C00A31" w:rsidRPr="00D226C8" w:rsidRDefault="00C00A31" w:rsidP="00F506A3">
      <w:pPr>
        <w:spacing w:after="240"/>
        <w:ind w:firstLine="720"/>
        <w:mirrorIndents/>
      </w:pPr>
      <w:r w:rsidRPr="00D226C8">
        <w:rPr>
          <w:rStyle w:val="FootnoteReference"/>
        </w:rPr>
        <w:footnoteRef/>
      </w:r>
      <w:r w:rsidRPr="00D226C8">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sidRPr="00D226C8">
        <w:rPr>
          <w:i/>
          <w:iCs/>
        </w:rPr>
        <w:t>Sands v. McCormick</w:t>
      </w:r>
      <w:r w:rsidRPr="00D226C8">
        <w:t xml:space="preserve">, 502 F.3d 263, 269 (3d Cir. 2007).  (The </w:t>
      </w:r>
      <w:r w:rsidRPr="00D226C8">
        <w:rPr>
          <w:i/>
          <w:iCs/>
        </w:rPr>
        <w:t>Sands</w:t>
      </w:r>
      <w:r w:rsidRPr="00D226C8">
        <w:t xml:space="preserve"> court noted that “the dates of the offenses were disclosed in the affidavit of probable cause that was submitted to the magistrate,” and that “[t]here is no indication that the magistrate had any hesitancy about issuing the arrest warrant.”).  </w:t>
      </w:r>
      <w:r w:rsidRPr="00D226C8">
        <w:rPr>
          <w:i/>
          <w:iCs/>
        </w:rPr>
        <w:t>See also Holman v. City of York</w:t>
      </w:r>
      <w:r w:rsidRPr="00D226C8">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sidRPr="00D226C8">
        <w:rPr>
          <w:i/>
          <w:iCs/>
        </w:rPr>
        <w:t>Cf.</w:t>
      </w:r>
      <w:r w:rsidRPr="00D226C8">
        <w:t> </w:t>
      </w:r>
      <w:r w:rsidRPr="00D226C8">
        <w:rPr>
          <w:i/>
          <w:iCs/>
        </w:rPr>
        <w:t>United States v. Gatlin</w:t>
      </w:r>
      <w:r w:rsidRPr="00D226C8">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7">
    <w:p w14:paraId="11CE76C7"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Gilles v. Davis</w:t>
      </w:r>
      <w:r w:rsidRPr="00D226C8">
        <w:t>, 427 F.3d 197, 206 (3d Cir. 2005) (stating, with respect to qualified immunity analysis, that “whether it was reasonable to believe there was probable cause is in part based on the limited information that the arresting officer has at the time”).</w:t>
      </w:r>
    </w:p>
  </w:footnote>
  <w:footnote w:id="238">
    <w:p w14:paraId="38AF7959" w14:textId="77777777" w:rsidR="00C00A31" w:rsidRPr="00D226C8" w:rsidRDefault="00C00A31" w:rsidP="00F506A3">
      <w:pPr>
        <w:ind w:firstLine="720"/>
        <w:mirrorIndents/>
      </w:pPr>
      <w:r w:rsidRPr="00D226C8">
        <w:rPr>
          <w:rStyle w:val="FootnoteReference"/>
        </w:rPr>
        <w:footnoteRef/>
      </w:r>
      <w:r w:rsidRPr="00D226C8">
        <w:t xml:space="preserve">  </w:t>
      </w:r>
      <w:r w:rsidRPr="00D226C8">
        <w:rPr>
          <w:i/>
          <w:iCs/>
        </w:rPr>
        <w:t>Cf. United States v. Prandy-Binett</w:t>
      </w:r>
      <w:r w:rsidRPr="00D226C8">
        <w:t xml:space="preserve">, 995 F.2d 1069, 1073-74 (D.C. Cir. 1993) (“It is simply not the law that officers must be aware of the </w:t>
      </w:r>
      <w:r w:rsidRPr="00D226C8">
        <w:rPr>
          <w:i/>
          <w:iCs/>
        </w:rPr>
        <w:t>specific</w:t>
      </w:r>
      <w:r w:rsidRPr="00D226C8">
        <w:t xml:space="preserve"> crime an individual is likely committing...  It is enough that they have probable cause to believe the defendant has committed one or the other of several offenses, even though they cannot be sure which one.”).</w:t>
      </w:r>
    </w:p>
    <w:p w14:paraId="3ECF28FE" w14:textId="77777777" w:rsidR="00C00A31" w:rsidRPr="00D226C8" w:rsidRDefault="00C00A31" w:rsidP="00F506A3">
      <w:pPr>
        <w:ind w:firstLine="720"/>
        <w:mirrorIndents/>
      </w:pPr>
    </w:p>
    <w:p w14:paraId="2C647410" w14:textId="77777777" w:rsidR="00C00A31" w:rsidRPr="00D226C8" w:rsidRDefault="00C00A31" w:rsidP="00F506A3">
      <w:pPr>
        <w:spacing w:after="240"/>
        <w:ind w:firstLine="720"/>
        <w:mirrorIndents/>
      </w:pPr>
      <w:r w:rsidRPr="00D226C8">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sidRPr="00D226C8">
        <w:rPr>
          <w:i/>
          <w:iCs/>
        </w:rPr>
        <w:t>See Merkle v. Upper Dublin School Dist.</w:t>
      </w:r>
      <w:r w:rsidRPr="00D226C8">
        <w:t>, 211 F.3d 782, 790 n.7 (3d Cir. 2000) (so holding, but noting that “a different conclusion may be warranted if the additional charge results in longer detention, higher bail, or some other added disability”).</w:t>
      </w:r>
    </w:p>
  </w:footnote>
  <w:footnote w:id="239">
    <w:p w14:paraId="24C550D9" w14:textId="77777777" w:rsidR="00C00A31" w:rsidRPr="00D226C8" w:rsidRDefault="00C00A31" w:rsidP="00F506A3">
      <w:pPr>
        <w:ind w:firstLine="720"/>
        <w:mirrorIndents/>
      </w:pPr>
      <w:r w:rsidRPr="00D226C8">
        <w:rPr>
          <w:rStyle w:val="FootnoteReference"/>
        </w:rPr>
        <w:footnoteRef/>
      </w:r>
      <w:r w:rsidRPr="00D226C8">
        <w:t xml:space="preserve">    “If an officer has probable cause to believe that an individual has committed even a very minor criminal offense in his presence, he may, without violating the Fourth Amendment, arrest the offender.”  </w:t>
      </w:r>
      <w:r w:rsidRPr="00D226C8">
        <w:rPr>
          <w:i/>
          <w:iCs/>
        </w:rPr>
        <w:t>Atwater v. City of Lago Vista</w:t>
      </w:r>
      <w:r w:rsidRPr="00D226C8">
        <w:t xml:space="preserve">, 532 U.S. 318, 354 (2001).  The </w:t>
      </w:r>
      <w:r w:rsidRPr="00D226C8">
        <w:rPr>
          <w:i/>
          <w:iCs/>
        </w:rPr>
        <w:t>Atwater</w:t>
      </w:r>
      <w:r w:rsidRPr="00D226C8">
        <w:t xml:space="preserve"> Court expressly left open whether the misdemeanor must have been committed in the officer’s presence.  </w:t>
      </w:r>
      <w:r w:rsidRPr="00D226C8">
        <w:rPr>
          <w:i/>
          <w:iCs/>
        </w:rPr>
        <w:t>See Atwater</w:t>
      </w:r>
      <w:r w:rsidRPr="00D226C8">
        <w:t>, 532 U.S. at 341 n.11 (“We need not, and thus do not, speculate whether the Fourth Amendment entails an ‘in the presence’ requirement for purposes of misdemeanor arrests.”).</w:t>
      </w:r>
    </w:p>
    <w:p w14:paraId="40BB4FCD" w14:textId="77777777" w:rsidR="00C00A31" w:rsidRPr="00D226C8" w:rsidRDefault="00C00A31" w:rsidP="00F506A3">
      <w:pPr>
        <w:ind w:firstLine="720"/>
        <w:mirrorIndents/>
      </w:pPr>
    </w:p>
    <w:p w14:paraId="7EB502F7" w14:textId="42D1DAFE" w:rsidR="00C00A31" w:rsidRPr="00D226C8" w:rsidRDefault="00C00A31" w:rsidP="00F506A3">
      <w:pPr>
        <w:ind w:firstLine="720"/>
        <w:mirrorIndents/>
      </w:pPr>
      <w:r w:rsidRPr="00D226C8">
        <w:t xml:space="preserve">In </w:t>
      </w:r>
      <w:r w:rsidRPr="00D226C8">
        <w:rPr>
          <w:i/>
          <w:iCs/>
        </w:rPr>
        <w:t>United States v. Myers</w:t>
      </w:r>
      <w:r w:rsidRPr="00D226C8">
        <w:t xml:space="preserve">, the Court of Appeals decided a suppression issue based in part upon an officer’s failure to comply with a state-law provision that authorized warrantless arrest </w:t>
      </w:r>
      <w:r>
        <w:t>“</w:t>
      </w:r>
      <w:r w:rsidRPr="00D226C8">
        <w:t xml:space="preserve">only if the offense is committed in the presence of the arresting officer or when specifically authorized by statute.”  </w:t>
      </w:r>
      <w:r w:rsidRPr="00D226C8">
        <w:rPr>
          <w:i/>
          <w:iCs/>
        </w:rPr>
        <w:t>U.S. v. Myers</w:t>
      </w:r>
      <w:r w:rsidRPr="00D226C8">
        <w:t>, 308 F.3d 251, 256 (3d Cir. 2002) (alternative holding). In</w:t>
      </w:r>
      <w:r>
        <w:t xml:space="preserve"> </w:t>
      </w:r>
      <w:r w:rsidRPr="00D226C8">
        <w:rPr>
          <w:i/>
          <w:iCs/>
        </w:rPr>
        <w:t>United States v. Laville</w:t>
      </w:r>
      <w:r w:rsidRPr="00D226C8">
        <w:t xml:space="preserve">, 480 F.3d 187 (3d Cir. 2007), the Court of Appeals held “that the unlawfulness of an arrest under state or local law does not make the arrest unreasonable </w:t>
      </w:r>
      <w:r w:rsidRPr="00D226C8">
        <w:rPr>
          <w:i/>
          <w:iCs/>
        </w:rPr>
        <w:t>per se</w:t>
      </w:r>
      <w:r w:rsidRPr="00D226C8">
        <w:t xml:space="preserve"> under the Fourth Amendment; at most, the unlawfulness is a factor for federal courts to consider in evaluating the totality of the circumstances surrounding the arrest.”  </w:t>
      </w:r>
      <w:r w:rsidRPr="00D226C8">
        <w:rPr>
          <w:i/>
          <w:iCs/>
        </w:rPr>
        <w:t>Laville</w:t>
      </w:r>
      <w:r w:rsidRPr="00D226C8">
        <w:t xml:space="preserve">, 480 F.3d at 196; </w:t>
      </w:r>
      <w:r w:rsidRPr="00D226C8">
        <w:rPr>
          <w:i/>
          <w:iCs/>
        </w:rPr>
        <w:t xml:space="preserve">see also id. </w:t>
      </w:r>
      <w:r w:rsidRPr="00D226C8">
        <w:t xml:space="preserve">at 192 (explaining that </w:t>
      </w:r>
      <w:r w:rsidRPr="00D226C8">
        <w:rPr>
          <w:i/>
          <w:iCs/>
        </w:rPr>
        <w:t>Myers</w:t>
      </w:r>
      <w:r w:rsidRPr="00D226C8">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rsidRPr="00D226C8">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sidRPr="00D226C8">
        <w:rPr>
          <w:i/>
          <w:iCs/>
        </w:rPr>
        <w:t>Virginia v. Moore</w:t>
      </w:r>
      <w:r w:rsidRPr="00D226C8">
        <w:t>, 128 S.Ct. 1598, 1607 (2008).</w:t>
      </w:r>
    </w:p>
  </w:footnote>
  <w:footnote w:id="240">
    <w:p w14:paraId="013FB180" w14:textId="77777777" w:rsidR="00C00A31" w:rsidRPr="00D226C8" w:rsidRDefault="00C00A31" w:rsidP="00F506A3">
      <w:pPr>
        <w:spacing w:after="240"/>
        <w:ind w:firstLine="720"/>
        <w:mirrorIndents/>
      </w:pPr>
      <w:r w:rsidRPr="00D226C8">
        <w:rPr>
          <w:rStyle w:val="FootnoteReference"/>
        </w:rPr>
        <w:footnoteRef/>
      </w:r>
      <w:r w:rsidRPr="00D226C8">
        <w:t xml:space="preserve">  The “community caretaking” doctrine, </w:t>
      </w:r>
      <w:r w:rsidRPr="00D226C8">
        <w:rPr>
          <w:i/>
          <w:iCs/>
        </w:rPr>
        <w:t>see Cady v. Dombrowski</w:t>
      </w:r>
      <w:r w:rsidRPr="00D226C8">
        <w:t xml:space="preserve">, 413 U.S. 433, 441 (1973), does not apply to warrantless entry into a home.  </w:t>
      </w:r>
      <w:r w:rsidRPr="00D226C8">
        <w:rPr>
          <w:i/>
          <w:iCs/>
        </w:rPr>
        <w:t>See Ray v. Township of Warren</w:t>
      </w:r>
      <w:r w:rsidRPr="00D226C8">
        <w:t>, 626 F.3d 170, 177 (3d Cir. 2010) (“The community caretaking doctrine cannot be used to justify warrantless searches of a home.”).</w:t>
      </w:r>
    </w:p>
  </w:footnote>
  <w:footnote w:id="241">
    <w:p w14:paraId="0389210B" w14:textId="77777777" w:rsidR="00C00A31" w:rsidRPr="00D226C8" w:rsidRDefault="00C00A31" w:rsidP="00F506A3">
      <w:pPr>
        <w:spacing w:after="240"/>
        <w:ind w:firstLine="720"/>
        <w:mirrorIndents/>
      </w:pPr>
      <w:r w:rsidRPr="00D226C8">
        <w:rPr>
          <w:rStyle w:val="FootnoteReference"/>
        </w:rPr>
        <w:footnoteRef/>
      </w:r>
      <w:r w:rsidRPr="00D226C8">
        <w:t xml:space="preserve">  “[L]aw enforcement officers ‘may enter a home without a warrant to render emergency assistance to an injured occupant or to protect an occupant from imminent injury.’” </w:t>
      </w:r>
      <w:r w:rsidRPr="00D226C8">
        <w:rPr>
          <w:i/>
          <w:iCs/>
        </w:rPr>
        <w:t>Michigan v. Fisher</w:t>
      </w:r>
      <w:r w:rsidRPr="00D226C8">
        <w:t xml:space="preserve">, 130 S. Ct. 546, 548 (2009) (per curiam) (quoting </w:t>
      </w:r>
      <w:r w:rsidRPr="00D226C8">
        <w:rPr>
          <w:i/>
          <w:iCs/>
        </w:rPr>
        <w:t>Brigham City v. Stuart</w:t>
      </w:r>
      <w:r w:rsidRPr="00D226C8">
        <w:t xml:space="preserve">, 547 U.S. 398, 403 (2006)).  </w:t>
      </w:r>
      <w:r w:rsidRPr="00D226C8">
        <w:rPr>
          <w:i/>
          <w:iCs/>
        </w:rPr>
        <w:t>See also Kentucky v. King</w:t>
      </w:r>
      <w:r w:rsidRPr="00D226C8">
        <w:t>, 131 S. Ct. 1849, 1856-58 (2011) (noting “several exigencies that may justify a warrantless search of a home” and holding that “the exigent circumstances rule justifies a warrantless search when the conduct of the police preceding the exigency is reasonable”);</w:t>
      </w:r>
      <w:r w:rsidRPr="00D226C8">
        <w:rPr>
          <w:i/>
          <w:iCs/>
        </w:rPr>
        <w:t xml:space="preserve"> Marasco</w:t>
      </w:r>
      <w:r w:rsidRPr="00D226C8">
        <w:t>, 318 F.3d at 518 (exigent circumstances exist “if the safety of either law enforcement or the general public is threatened”).</w:t>
      </w:r>
    </w:p>
  </w:footnote>
  <w:footnote w:id="242">
    <w:p w14:paraId="3EC5568C" w14:textId="77777777" w:rsidR="00C00A31" w:rsidRPr="00D226C8" w:rsidRDefault="00C00A31" w:rsidP="00F506A3">
      <w:pPr>
        <w:spacing w:after="240"/>
        <w:ind w:firstLine="720"/>
        <w:mirrorIndents/>
      </w:pPr>
      <w:r w:rsidRPr="00D226C8">
        <w:rPr>
          <w:rStyle w:val="FootnoteReference"/>
        </w:rPr>
        <w:footnoteRef/>
      </w:r>
      <w:r w:rsidRPr="00D226C8">
        <w:t xml:space="preserve">  A modified version of this instruction could be used with respect to search warrants. For an opinion applying the </w:t>
      </w:r>
      <w:r w:rsidRPr="00D226C8">
        <w:rPr>
          <w:i/>
        </w:rPr>
        <w:t>Franks</w:t>
      </w:r>
      <w:r w:rsidRPr="00D226C8">
        <w:t xml:space="preserve"> test in the context of a search warrant application, see </w:t>
      </w:r>
      <w:r w:rsidRPr="00D226C8">
        <w:rPr>
          <w:i/>
        </w:rPr>
        <w:t>United States v. Pavulak</w:t>
      </w:r>
      <w:r w:rsidRPr="00D226C8">
        <w:t xml:space="preserve">, 700 F.3d 651 (3d Cir. 2012). In </w:t>
      </w:r>
      <w:r w:rsidRPr="00D226C8">
        <w:rPr>
          <w:i/>
        </w:rPr>
        <w:t>Pavulak</w:t>
      </w:r>
      <w:r w:rsidRPr="00D226C8">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D226C8">
        <w:rPr>
          <w:i/>
        </w:rPr>
        <w:t>Id.</w:t>
      </w:r>
      <w:r w:rsidRPr="00D226C8">
        <w:t xml:space="preserve"> at 655.  The court then held that the district court properly denied the defendant’s request for a </w:t>
      </w:r>
      <w:r w:rsidRPr="00D226C8">
        <w:rPr>
          <w:i/>
        </w:rPr>
        <w:t>Franks</w:t>
      </w:r>
      <w:r w:rsidRPr="00D226C8">
        <w:t xml:space="preserve"> hearing.  </w:t>
      </w:r>
      <w:r w:rsidRPr="00D226C8">
        <w:rPr>
          <w:i/>
        </w:rPr>
        <w:t>See id.</w:t>
      </w:r>
      <w:r w:rsidRPr="00D226C8">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43">
    <w:p w14:paraId="33961CFF"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Wilson</w:t>
      </w:r>
      <w:r w:rsidRPr="00D226C8">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sidRPr="00D226C8">
        <w:rPr>
          <w:i/>
          <w:iCs/>
        </w:rPr>
        <w:t>See Wilson</w:t>
      </w:r>
      <w:r w:rsidRPr="00D226C8">
        <w:t>, 212 F.3d at 789 n.6.</w:t>
      </w:r>
    </w:p>
  </w:footnote>
  <w:footnote w:id="244">
    <w:p w14:paraId="20E33EF3" w14:textId="77777777" w:rsidR="00C00A31" w:rsidRPr="00D226C8" w:rsidRDefault="00C00A31" w:rsidP="00F506A3">
      <w:pPr>
        <w:ind w:firstLine="720"/>
        <w:mirrorIndents/>
      </w:pPr>
      <w:r w:rsidRPr="00D226C8">
        <w:rPr>
          <w:rStyle w:val="FootnoteReference"/>
        </w:rPr>
        <w:footnoteRef/>
      </w:r>
      <w:r w:rsidRPr="00D226C8">
        <w:t xml:space="preserve">  The </w:t>
      </w:r>
      <w:r w:rsidRPr="00D226C8">
        <w:rPr>
          <w:i/>
          <w:iCs/>
        </w:rPr>
        <w:t>Yusuf</w:t>
      </w:r>
      <w:r w:rsidRPr="00D226C8">
        <w:t xml:space="preserve"> court held that when information provided by a sister government agency under court order turns out to be false,</w:t>
      </w:r>
    </w:p>
    <w:p w14:paraId="48F2C1B9" w14:textId="77777777" w:rsidR="00C00A31" w:rsidRPr="00D226C8" w:rsidRDefault="00C00A31" w:rsidP="00F506A3">
      <w:pPr>
        <w:ind w:firstLine="720"/>
        <w:mirrorIndents/>
      </w:pPr>
    </w:p>
    <w:p w14:paraId="23FEC10F" w14:textId="77777777" w:rsidR="00C00A31" w:rsidRPr="00D226C8" w:rsidRDefault="00C00A31" w:rsidP="00F506A3">
      <w:pPr>
        <w:ind w:left="720" w:right="720" w:firstLine="720"/>
        <w:mirrorIndents/>
      </w:pPr>
      <w:r w:rsidRPr="00D226C8">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C00A31" w:rsidRPr="00D226C8" w:rsidRDefault="00C00A31" w:rsidP="00F506A3">
      <w:pPr>
        <w:ind w:firstLine="720"/>
        <w:mirrorIndents/>
      </w:pPr>
    </w:p>
    <w:p w14:paraId="7E298779" w14:textId="77777777" w:rsidR="00C00A31" w:rsidRPr="00D226C8" w:rsidRDefault="00C00A31" w:rsidP="00F506A3">
      <w:pPr>
        <w:spacing w:after="240"/>
        <w:mirrorIndents/>
      </w:pPr>
      <w:r w:rsidRPr="00D226C8">
        <w:rPr>
          <w:i/>
          <w:iCs/>
        </w:rPr>
        <w:t>Yusuf</w:t>
      </w:r>
      <w:r w:rsidRPr="00D226C8">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sidRPr="00D226C8">
        <w:rPr>
          <w:i/>
          <w:iCs/>
        </w:rPr>
        <w:t>Id.</w:t>
      </w:r>
      <w:r w:rsidRPr="00D226C8">
        <w:t xml:space="preserve"> at 388.</w:t>
      </w:r>
    </w:p>
  </w:footnote>
  <w:footnote w:id="245">
    <w:p w14:paraId="1A3F29DD"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iCs/>
        </w:rPr>
        <w:t>Shields</w:t>
      </w:r>
      <w:r w:rsidRPr="00D226C8">
        <w:t xml:space="preserve">, an undercover FBI agent subscribed to a website in the course of his investigation of online child pornography.  </w:t>
      </w:r>
      <w:r w:rsidRPr="00D226C8">
        <w:rPr>
          <w:i/>
          <w:iCs/>
        </w:rPr>
        <w:t>See Shields</w:t>
      </w:r>
      <w:r w:rsidRPr="00D226C8">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sidRPr="00D226C8">
        <w:rPr>
          <w:i/>
          <w:iCs/>
        </w:rPr>
        <w:t>See id.</w:t>
      </w:r>
      <w:r w:rsidRPr="00D226C8">
        <w:t xml:space="preserve"> at 271-72.  A second FBI agent incorporated this assertion into an affidavit in support of a search warrant application in connection with his investigation of Shields.  </w:t>
      </w:r>
      <w:r w:rsidRPr="00D226C8">
        <w:rPr>
          <w:i/>
          <w:iCs/>
        </w:rPr>
        <w:t>See id.</w:t>
      </w:r>
      <w:r w:rsidRPr="00D226C8">
        <w:t xml:space="preserve"> at 272-73.  It was subsequently discovered that the assertion concerning automatic subscription was false.  </w:t>
      </w:r>
      <w:r w:rsidRPr="00D226C8">
        <w:rPr>
          <w:i/>
          <w:iCs/>
        </w:rPr>
        <w:t>See id.</w:t>
      </w:r>
      <w:r w:rsidRPr="00D226C8">
        <w:t xml:space="preserve"> at 274-75.  The </w:t>
      </w:r>
      <w:r w:rsidRPr="00D226C8">
        <w:rPr>
          <w:i/>
          <w:iCs/>
        </w:rPr>
        <w:t>Shields</w:t>
      </w:r>
      <w:r w:rsidRPr="00D226C8">
        <w:t xml:space="preserve"> court, however, rejected Shields’ challenge to the warrant, because the court held that the affidavit “even purged of the offending material supports a finding of probable cause,” </w:t>
      </w:r>
      <w:r w:rsidRPr="00D226C8">
        <w:rPr>
          <w:i/>
          <w:iCs/>
        </w:rPr>
        <w:t>id.</w:t>
      </w:r>
      <w:r w:rsidRPr="00D226C8">
        <w:t xml:space="preserve"> at 277; thus, </w:t>
      </w:r>
      <w:r w:rsidRPr="00D226C8">
        <w:rPr>
          <w:i/>
          <w:iCs/>
        </w:rPr>
        <w:t>Shields</w:t>
      </w:r>
      <w:r w:rsidRPr="00D226C8">
        <w:t>’ discussion of laundering a falsehood through an unwitting affiant is dictum.</w:t>
      </w:r>
    </w:p>
  </w:footnote>
  <w:footnote w:id="246">
    <w:p w14:paraId="0435D556" w14:textId="77777777" w:rsidR="00C00A31" w:rsidRPr="00D226C8" w:rsidRDefault="00C00A31" w:rsidP="00F506A3">
      <w:pPr>
        <w:spacing w:after="240"/>
        <w:ind w:firstLine="720"/>
        <w:mirrorIndents/>
      </w:pPr>
      <w:r w:rsidRPr="00D226C8">
        <w:rPr>
          <w:rStyle w:val="FootnoteReference"/>
        </w:rPr>
        <w:footnoteRef/>
      </w:r>
      <w:r w:rsidRPr="00D226C8">
        <w:t xml:space="preserve">  In </w:t>
      </w:r>
      <w:r w:rsidRPr="00D226C8">
        <w:rPr>
          <w:i/>
        </w:rPr>
        <w:t>Messerschmidt</w:t>
      </w:r>
      <w:r w:rsidRPr="00D226C8">
        <w:t xml:space="preserve">, the Court gave weight – in its qualified immunity analysis – to “the fact that the officers sought and obtained approval of the warrant application from a superior and a deputy district attorney before submitting it to the magistrate.”  </w:t>
      </w:r>
      <w:r w:rsidRPr="00D226C8">
        <w:rPr>
          <w:i/>
        </w:rPr>
        <w:t>Messerschmidt</w:t>
      </w:r>
      <w:r w:rsidRPr="00D226C8">
        <w:t xml:space="preserve">, 132 S. Ct. at 1249.  </w:t>
      </w:r>
      <w:r w:rsidRPr="00D226C8">
        <w:rPr>
          <w:i/>
          <w:iCs/>
        </w:rPr>
        <w:t>Cf.</w:t>
      </w:r>
      <w:r w:rsidRPr="00D226C8">
        <w:t xml:space="preserve"> </w:t>
      </w:r>
      <w:r w:rsidRPr="00D226C8">
        <w:rPr>
          <w:i/>
          <w:iCs/>
        </w:rPr>
        <w:t>Kelly v. Borough of Carlisle</w:t>
      </w:r>
      <w:r w:rsidRPr="00D226C8">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7">
    <w:p w14:paraId="2045F3C0" w14:textId="77777777" w:rsidR="00C00A31" w:rsidRPr="00D226C8" w:rsidRDefault="00C00A31" w:rsidP="00F506A3">
      <w:pPr>
        <w:spacing w:after="240"/>
        <w:ind w:firstLine="720"/>
        <w:mirrorIndents/>
      </w:pPr>
      <w:r w:rsidRPr="00D226C8">
        <w:rPr>
          <w:rStyle w:val="FootnoteReference"/>
        </w:rPr>
        <w:footnoteRef/>
      </w:r>
      <w:r w:rsidRPr="00D226C8">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sidRPr="00D226C8">
        <w:rPr>
          <w:i/>
          <w:iCs/>
        </w:rPr>
        <w:t>Lippay</w:t>
      </w:r>
      <w:r w:rsidRPr="00D226C8">
        <w:t>, 996 F.2d at 1504.  For a discussion of related considerations, see Comment 4.7.2.</w:t>
      </w:r>
    </w:p>
  </w:footnote>
  <w:footnote w:id="248">
    <w:p w14:paraId="36A4C65F" w14:textId="77777777" w:rsidR="00C00A31" w:rsidRPr="00D226C8" w:rsidRDefault="00C00A31" w:rsidP="00F506A3">
      <w:pPr>
        <w:spacing w:after="240"/>
        <w:ind w:firstLine="720"/>
        <w:mirrorIndents/>
      </w:pPr>
      <w:r w:rsidRPr="00D226C8">
        <w:rPr>
          <w:rStyle w:val="FootnoteReference"/>
        </w:rPr>
        <w:footnoteRef/>
      </w:r>
      <w:r w:rsidRPr="00D226C8">
        <w:t xml:space="preserve">  An additional Court of Appeals decision, though, seemed to rely on a magistrate’s review of a warrant application as evidence that the officer did not err in seeking the warrant:  In </w:t>
      </w:r>
      <w:r w:rsidRPr="00D226C8">
        <w:rPr>
          <w:i/>
          <w:iCs/>
        </w:rPr>
        <w:t>Sands v. McCormick</w:t>
      </w:r>
      <w:r w:rsidRPr="00D226C8">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sidRPr="00D226C8">
        <w:rPr>
          <w:i/>
          <w:iCs/>
        </w:rPr>
        <w:t>See id</w:t>
      </w:r>
      <w:r w:rsidRPr="00D226C8">
        <w:t>. at 269-70.</w:t>
      </w:r>
    </w:p>
  </w:footnote>
  <w:footnote w:id="249">
    <w:p w14:paraId="6A5AF823" w14:textId="77777777" w:rsidR="00C00A31" w:rsidRPr="00D226C8" w:rsidRDefault="00C00A31" w:rsidP="00F506A3">
      <w:pPr>
        <w:spacing w:after="240"/>
        <w:ind w:firstLine="720"/>
        <w:mirrorIndents/>
      </w:pPr>
      <w:r w:rsidRPr="00D226C8">
        <w:rPr>
          <w:rStyle w:val="FootnoteReference"/>
        </w:rPr>
        <w:footnoteRef/>
      </w:r>
      <w:r w:rsidRPr="00D226C8">
        <w:t xml:space="preserve">  See Comment for a discussion of the burden of proof with respect to this element.</w:t>
      </w:r>
    </w:p>
  </w:footnote>
  <w:footnote w:id="250">
    <w:p w14:paraId="3EEE3773" w14:textId="30576845" w:rsidR="00C00A31" w:rsidRPr="00D226C8" w:rsidRDefault="00C00A31" w:rsidP="00F506A3">
      <w:pPr>
        <w:spacing w:after="240"/>
        <w:ind w:firstLine="720"/>
        <w:mirrorIndents/>
      </w:pPr>
      <w:r w:rsidRPr="00D226C8">
        <w:rPr>
          <w:rStyle w:val="FootnoteReference"/>
        </w:rPr>
        <w:footnoteRef/>
      </w:r>
      <w:r w:rsidRPr="00D226C8">
        <w:t xml:space="preserve">  If this element of the claim is disputed, the court may wish to give examples of deprivations of liberty that would rise to the level of a seizure.  </w:t>
      </w:r>
      <w:r w:rsidRPr="00D226C8">
        <w:rPr>
          <w:i/>
          <w:iCs/>
        </w:rPr>
        <w:t>See</w:t>
      </w:r>
      <w:r w:rsidRPr="00D226C8">
        <w:t xml:space="preserve"> Comment (discussing </w:t>
      </w:r>
      <w:r w:rsidRPr="00D226C8">
        <w:rPr>
          <w:i/>
          <w:iCs/>
        </w:rPr>
        <w:t>Gallo v. City of Philadelphia</w:t>
      </w:r>
      <w:r w:rsidRPr="00D226C8">
        <w:t xml:space="preserve">, 161 F.3d 217 (3d Cir. 1998), and </w:t>
      </w:r>
      <w:r w:rsidRPr="00D226C8">
        <w:rPr>
          <w:i/>
          <w:iCs/>
        </w:rPr>
        <w:t>DiBella v. Borough of Beachwood</w:t>
      </w:r>
      <w:r w:rsidRPr="00D226C8">
        <w:t>, 407 F.3d 599 (3d Cir. 2005)).</w:t>
      </w:r>
    </w:p>
  </w:footnote>
  <w:footnote w:id="251">
    <w:p w14:paraId="53D1FD5C" w14:textId="77777777" w:rsidR="00C00A31" w:rsidRPr="00D226C8" w:rsidRDefault="00C00A31" w:rsidP="00F506A3">
      <w:pPr>
        <w:spacing w:after="240"/>
        <w:ind w:firstLine="720"/>
        <w:mirrorIndents/>
      </w:pPr>
      <w:r w:rsidRPr="00D226C8">
        <w:rPr>
          <w:rStyle w:val="FootnoteReference"/>
        </w:rPr>
        <w:footnoteRef/>
      </w:r>
      <w:r w:rsidRPr="00D226C8">
        <w:t xml:space="preserve">  The defendant’s initiation of the proceeding will often be undisputed.  If possible, the court should rule as a matter of law on the questions of favorable termination and of seizure.</w:t>
      </w:r>
    </w:p>
  </w:footnote>
  <w:footnote w:id="252">
    <w:p w14:paraId="39F1904F" w14:textId="77777777" w:rsidR="00C00A31" w:rsidRPr="00D226C8" w:rsidRDefault="00C00A31" w:rsidP="00F506A3">
      <w:pPr>
        <w:spacing w:after="240"/>
        <w:ind w:firstLine="720"/>
        <w:mirrorIndents/>
      </w:pPr>
      <w:r w:rsidRPr="00D226C8">
        <w:rPr>
          <w:rStyle w:val="FootnoteReference"/>
        </w:rPr>
        <w:footnoteRef/>
      </w:r>
      <w:r w:rsidRPr="00D226C8">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sidRPr="00D226C8">
        <w:rPr>
          <w:i/>
          <w:iCs/>
        </w:rPr>
        <w:t>See Albright</w:t>
      </w:r>
      <w:r w:rsidRPr="00D226C8">
        <w:t xml:space="preserve">, 510 U.S. at 275-76 (Scalia, J., concurring).  Justice Ginsburg also concurred in the plurality opinion.  </w:t>
      </w:r>
      <w:r w:rsidRPr="00D226C8">
        <w:rPr>
          <w:i/>
          <w:iCs/>
        </w:rPr>
        <w:t>See id.</w:t>
      </w:r>
      <w:r w:rsidRPr="00D226C8">
        <w:t xml:space="preserve"> at 276 (Ginsburg, J., concurring).</w:t>
      </w:r>
    </w:p>
  </w:footnote>
  <w:footnote w:id="253">
    <w:p w14:paraId="0339F108" w14:textId="77777777" w:rsidR="00C00A31" w:rsidRPr="00D226C8" w:rsidRDefault="00C00A31" w:rsidP="00F506A3">
      <w:pPr>
        <w:spacing w:after="240"/>
        <w:ind w:firstLine="720"/>
        <w:mirrorIndents/>
      </w:pPr>
      <w:r w:rsidRPr="00D226C8">
        <w:rPr>
          <w:rStyle w:val="FootnoteReference"/>
        </w:rPr>
        <w:footnoteRef/>
      </w:r>
      <w:r w:rsidRPr="00D226C8">
        <w:t xml:space="preserve">  A plaintiff can state a claim by alleging that the defendant initiated the malicious prosecution in retaliation for the plaintiff’s exercise of First Amendment rights.  </w:t>
      </w:r>
      <w:r w:rsidRPr="00D226C8">
        <w:rPr>
          <w:i/>
          <w:iCs/>
        </w:rPr>
        <w:t>See Merkle v. Upper Dublin School Dist.</w:t>
      </w:r>
      <w:r w:rsidRPr="00D226C8">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sidRPr="00D226C8">
        <w:rPr>
          <w:i/>
          <w:iCs/>
        </w:rPr>
        <w:t>see also Losch v. Borough of Parkesburg</w:t>
      </w:r>
      <w:r w:rsidRPr="00D226C8">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sidRPr="00D226C8">
        <w:rPr>
          <w:i/>
          <w:iCs/>
        </w:rPr>
        <w:t xml:space="preserve">  See Hartman v. Moore</w:t>
      </w:r>
      <w:r w:rsidRPr="00D226C8">
        <w:t>, 126 S. Ct. 1695, 1707 (2006).</w:t>
      </w:r>
    </w:p>
  </w:footnote>
  <w:footnote w:id="254">
    <w:p w14:paraId="60E07A93" w14:textId="77777777" w:rsidR="00C00A31" w:rsidRPr="00D226C8" w:rsidRDefault="00C00A31" w:rsidP="00F506A3">
      <w:pPr>
        <w:spacing w:after="240"/>
        <w:ind w:firstLine="720"/>
        <w:mirrorIndents/>
      </w:pPr>
      <w:r w:rsidRPr="00D226C8">
        <w:rPr>
          <w:rStyle w:val="FootnoteReference"/>
        </w:rPr>
        <w:footnoteRef/>
      </w:r>
      <w:r w:rsidRPr="00D226C8">
        <w:t xml:space="preserve">  “Although Fourth Amendment seizure principles may in some circumstances have implications in the period between arrest and trial, . . . posttrial incarceration does not qualify as a Fourth Amendment seizure.”  </w:t>
      </w:r>
      <w:r w:rsidRPr="00D226C8">
        <w:rPr>
          <w:i/>
          <w:iCs/>
        </w:rPr>
        <w:t>Torres</w:t>
      </w:r>
      <w:r w:rsidRPr="00D226C8">
        <w:t>, 163 F.3d at 174.</w:t>
      </w:r>
    </w:p>
  </w:footnote>
  <w:footnote w:id="255">
    <w:p w14:paraId="1ECB3BDD" w14:textId="77777777" w:rsidR="00C00A31" w:rsidRPr="00D226C8" w:rsidRDefault="00C00A31" w:rsidP="00F506A3">
      <w:pPr>
        <w:spacing w:after="240"/>
        <w:ind w:firstLine="720"/>
        <w:mirrorIndents/>
      </w:pPr>
      <w:r w:rsidRPr="00D226C8">
        <w:rPr>
          <w:rStyle w:val="FootnoteReference"/>
        </w:rPr>
        <w:footnoteRef/>
      </w:r>
      <w:r w:rsidRPr="00D226C8">
        <w:t xml:space="preserve">  The </w:t>
      </w:r>
      <w:r w:rsidRPr="00D226C8">
        <w:rPr>
          <w:i/>
          <w:iCs/>
        </w:rPr>
        <w:t>Smith</w:t>
      </w:r>
      <w:r w:rsidRPr="00D226C8">
        <w:t xml:space="preserve"> court also stated that “[a]ctual innocence is not required for a common law favorable termination.”  </w:t>
      </w:r>
      <w:r w:rsidRPr="00D226C8">
        <w:rPr>
          <w:i/>
          <w:iCs/>
        </w:rPr>
        <w:t>Smith</w:t>
      </w:r>
      <w:r w:rsidRPr="00D226C8">
        <w:t>, 87 F.3d at 113 (citing Restatement of the Law of Torts §§ 659, 660 (1938)).</w:t>
      </w:r>
    </w:p>
  </w:footnote>
  <w:footnote w:id="256">
    <w:p w14:paraId="75C44B53" w14:textId="77777777" w:rsidR="00C00A31" w:rsidRPr="00D226C8" w:rsidRDefault="00C00A31" w:rsidP="00F506A3">
      <w:pPr>
        <w:ind w:firstLine="720"/>
        <w:mirrorIndents/>
      </w:pPr>
      <w:r w:rsidRPr="00D226C8">
        <w:rPr>
          <w:rStyle w:val="FootnoteReference"/>
        </w:rPr>
        <w:footnoteRef/>
      </w:r>
      <w:r w:rsidRPr="00D226C8">
        <w:t xml:space="preserve">  The Court of Appeals applied the common-law elements in </w:t>
      </w:r>
      <w:r w:rsidRPr="00D226C8">
        <w:rPr>
          <w:i/>
          <w:iCs/>
        </w:rPr>
        <w:t>Hilfirty v. Shipman</w:t>
      </w:r>
      <w:r w:rsidRPr="00D226C8">
        <w:t xml:space="preserve">, 91 F.3d 573, 579 (3d Cir. 1996) (“In order to state a prima facie case for a section 1983 claim of malicious prosecution, the plaintiff must establish the elements of the common law tort as it has developed over time.”).   However, the </w:t>
      </w:r>
      <w:r w:rsidRPr="00D226C8">
        <w:rPr>
          <w:i/>
          <w:iCs/>
        </w:rPr>
        <w:t>Hilfirty</w:t>
      </w:r>
      <w:r w:rsidRPr="00D226C8">
        <w:t xml:space="preserve"> court did not mention </w:t>
      </w:r>
      <w:r w:rsidRPr="00D226C8">
        <w:rPr>
          <w:i/>
          <w:iCs/>
        </w:rPr>
        <w:t>Albright</w:t>
      </w:r>
      <w:r w:rsidRPr="00D226C8">
        <w:t xml:space="preserve">, so </w:t>
      </w:r>
      <w:r w:rsidRPr="00D226C8">
        <w:rPr>
          <w:i/>
          <w:iCs/>
        </w:rPr>
        <w:t>Hilfirty</w:t>
      </w:r>
      <w:r w:rsidRPr="00D226C8">
        <w:t xml:space="preserve"> does not shed light on the test that should apply post-</w:t>
      </w:r>
      <w:r w:rsidRPr="00D226C8">
        <w:rPr>
          <w:i/>
          <w:iCs/>
        </w:rPr>
        <w:t>Albright</w:t>
      </w:r>
      <w:r w:rsidRPr="00D226C8">
        <w:t xml:space="preserve">.  </w:t>
      </w:r>
      <w:r w:rsidRPr="00D226C8">
        <w:rPr>
          <w:i/>
          <w:iCs/>
        </w:rPr>
        <w:t>But see Nawrocki v. Tp. of Coolbaugh</w:t>
      </w:r>
      <w:r w:rsidRPr="00D226C8">
        <w:t xml:space="preserve">, 34 Fed. Appx. 832, 837 (3d Cir. April 8, 2002) (nonprecedential opinion) (citing </w:t>
      </w:r>
      <w:r w:rsidRPr="00D226C8">
        <w:rPr>
          <w:i/>
          <w:iCs/>
        </w:rPr>
        <w:t>Hilfirty</w:t>
      </w:r>
      <w:r w:rsidRPr="00D226C8">
        <w:t xml:space="preserve"> for the proposition that “</w:t>
      </w:r>
      <w:r w:rsidRPr="00D226C8">
        <w:rPr>
          <w:i/>
          <w:iCs/>
        </w:rPr>
        <w:t>Albright</w:t>
      </w:r>
      <w:r w:rsidRPr="00D226C8">
        <w:t xml:space="preserve"> left standing” the requirement that Section 1983 plaintiffs establish the common-law elements).</w:t>
      </w:r>
    </w:p>
    <w:p w14:paraId="12E09BC8" w14:textId="77777777" w:rsidR="00C00A31" w:rsidRPr="00D226C8" w:rsidRDefault="00C00A31" w:rsidP="00F506A3">
      <w:pPr>
        <w:ind w:firstLine="720"/>
        <w:mirrorIndents/>
      </w:pPr>
    </w:p>
    <w:p w14:paraId="068A9848" w14:textId="1FEF0B9F" w:rsidR="00C00A31" w:rsidRPr="00D226C8" w:rsidRDefault="00C00A31" w:rsidP="00F506A3">
      <w:pPr>
        <w:spacing w:after="240"/>
        <w:ind w:firstLine="720"/>
        <w:mirrorIndents/>
      </w:pPr>
      <w:r w:rsidRPr="00D226C8">
        <w:t xml:space="preserve">In </w:t>
      </w:r>
      <w:r w:rsidRPr="00D226C8">
        <w:rPr>
          <w:i/>
          <w:iCs/>
        </w:rPr>
        <w:t>Merkle v. Upper Dublin School Dist.</w:t>
      </w:r>
      <w:r w:rsidRPr="00D226C8">
        <w:t xml:space="preserve">, the Court of Appeals held that the district court had erred in failing to require proof of a Bill of Rights violation, but the </w:t>
      </w:r>
      <w:r w:rsidRPr="00D226C8">
        <w:rPr>
          <w:i/>
          <w:iCs/>
        </w:rPr>
        <w:t>Merkle</w:t>
      </w:r>
      <w:r w:rsidRPr="00D226C8">
        <w:t xml:space="preserve"> majority did not appear to take issue with the district court’s assumption that the plaintiff must establish the common law malicious prosecution elements.  </w:t>
      </w:r>
      <w:r w:rsidRPr="00D226C8">
        <w:rPr>
          <w:i/>
          <w:iCs/>
        </w:rPr>
        <w:t>See Merkle</w:t>
      </w:r>
      <w:r w:rsidRPr="00D226C8">
        <w:t xml:space="preserve">, 211 F.3d at 792; </w:t>
      </w:r>
      <w:r w:rsidRPr="00D226C8">
        <w:rPr>
          <w:i/>
          <w:iCs/>
        </w:rPr>
        <w:t xml:space="preserve">see also id. </w:t>
      </w:r>
      <w:r w:rsidRPr="00D226C8">
        <w:t>at 794 (“We believe that whether these defendants</w:t>
      </w:r>
      <w:r>
        <w:t>’</w:t>
      </w:r>
      <w:r w:rsidRPr="00D226C8">
        <w:t xml:space="preserve">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sidRPr="00D226C8">
        <w:rPr>
          <w:i/>
          <w:iCs/>
        </w:rPr>
        <w:t>See Merkle</w:t>
      </w:r>
      <w:r w:rsidRPr="00D226C8">
        <w:t>, 211 F.3d at 791, 795-96.</w:t>
      </w:r>
    </w:p>
  </w:footnote>
  <w:footnote w:id="257">
    <w:p w14:paraId="4B5EE3DE" w14:textId="77777777" w:rsidR="00C00A31" w:rsidRPr="00D226C8" w:rsidRDefault="00C00A31" w:rsidP="00F506A3">
      <w:pPr>
        <w:spacing w:after="240"/>
        <w:ind w:firstLine="720"/>
        <w:mirrorIndents/>
      </w:pPr>
      <w:r w:rsidRPr="00D226C8">
        <w:rPr>
          <w:rStyle w:val="FootnoteReference"/>
        </w:rPr>
        <w:footnoteRef/>
      </w:r>
      <w:r w:rsidRPr="00D226C8">
        <w:t xml:space="preserve">  The relevant claim in </w:t>
      </w:r>
      <w:r w:rsidRPr="00D226C8">
        <w:rPr>
          <w:i/>
          <w:iCs/>
        </w:rPr>
        <w:t>Gilles</w:t>
      </w:r>
      <w:r w:rsidRPr="00D226C8">
        <w:t xml:space="preserve"> asserted a First Amendment violation and did not sound in malicious prosecution, </w:t>
      </w:r>
      <w:r w:rsidRPr="00D226C8">
        <w:rPr>
          <w:i/>
          <w:iCs/>
        </w:rPr>
        <w:t>see Gilles</w:t>
      </w:r>
      <w:r w:rsidRPr="00D226C8">
        <w:t xml:space="preserve">, 427 F.3d at 203, but the Court of Appeals found </w:t>
      </w:r>
      <w:r w:rsidRPr="00D226C8">
        <w:rPr>
          <w:i/>
          <w:iCs/>
        </w:rPr>
        <w:t>Heck</w:t>
      </w:r>
      <w:r w:rsidRPr="00D226C8">
        <w:t xml:space="preserve">’s reasoning “equally applicable” to the First Amendment claim and thus applied </w:t>
      </w:r>
      <w:r w:rsidRPr="00D226C8">
        <w:rPr>
          <w:i/>
          <w:iCs/>
        </w:rPr>
        <w:t>Heck</w:t>
      </w:r>
      <w:r w:rsidRPr="00D226C8">
        <w:t xml:space="preserve">’s favorable-termination requirement, </w:t>
      </w:r>
      <w:r w:rsidRPr="00D226C8">
        <w:rPr>
          <w:i/>
          <w:iCs/>
        </w:rPr>
        <w:t xml:space="preserve">id. </w:t>
      </w:r>
      <w:r w:rsidRPr="00D226C8">
        <w:t>at 209.</w:t>
      </w:r>
    </w:p>
  </w:footnote>
  <w:footnote w:id="258">
    <w:p w14:paraId="1258ABD2" w14:textId="3F007FE6" w:rsidR="00C00A31" w:rsidRPr="00D226C8" w:rsidRDefault="00C00A31"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sidRPr="00D226C8">
        <w:rPr>
          <w:i/>
          <w:iCs/>
        </w:rPr>
        <w:t>Cf. Johnson</w:t>
      </w:r>
      <w:r w:rsidRPr="00D226C8">
        <w:t>, 477 F.3d at 82 n.9, 84</w:t>
      </w:r>
      <w:r w:rsidRPr="00D226C8">
        <w:noBreakHyphen/>
        <w:t xml:space="preserve">85 (applying this rule to malicious prosecution claim only where the circumstances leading to the arrest and prosecution are intertwined).”  </w:t>
      </w:r>
      <w:r w:rsidRPr="00D226C8">
        <w:rPr>
          <w:i/>
          <w:iCs/>
        </w:rPr>
        <w:t>Startzell</w:t>
      </w:r>
      <w:r w:rsidRPr="00D226C8">
        <w:t xml:space="preserve">, 533 F.3d at 204 n.14.  </w:t>
      </w:r>
      <w:r w:rsidRPr="00D226C8">
        <w:rPr>
          <w:i/>
          <w:iCs/>
        </w:rPr>
        <w:t>See also Reedy v. Evanson</w:t>
      </w:r>
      <w:r w:rsidRPr="00D226C8">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sidRPr="00D226C8">
        <w:rPr>
          <w:i/>
          <w:iCs/>
        </w:rPr>
        <w:t>Barna v. City of Perth Amboy</w:t>
      </w:r>
      <w:r w:rsidRPr="00D226C8">
        <w:t>, 42 F.3d 809, 819 (3d Cir. 1994))).</w:t>
      </w:r>
    </w:p>
    <w:p w14:paraId="6EC4478A" w14:textId="77777777" w:rsidR="00C00A31" w:rsidRPr="00D226C8" w:rsidRDefault="00C00A31" w:rsidP="00F506A3">
      <w:pPr>
        <w:ind w:firstLine="720"/>
        <w:mirrorIndents/>
      </w:pPr>
    </w:p>
    <w:p w14:paraId="7AF9786F" w14:textId="77777777" w:rsidR="00C00A31" w:rsidRPr="00D226C8" w:rsidRDefault="00C00A31" w:rsidP="00F506A3">
      <w:pPr>
        <w:ind w:firstLine="720"/>
        <w:mirrorIndents/>
      </w:pPr>
      <w:r w:rsidRPr="00D226C8">
        <w:t xml:space="preserve">In </w:t>
      </w:r>
      <w:r w:rsidRPr="00D226C8">
        <w:rPr>
          <w:i/>
          <w:iCs/>
        </w:rPr>
        <w:t>Pitts v. Delaware</w:t>
      </w:r>
      <w:r w:rsidRPr="00D226C8">
        <w:t xml:space="preserve">, 646 F.3d 151 (3d Cir. 2011), the jury found for the plaintiff on his claims of race discrimination and illegal seizure but found for the defendant on the plaintiff’s claims for false arrest and malicious prosecution, </w:t>
      </w:r>
      <w:r w:rsidRPr="00D226C8">
        <w:rPr>
          <w:i/>
          <w:iCs/>
        </w:rPr>
        <w:t xml:space="preserve">see id. </w:t>
      </w:r>
      <w:r w:rsidRPr="00D226C8">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C00A31" w:rsidRPr="00D226C8" w:rsidRDefault="00C00A31" w:rsidP="00F506A3">
      <w:pPr>
        <w:ind w:firstLine="720"/>
        <w:mirrorIndents/>
      </w:pPr>
    </w:p>
    <w:p w14:paraId="1C2938A8" w14:textId="77777777" w:rsidR="00C00A31" w:rsidRPr="00D226C8" w:rsidRDefault="00C00A31" w:rsidP="00F506A3">
      <w:pPr>
        <w:ind w:left="720" w:right="720" w:firstLine="720"/>
        <w:mirrorIndents/>
      </w:pPr>
      <w:r w:rsidRPr="00D226C8">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C00A31" w:rsidRPr="00D226C8" w:rsidRDefault="00C00A31" w:rsidP="00F506A3">
      <w:pPr>
        <w:ind w:firstLine="720"/>
        <w:mirrorIndents/>
      </w:pPr>
    </w:p>
    <w:p w14:paraId="6D9A9992" w14:textId="77777777" w:rsidR="00C00A31" w:rsidRPr="00D226C8" w:rsidRDefault="00C00A31" w:rsidP="00F506A3">
      <w:pPr>
        <w:spacing w:after="240"/>
        <w:mirrorIndents/>
      </w:pPr>
      <w:r w:rsidRPr="00D226C8">
        <w:rPr>
          <w:i/>
          <w:iCs/>
        </w:rPr>
        <w:t>Pitts</w:t>
      </w:r>
      <w:r w:rsidRPr="00D226C8">
        <w:t>, 646 F.3d at 158 n.4.</w:t>
      </w:r>
    </w:p>
  </w:footnote>
  <w:footnote w:id="259">
    <w:p w14:paraId="5F027664" w14:textId="77777777" w:rsidR="00C00A31" w:rsidRPr="00D226C8" w:rsidRDefault="00C00A31" w:rsidP="00F506A3">
      <w:pPr>
        <w:ind w:firstLine="720"/>
        <w:mirrorIndents/>
      </w:pPr>
      <w:r w:rsidRPr="00D226C8">
        <w:rPr>
          <w:rStyle w:val="FootnoteReference"/>
        </w:rPr>
        <w:footnoteRef/>
      </w:r>
      <w:r w:rsidRPr="00D226C8">
        <w:t xml:space="preserve">  The defendant might also argue that a grand jury indictment breaks the chain of causation.  The Court of Appeals has explained the concept of superseding causes:</w:t>
      </w:r>
    </w:p>
    <w:p w14:paraId="7C84BA02" w14:textId="77777777" w:rsidR="00C00A31" w:rsidRPr="00D226C8" w:rsidRDefault="00C00A31" w:rsidP="00F506A3">
      <w:pPr>
        <w:ind w:firstLine="720"/>
        <w:mirrorIndents/>
      </w:pPr>
    </w:p>
    <w:p w14:paraId="0AE0DD36" w14:textId="77777777" w:rsidR="00C00A31" w:rsidRPr="00D226C8" w:rsidRDefault="00C00A31" w:rsidP="00F506A3">
      <w:pPr>
        <w:ind w:left="720" w:right="720" w:firstLine="720"/>
        <w:mirrorIndents/>
      </w:pPr>
      <w:r w:rsidRPr="00D226C8">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sidRPr="00D226C8">
        <w:rPr>
          <w:i/>
          <w:iCs/>
        </w:rPr>
        <w:t>Bivens</w:t>
      </w:r>
      <w:r w:rsidRPr="00D226C8">
        <w:t xml:space="preserve"> liability.</w:t>
      </w:r>
    </w:p>
    <w:p w14:paraId="6F93051B" w14:textId="77777777" w:rsidR="00C00A31" w:rsidRPr="00D226C8" w:rsidRDefault="00C00A31" w:rsidP="00F506A3">
      <w:pPr>
        <w:ind w:firstLine="720"/>
        <w:mirrorIndents/>
      </w:pPr>
    </w:p>
    <w:p w14:paraId="550A51BC" w14:textId="3455F214" w:rsidR="00C00A31" w:rsidRPr="00D226C8" w:rsidRDefault="00C00A31" w:rsidP="00F506A3">
      <w:pPr>
        <w:spacing w:after="240"/>
        <w:mirrorIndents/>
      </w:pPr>
      <w:r w:rsidRPr="00D226C8">
        <w:rPr>
          <w:i/>
          <w:iCs/>
        </w:rPr>
        <w:t>Egervary v. Young</w:t>
      </w:r>
      <w:r w:rsidRPr="00D226C8">
        <w:t xml:space="preserve">, 366 F.3d 238, 250-51 (3d Cir. 2004).  Though </w:t>
      </w:r>
      <w:r w:rsidRPr="00D226C8">
        <w:rPr>
          <w:i/>
          <w:iCs/>
        </w:rPr>
        <w:t>Egervary</w:t>
      </w:r>
      <w:r w:rsidRPr="00D226C8">
        <w:t xml:space="preserve"> involved a judge’s decision, rather than a grand jury’s, the rationale of </w:t>
      </w:r>
      <w:r w:rsidRPr="00D226C8">
        <w:rPr>
          <w:i/>
          <w:iCs/>
        </w:rPr>
        <w:t>Egervary</w:t>
      </w:r>
      <w:r w:rsidRPr="00D226C8">
        <w:t xml:space="preserve"> seems equally applicable to the grand jury context.  (For a discussion of the possibility that Supreme Court precedents may limit the application of the superseding cause principle with respect to the issuance of warrants, see </w:t>
      </w:r>
      <w:r w:rsidRPr="00D226C8">
        <w:rPr>
          <w:i/>
          <w:iCs/>
        </w:rPr>
        <w:t>supra</w:t>
      </w:r>
      <w:r w:rsidRPr="00D226C8">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D226C8">
        <w:rPr>
          <w:i/>
        </w:rPr>
        <w:t>See also</w:t>
      </w:r>
      <w:r w:rsidRPr="00D226C8">
        <w:t xml:space="preserve"> </w:t>
      </w:r>
      <w:r w:rsidRPr="00D226C8">
        <w:rPr>
          <w:i/>
        </w:rPr>
        <w:t>Halsey v. Pfeiffer</w:t>
      </w:r>
      <w:r w:rsidRPr="00D226C8">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60">
    <w:p w14:paraId="07EE7756" w14:textId="77777777" w:rsidR="00C00A31" w:rsidRPr="00D226C8" w:rsidRDefault="00C00A31" w:rsidP="00F506A3">
      <w:pPr>
        <w:spacing w:after="240"/>
        <w:ind w:firstLine="720"/>
        <w:mirrorIndents/>
      </w:pPr>
      <w:r w:rsidRPr="00D226C8">
        <w:rPr>
          <w:rStyle w:val="FootnoteReference"/>
        </w:rPr>
        <w:footnoteRef/>
      </w:r>
      <w:r w:rsidRPr="00D226C8">
        <w:t xml:space="preserve">  Admittedly, both </w:t>
      </w:r>
      <w:r w:rsidRPr="00D226C8">
        <w:rPr>
          <w:i/>
          <w:iCs/>
        </w:rPr>
        <w:t>Marasco</w:t>
      </w:r>
      <w:r w:rsidRPr="00D226C8">
        <w:t xml:space="preserve"> and </w:t>
      </w:r>
      <w:r w:rsidRPr="00D226C8">
        <w:rPr>
          <w:i/>
          <w:iCs/>
        </w:rPr>
        <w:t>Camiolo</w:t>
      </w:r>
      <w:r w:rsidRPr="00D226C8">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sidRPr="00D226C8">
        <w:rPr>
          <w:i/>
          <w:iCs/>
        </w:rPr>
        <w:t>McKenna v. City of Philadelphia</w:t>
      </w:r>
      <w:r w:rsidRPr="00D226C8">
        <w:t>, 582 F.3d 447, 461-62 (3d Cir. 2009).</w:t>
      </w:r>
    </w:p>
  </w:footnote>
  <w:footnote w:id="261">
    <w:p w14:paraId="6264D025" w14:textId="77777777" w:rsidR="00C00A31" w:rsidRPr="00D226C8" w:rsidRDefault="00C00A31" w:rsidP="00F506A3">
      <w:pPr>
        <w:spacing w:after="240"/>
        <w:ind w:firstLine="720"/>
        <w:mirrorIndents/>
      </w:pPr>
      <w:r w:rsidRPr="00D226C8">
        <w:rPr>
          <w:rStyle w:val="FootnoteReference"/>
        </w:rPr>
        <w:footnoteRef/>
      </w:r>
      <w:r w:rsidRPr="00D226C8">
        <w:t xml:space="preserve">  The Court of Appeals has indicated that the </w:t>
      </w:r>
      <w:r w:rsidRPr="00D226C8">
        <w:rPr>
          <w:i/>
          <w:iCs/>
        </w:rPr>
        <w:t>Heck</w:t>
      </w:r>
      <w:r w:rsidRPr="00D226C8">
        <w:t xml:space="preserve"> bar is conceptually distinct from the favorable</w:t>
      </w:r>
      <w:r w:rsidRPr="00D226C8">
        <w:noBreakHyphen/>
        <w:t xml:space="preserve">termination element of a Section 1983 claim.  </w:t>
      </w:r>
      <w:r w:rsidRPr="00D226C8">
        <w:rPr>
          <w:i/>
          <w:iCs/>
        </w:rPr>
        <w:t>See Kossler</w:t>
      </w:r>
      <w:r w:rsidRPr="00D226C8">
        <w:t xml:space="preserve">, 564 F.3d at 190 n.6 (stating that the court did “not need to apply </w:t>
      </w:r>
      <w:r w:rsidRPr="00D226C8">
        <w:rPr>
          <w:i/>
          <w:iCs/>
        </w:rPr>
        <w:t>Heck</w:t>
      </w:r>
      <w:r w:rsidRPr="00D226C8">
        <w:t xml:space="preserve">'s test in the present case” because the plaintiff had in any event failed to establish the common law element of favorable termination). Despite this assertion of conceptual distinctiveness, the court of appeals has relied on both </w:t>
      </w:r>
      <w:r w:rsidRPr="00D226C8">
        <w:rPr>
          <w:i/>
        </w:rPr>
        <w:t>Kossler</w:t>
      </w:r>
      <w:r w:rsidRPr="00D226C8">
        <w:t xml:space="preserve"> (applying the common law rule) and </w:t>
      </w:r>
      <w:r w:rsidRPr="00D226C8">
        <w:rPr>
          <w:i/>
        </w:rPr>
        <w:t>Gilles</w:t>
      </w:r>
      <w:r w:rsidRPr="00D226C8">
        <w:t xml:space="preserve"> (applying the </w:t>
      </w:r>
      <w:r w:rsidRPr="00D226C8">
        <w:rPr>
          <w:i/>
        </w:rPr>
        <w:t>Heck</w:t>
      </w:r>
      <w:r w:rsidRPr="00D226C8">
        <w:t xml:space="preserve"> bar) interchangeably in applying the </w:t>
      </w:r>
      <w:r w:rsidRPr="00D226C8">
        <w:rPr>
          <w:i/>
        </w:rPr>
        <w:t>Heck</w:t>
      </w:r>
      <w:r w:rsidRPr="00D226C8">
        <w:t xml:space="preserve"> bar. </w:t>
      </w:r>
      <w:r w:rsidRPr="00D226C8">
        <w:rPr>
          <w:i/>
        </w:rPr>
        <w:t>Bronowicz v. Allegheny County</w:t>
      </w:r>
      <w:r w:rsidRPr="00D226C8">
        <w:t>, 804 F.3d 338, 347-48 (3d Cir. 2015).</w:t>
      </w:r>
    </w:p>
    <w:p w14:paraId="5091F43B" w14:textId="77777777" w:rsidR="00C00A31" w:rsidRPr="00D226C8" w:rsidRDefault="00C00A31" w:rsidP="00F506A3">
      <w:pPr>
        <w:spacing w:after="240"/>
        <w:ind w:firstLine="720"/>
        <w:mirrorIndents/>
      </w:pPr>
      <w:r w:rsidRPr="00D226C8">
        <w:t xml:space="preserve">A dismissal predicated on </w:t>
      </w:r>
      <w:r w:rsidRPr="00D226C8">
        <w:rPr>
          <w:i/>
        </w:rPr>
        <w:t>Heck</w:t>
      </w:r>
      <w:r w:rsidRPr="00D226C8">
        <w:t xml:space="preserve"> should be without prejudice. </w:t>
      </w:r>
      <w:r w:rsidRPr="00D226C8">
        <w:rPr>
          <w:i/>
        </w:rPr>
        <w:t>Curry v. Yachera</w:t>
      </w:r>
      <w:r w:rsidRPr="00D226C8">
        <w:t xml:space="preserve">, 835 F.3d 373, 379 (3d Cir. 2016). A nolo contendere plea counts as a conviction for </w:t>
      </w:r>
      <w:r w:rsidRPr="00D226C8">
        <w:rPr>
          <w:i/>
        </w:rPr>
        <w:t>Heck</w:t>
      </w:r>
      <w:r w:rsidRPr="00D226C8">
        <w:t xml:space="preserve"> purposes. </w:t>
      </w:r>
      <w:r w:rsidRPr="00D226C8">
        <w:rPr>
          <w:i/>
        </w:rPr>
        <w:t>Id</w:t>
      </w:r>
      <w:r w:rsidRPr="00D226C8">
        <w:t>. at 378.</w:t>
      </w:r>
    </w:p>
  </w:footnote>
  <w:footnote w:id="262">
    <w:p w14:paraId="0A535EA4" w14:textId="24AF146D" w:rsidR="00C00A31" w:rsidRPr="00D226C8" w:rsidRDefault="00C00A31" w:rsidP="00F506A3">
      <w:pPr>
        <w:ind w:firstLine="720"/>
        <w:mirrorIndents/>
      </w:pPr>
      <w:r w:rsidRPr="00D226C8">
        <w:rPr>
          <w:rStyle w:val="FootnoteReference"/>
        </w:rPr>
        <w:footnoteRef/>
      </w:r>
      <w:r w:rsidRPr="00D226C8">
        <w:t xml:space="preserve">  </w:t>
      </w:r>
      <w:r w:rsidRPr="00D226C8">
        <w:rPr>
          <w:i/>
          <w:iCs/>
        </w:rPr>
        <w:t>See also Skinner v. Switzer</w:t>
      </w:r>
      <w:r w:rsidRPr="00D226C8">
        <w:t xml:space="preserve">, 131 S. Ct. 1289, 1298 (2011) (holding that plaintiff inmate could pursue claim for DNA testing under Section 1983 because success in that suit “would not ‘necessarily imply’ the invalidity of his conviction”); </w:t>
      </w:r>
      <w:r w:rsidRPr="00D226C8">
        <w:rPr>
          <w:i/>
        </w:rPr>
        <w:t>Long v. Atlantic City Police Dep’t</w:t>
      </w:r>
      <w:r w:rsidRPr="00D226C8">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D226C8">
        <w:rPr>
          <w:i/>
        </w:rPr>
        <w:t>Heck</w:t>
      </w:r>
      <w:r w:rsidRPr="00D226C8">
        <w:t>”);</w:t>
      </w:r>
      <w:r w:rsidRPr="00D226C8">
        <w:rPr>
          <w:i/>
          <w:iCs/>
        </w:rPr>
        <w:t xml:space="preserve"> Leamer v. Fauver</w:t>
      </w:r>
      <w:r w:rsidRPr="00D226C8">
        <w:t>, 288 F.3d 532, 542 (3d Cir. 2002) (“[W]henever the ch</w:t>
      </w:r>
      <w:r>
        <w:t>allenge ultimately attacks the ‘</w:t>
      </w:r>
      <w:r w:rsidRPr="00D226C8">
        <w:t>core of habeas</w:t>
      </w:r>
      <w:r>
        <w:t>’</w:t>
      </w:r>
      <w:r w:rsidRPr="00D226C8">
        <w:t xml:space="preserve"> </w:t>
      </w:r>
      <w:r w:rsidRPr="00D226C8">
        <w:noBreakHyphen/>
      </w:r>
      <w:r w:rsidRPr="00D226C8">
        <w:noBreakHyphen/>
        <w:t>the validity of the continued conviction or the fact or length of the sentence</w:t>
      </w:r>
      <w:r w:rsidRPr="00D226C8">
        <w:noBreakHyphen/>
      </w:r>
      <w:r w:rsidRPr="00D226C8">
        <w:noBreakHyphen/>
        <w:t xml:space="preserve">a challenge, however denominated and regardless of the relief sought, must be brought by way of a habeas corpus petition.”); </w:t>
      </w:r>
      <w:r w:rsidRPr="00D226C8">
        <w:rPr>
          <w:i/>
          <w:iCs/>
        </w:rPr>
        <w:t>Torres v. Fauver</w:t>
      </w:r>
      <w:r w:rsidRPr="00D226C8">
        <w:t xml:space="preserve">, 292 F.3d 141, 143 (3d Cir. 2002) (“[T]he favorable termination rule does not apply to claims that implicate only the conditions, and not the fact or duration, of a prisoner's incarceration.”); </w:t>
      </w:r>
      <w:r w:rsidRPr="00D226C8">
        <w:rPr>
          <w:i/>
          <w:iCs/>
        </w:rPr>
        <w:t>McGee v. Martinez</w:t>
      </w:r>
      <w:r w:rsidRPr="00D226C8">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C00A31" w:rsidRPr="00D226C8" w:rsidRDefault="00C00A31" w:rsidP="00F506A3">
      <w:pPr>
        <w:ind w:firstLine="720"/>
        <w:mirrorIndents/>
      </w:pPr>
    </w:p>
    <w:p w14:paraId="4CD2E32B" w14:textId="77777777" w:rsidR="00C00A31" w:rsidRPr="00D226C8" w:rsidRDefault="00C00A31" w:rsidP="00F506A3">
      <w:pPr>
        <w:spacing w:after="240"/>
        <w:ind w:firstLine="720"/>
        <w:mirrorIndents/>
      </w:pPr>
      <w:r w:rsidRPr="00D226C8">
        <w:t xml:space="preserve">The Third Circuit had previously reasoned that the </w:t>
      </w:r>
      <w:r w:rsidRPr="00D226C8">
        <w:rPr>
          <w:i/>
          <w:iCs/>
        </w:rPr>
        <w:t>Heck</w:t>
      </w:r>
      <w:r w:rsidRPr="00D226C8">
        <w:t xml:space="preserve"> rationale extends to pending prosecutions:  “[A] claim that, if successful, would necessarily imply the invalidity of a conviction on a pending criminal charge is not cognizable under § 1983.”  </w:t>
      </w:r>
      <w:r w:rsidRPr="00D226C8">
        <w:rPr>
          <w:i/>
          <w:iCs/>
        </w:rPr>
        <w:t>Smith v. Holtz</w:t>
      </w:r>
      <w:r w:rsidRPr="00D226C8">
        <w:t xml:space="preserve">, 87 F.3d 108, 113 (3d Cir. 1996).  However, the Supreme Court more recently rejected the assertion “that an action which would impugn </w:t>
      </w:r>
      <w:r w:rsidRPr="00D226C8">
        <w:rPr>
          <w:i/>
          <w:iCs/>
        </w:rPr>
        <w:t xml:space="preserve">an anticipated future conviction </w:t>
      </w:r>
      <w:r w:rsidRPr="00D226C8">
        <w:t xml:space="preserve">cannot be brought until that conviction occurs and is set aside.”  </w:t>
      </w:r>
      <w:r w:rsidRPr="00D226C8">
        <w:rPr>
          <w:i/>
          <w:iCs/>
        </w:rPr>
        <w:t>Wallace v. Kato</w:t>
      </w:r>
      <w:r w:rsidRPr="00D226C8">
        <w:t xml:space="preserve">, 127 S.Ct. 1091, 1098 (2007).  Under </w:t>
      </w:r>
      <w:r w:rsidRPr="00D226C8">
        <w:rPr>
          <w:i/>
          <w:iCs/>
        </w:rPr>
        <w:t>Wallace</w:t>
      </w:r>
      <w:r w:rsidRPr="00D226C8">
        <w:t xml:space="preserve">, prior to the defendant’s actual conviction </w:t>
      </w:r>
      <w:r w:rsidRPr="00D226C8">
        <w:rPr>
          <w:i/>
          <w:iCs/>
        </w:rPr>
        <w:t>Heck</w:t>
      </w:r>
      <w:r w:rsidRPr="00D226C8">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sidRPr="00D226C8">
        <w:rPr>
          <w:i/>
          <w:iCs/>
        </w:rPr>
        <w:t>Heck</w:t>
      </w:r>
      <w:r w:rsidRPr="00D226C8">
        <w:t xml:space="preserve"> will require dismissal; otherwise, the civil action will proceed, absent some other bar to suit.”  </w:t>
      </w:r>
      <w:r w:rsidRPr="00D226C8">
        <w:rPr>
          <w:i/>
          <w:iCs/>
        </w:rPr>
        <w:t>Wallace</w:t>
      </w:r>
      <w:r w:rsidRPr="00D226C8">
        <w:t>, 127 S. Ct. at 1098.</w:t>
      </w:r>
    </w:p>
  </w:footnote>
  <w:footnote w:id="263">
    <w:p w14:paraId="5161BF50" w14:textId="2F4F5EE0"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Spencer v. Kemna</w:t>
      </w:r>
      <w:r w:rsidRPr="00D226C8">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sidRPr="00D226C8">
        <w:rPr>
          <w:i/>
          <w:iCs/>
        </w:rPr>
        <w:t>id.</w:t>
      </w:r>
      <w:r w:rsidRPr="00D226C8">
        <w:t xml:space="preserve"> at 25 n.8 (Stevens, J.</w:t>
      </w:r>
      <w:r>
        <w:t>, dissenting) (“Given the Court’</w:t>
      </w:r>
      <w:r w:rsidRPr="00D226C8">
        <w:t>s holding that petitioner does not have a remedy under the habeas statute, it is perfectly clear, as Justice S</w:t>
      </w:r>
      <w:r>
        <w:t xml:space="preserve">outer </w:t>
      </w:r>
      <w:r w:rsidRPr="00D226C8">
        <w:t>explains, that he may bring an action under 42 U.S.C. § 1983.”).</w:t>
      </w:r>
    </w:p>
  </w:footnote>
  <w:footnote w:id="264">
    <w:p w14:paraId="2DF53FF9" w14:textId="77777777" w:rsidR="00C00A31" w:rsidRPr="00D226C8" w:rsidRDefault="00C00A31" w:rsidP="00F506A3">
      <w:pPr>
        <w:ind w:firstLine="720"/>
        <w:mirrorIndents/>
      </w:pPr>
      <w:r w:rsidRPr="00D226C8">
        <w:rPr>
          <w:rStyle w:val="FootnoteReference"/>
        </w:rPr>
        <w:footnoteRef/>
      </w:r>
      <w:r w:rsidRPr="00D226C8">
        <w:t xml:space="preserve">  The Court of Appeals explained:</w:t>
      </w:r>
    </w:p>
    <w:p w14:paraId="34A3FA1E" w14:textId="77777777" w:rsidR="00C00A31" w:rsidRPr="00D226C8" w:rsidRDefault="00C00A31" w:rsidP="00F506A3">
      <w:pPr>
        <w:ind w:firstLine="720"/>
        <w:mirrorIndents/>
      </w:pPr>
    </w:p>
    <w:p w14:paraId="11BF0F64" w14:textId="11378209" w:rsidR="00C00A31" w:rsidRPr="00D226C8" w:rsidRDefault="00C00A31" w:rsidP="00F506A3">
      <w:pPr>
        <w:ind w:left="720" w:right="720" w:firstLine="720"/>
        <w:mirrorIndents/>
      </w:pPr>
      <w:r w:rsidRPr="00D226C8">
        <w:t xml:space="preserve">We recognize that concurring and dissenting opinions in </w:t>
      </w:r>
      <w:r w:rsidRPr="00A55758">
        <w:rPr>
          <w:i/>
        </w:rPr>
        <w:t>Spencer v. Kemna</w:t>
      </w:r>
      <w:r w:rsidRPr="00D226C8">
        <w:t xml:space="preserve"> ... question the applicability of </w:t>
      </w:r>
      <w:r w:rsidRPr="00D226C8">
        <w:rPr>
          <w:i/>
          <w:iCs/>
        </w:rPr>
        <w:t>Heck</w:t>
      </w:r>
      <w:r w:rsidRPr="00D226C8">
        <w:t xml:space="preserve"> to an individual, such as Petit, who has no recourse under the habeas statute.... But these opinions do not affect our conclusion that </w:t>
      </w:r>
      <w:r w:rsidRPr="00D226C8">
        <w:rPr>
          <w:i/>
          <w:iCs/>
        </w:rPr>
        <w:t>Heck</w:t>
      </w:r>
      <w:r w:rsidRPr="00D226C8">
        <w:t xml:space="preserve"> applies to Petit's claims. We doubt that </w:t>
      </w:r>
      <w:r w:rsidRPr="00D226C8">
        <w:rPr>
          <w:i/>
          <w:iCs/>
        </w:rPr>
        <w:t>Heck</w:t>
      </w:r>
      <w:r w:rsidRPr="00D226C8">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sidRPr="00D226C8">
        <w:rPr>
          <w:i/>
          <w:iCs/>
        </w:rPr>
        <w:t>Figueroa v. Rivera</w:t>
      </w:r>
      <w:r w:rsidRPr="00D226C8">
        <w:t xml:space="preserve">, 147 F.3d 77, 81 n.3 (1st Cir. 1998) (citing </w:t>
      </w:r>
      <w:r w:rsidRPr="00D226C8">
        <w:rPr>
          <w:i/>
          <w:iCs/>
        </w:rPr>
        <w:t>Agostini v. Felton</w:t>
      </w:r>
      <w:r w:rsidRPr="00D226C8">
        <w:t xml:space="preserve">, 521 U.S. 203, 237 (1997)); </w:t>
      </w:r>
      <w:r w:rsidRPr="00D226C8">
        <w:rPr>
          <w:i/>
          <w:iCs/>
        </w:rPr>
        <w:t>see Randell v. Johnson</w:t>
      </w:r>
      <w:r w:rsidRPr="00D226C8">
        <w:t>, 227 F.3d 300, 301</w:t>
      </w:r>
      <w:r w:rsidRPr="00D226C8">
        <w:noBreakHyphen/>
        <w:t xml:space="preserve"> 02 (5th Cir. 2000).</w:t>
      </w:r>
    </w:p>
    <w:p w14:paraId="69BE3589" w14:textId="77777777" w:rsidR="00C00A31" w:rsidRPr="00D226C8" w:rsidRDefault="00C00A31" w:rsidP="00F506A3">
      <w:pPr>
        <w:ind w:firstLine="720"/>
        <w:mirrorIndents/>
      </w:pPr>
    </w:p>
    <w:p w14:paraId="4118AA2D" w14:textId="77777777" w:rsidR="00C00A31" w:rsidRPr="00D226C8" w:rsidRDefault="00C00A31" w:rsidP="00F506A3">
      <w:pPr>
        <w:spacing w:after="240"/>
        <w:mirrorIndents/>
      </w:pPr>
      <w:r w:rsidRPr="00D226C8">
        <w:rPr>
          <w:i/>
          <w:iCs/>
        </w:rPr>
        <w:t>Gilles v. Davis</w:t>
      </w:r>
      <w:r w:rsidRPr="00D226C8">
        <w:t>, 427 F.3d 197, 209-10 (3d Cir. 2005).</w:t>
      </w:r>
    </w:p>
  </w:footnote>
  <w:footnote w:id="265">
    <w:p w14:paraId="6A455F48" w14:textId="77777777" w:rsidR="00C00A31" w:rsidRPr="00D226C8" w:rsidRDefault="00C00A31" w:rsidP="00F506A3">
      <w:pPr>
        <w:spacing w:after="240"/>
        <w:ind w:firstLine="720"/>
        <w:mirrorIndents/>
      </w:pPr>
      <w:r w:rsidRPr="00D226C8">
        <w:rPr>
          <w:rStyle w:val="FootnoteReference"/>
        </w:rPr>
        <w:footnoteRef/>
      </w:r>
      <w:r w:rsidRPr="00D226C8">
        <w:t xml:space="preserve">  However, in a nonprecedential opinion, the Court of Appeals has read </w:t>
      </w:r>
      <w:r w:rsidRPr="00D226C8">
        <w:rPr>
          <w:i/>
          <w:iCs/>
        </w:rPr>
        <w:t>Hector</w:t>
      </w:r>
      <w:r w:rsidRPr="00D226C8">
        <w:t xml:space="preserve"> to assign the burden of proof on this issue to the plaintiff.  </w:t>
      </w:r>
      <w:r w:rsidRPr="00D226C8">
        <w:rPr>
          <w:i/>
          <w:iCs/>
        </w:rPr>
        <w:t>See Steele v. City of Erie</w:t>
      </w:r>
      <w:r w:rsidRPr="00D226C8">
        <w:t xml:space="preserve">, 113 Fed. Appx. 456, 459 (3d Cir. Oct. 20, 2004) (“In </w:t>
      </w:r>
      <w:r w:rsidRPr="00D226C8">
        <w:rPr>
          <w:i/>
          <w:iCs/>
        </w:rPr>
        <w:t>Hector</w:t>
      </w:r>
      <w:r w:rsidRPr="00D226C8">
        <w:t xml:space="preserve"> . . . , we held that a plaintiff claiming malicious prosecution must prove </w:t>
      </w:r>
      <w:r w:rsidRPr="00D226C8">
        <w:rPr>
          <w:i/>
          <w:iCs/>
        </w:rPr>
        <w:t>actual</w:t>
      </w:r>
      <w:r w:rsidRPr="00D226C8">
        <w:t xml:space="preserve"> innocence as an element of his </w:t>
      </w:r>
      <w:r w:rsidRPr="00D226C8">
        <w:rPr>
          <w:i/>
          <w:iCs/>
        </w:rPr>
        <w:t xml:space="preserve">prima facie </w:t>
      </w:r>
      <w:r w:rsidRPr="00D226C8">
        <w:t>case.”).</w:t>
      </w:r>
    </w:p>
  </w:footnote>
  <w:footnote w:id="266">
    <w:p w14:paraId="02652C52" w14:textId="77777777" w:rsidR="00C00A31" w:rsidRPr="00D226C8" w:rsidRDefault="00C00A31" w:rsidP="00F506A3">
      <w:pPr>
        <w:spacing w:after="240"/>
        <w:ind w:firstLine="720"/>
        <w:mirrorIndents/>
      </w:pPr>
      <w:r w:rsidRPr="00D226C8">
        <w:rPr>
          <w:rStyle w:val="FootnoteReference"/>
        </w:rPr>
        <w:footnoteRef/>
      </w:r>
      <w:r w:rsidRPr="00D226C8">
        <w:t xml:space="preserve">  The abuse of process alleged by the plaintiff in Jennings involved the use of the prosecution as leverage for an extortion scheme.  </w:t>
      </w:r>
      <w:r w:rsidRPr="00D226C8">
        <w:rPr>
          <w:i/>
          <w:iCs/>
        </w:rPr>
        <w:t>Jennings</w:t>
      </w:r>
      <w:r w:rsidRPr="00D226C8">
        <w:t>, 567 F.2d at 1220 (“The goal of that conspiracy was extortion, to be accomplished by bringing a prosecution against him without probable cause and for an improper purpose.”).</w:t>
      </w:r>
    </w:p>
  </w:footnote>
  <w:footnote w:id="267">
    <w:p w14:paraId="7E61ED1F" w14:textId="77777777" w:rsidR="00C00A31" w:rsidRPr="00D226C8" w:rsidRDefault="00C00A31" w:rsidP="00F506A3">
      <w:pPr>
        <w:spacing w:after="240"/>
        <w:ind w:firstLine="720"/>
        <w:mirrorIndents/>
      </w:pPr>
      <w:r w:rsidRPr="00D226C8">
        <w:rPr>
          <w:rStyle w:val="FootnoteReference"/>
        </w:rPr>
        <w:footnoteRef/>
      </w:r>
      <w:r w:rsidRPr="00D226C8">
        <w:t xml:space="preserve"> Use this phrase if the plaintiff claims harm from a third party.</w:t>
      </w:r>
    </w:p>
  </w:footnote>
  <w:footnote w:id="268">
    <w:p w14:paraId="0DD2CC55" w14:textId="77777777" w:rsidR="00C00A31" w:rsidRPr="00D226C8" w:rsidRDefault="00C00A31" w:rsidP="00F506A3">
      <w:pPr>
        <w:spacing w:after="240"/>
        <w:ind w:firstLine="720"/>
        <w:mirrorIndents/>
      </w:pPr>
      <w:r w:rsidRPr="00D226C8">
        <w:rPr>
          <w:rStyle w:val="FootnoteReference"/>
        </w:rPr>
        <w:footnoteRef/>
      </w:r>
      <w:r w:rsidRPr="00D226C8">
        <w:t xml:space="preserve"> Use this phrase if the plaintiff claims harm from a source other than an individual (e.g., from a medical problem).</w:t>
      </w:r>
    </w:p>
  </w:footnote>
  <w:footnote w:id="269">
    <w:p w14:paraId="6AF58C0D" w14:textId="77777777" w:rsidR="00C00A31" w:rsidRPr="00D226C8" w:rsidRDefault="00C00A31" w:rsidP="00F506A3">
      <w:pPr>
        <w:spacing w:after="240"/>
        <w:ind w:firstLine="720"/>
        <w:mirrorIndents/>
      </w:pPr>
      <w:r w:rsidRPr="00D226C8">
        <w:rPr>
          <w:rStyle w:val="FootnoteReference"/>
        </w:rPr>
        <w:footnoteRef/>
      </w:r>
      <w:r w:rsidRPr="00D226C8">
        <w:t xml:space="preserve"> Select the appropriate level of culpability.  See Comment for a discussion of this element.</w:t>
      </w:r>
    </w:p>
  </w:footnote>
  <w:footnote w:id="270">
    <w:p w14:paraId="690AD13F" w14:textId="32243D31" w:rsidR="00C00A31" w:rsidRPr="00D226C8" w:rsidRDefault="00C00A31" w:rsidP="00F506A3">
      <w:pPr>
        <w:spacing w:after="240"/>
        <w:ind w:firstLine="720"/>
        <w:mirrorIndents/>
      </w:pPr>
      <w:r w:rsidRPr="00D226C8">
        <w:rPr>
          <w:rStyle w:val="FootnoteReference"/>
        </w:rPr>
        <w:footnoteRef/>
      </w:r>
      <w:r w:rsidRPr="00D226C8">
        <w:t xml:space="preserve">  This option can be used if the court concludes that the requisite level of culpability is subjective deliberate indifference.  </w:t>
      </w:r>
      <w:r w:rsidRPr="0052168C">
        <w:rPr>
          <w:i/>
        </w:rPr>
        <w:t>See</w:t>
      </w:r>
      <w:r w:rsidRPr="00D226C8">
        <w:t xml:space="preserve"> Comment.</w:t>
      </w:r>
    </w:p>
  </w:footnote>
  <w:footnote w:id="271">
    <w:p w14:paraId="5F0A47E9" w14:textId="77777777" w:rsidR="00C00A31" w:rsidRPr="00D226C8" w:rsidRDefault="00C00A31"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72">
    <w:p w14:paraId="06B85154" w14:textId="7CC3870D" w:rsidR="00C00A31" w:rsidRDefault="00C00A31" w:rsidP="00F506A3">
      <w:pPr>
        <w:shd w:val="clear" w:color="auto" w:fill="FFFFFF" w:themeFill="background1"/>
        <w:spacing w:after="240"/>
        <w:ind w:firstLine="720"/>
        <w:mirrorIndents/>
      </w:pPr>
      <w:r w:rsidRPr="0052168C">
        <w:rPr>
          <w:rStyle w:val="FootnoteReference"/>
        </w:rPr>
        <w:footnoteRef/>
      </w:r>
      <w:r>
        <w:t xml:space="preserve"> </w:t>
      </w:r>
      <w:r w:rsidRPr="00D226C8">
        <w:t xml:space="preserve"> </w:t>
      </w:r>
      <w:r w:rsidRPr="00CD3984">
        <w:t xml:space="preserve">This option can be used if the court concludes that the requisite level of culpability is objective deliberate indifference. </w:t>
      </w:r>
      <w:r w:rsidRPr="00CD3984">
        <w:rPr>
          <w:i/>
        </w:rPr>
        <w:t>See</w:t>
      </w:r>
      <w:r w:rsidRPr="00CD3984">
        <w:t xml:space="preserve"> Comment.</w:t>
      </w:r>
    </w:p>
  </w:footnote>
  <w:footnote w:id="273">
    <w:p w14:paraId="2875904F" w14:textId="6BE81550" w:rsidR="00C00A31" w:rsidRPr="00D226C8" w:rsidRDefault="00C00A31" w:rsidP="00F506A3">
      <w:pPr>
        <w:spacing w:after="240"/>
        <w:ind w:firstLine="720"/>
        <w:mirrorIndents/>
      </w:pPr>
      <w:r w:rsidRPr="00D226C8">
        <w:rPr>
          <w:rStyle w:val="FootnoteReference"/>
        </w:rPr>
        <w:footnoteRef/>
      </w:r>
      <w:r w:rsidRPr="00D226C8">
        <w:t xml:space="preserve">  This option is designed for use in cases where the requisite level of culpability is </w:t>
      </w:r>
      <w:r w:rsidRPr="00D6488F">
        <w:rPr>
          <w:bCs/>
        </w:rPr>
        <w:t>conscious disregard of a great risk of serious harm</w:t>
      </w:r>
      <w:r w:rsidRPr="00D226C8">
        <w:t xml:space="preserve">.  </w:t>
      </w:r>
      <w:r w:rsidRPr="00D226C8">
        <w:rPr>
          <w:i/>
          <w:iCs/>
        </w:rPr>
        <w:t>See</w:t>
      </w:r>
      <w:r w:rsidRPr="00D226C8">
        <w:t xml:space="preserve"> Comment.</w:t>
      </w:r>
    </w:p>
  </w:footnote>
  <w:footnote w:id="274">
    <w:p w14:paraId="412DF84C" w14:textId="77777777" w:rsidR="00C00A31" w:rsidRPr="00D226C8" w:rsidRDefault="00C00A31" w:rsidP="00F506A3">
      <w:pPr>
        <w:spacing w:after="240"/>
        <w:ind w:firstLine="720"/>
        <w:mirrorIndents/>
      </w:pPr>
      <w:r w:rsidRPr="00D226C8">
        <w:rPr>
          <w:rStyle w:val="FootnoteReference"/>
        </w:rPr>
        <w:footnoteRef/>
      </w:r>
      <w:r w:rsidRPr="00D226C8">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75">
    <w:p w14:paraId="1B9B4E08" w14:textId="77777777" w:rsidR="00C00A31" w:rsidRPr="00D226C8" w:rsidRDefault="00C00A31" w:rsidP="00F506A3">
      <w:pPr>
        <w:spacing w:after="240"/>
        <w:ind w:firstLine="720"/>
        <w:mirrorIndents/>
      </w:pPr>
      <w:r w:rsidRPr="00D226C8">
        <w:rPr>
          <w:rStyle w:val="FootnoteReference"/>
        </w:rPr>
        <w:footnoteRef/>
      </w:r>
      <w:r w:rsidRPr="00D226C8">
        <w:t xml:space="preserve">  Citing </w:t>
      </w:r>
      <w:r w:rsidRPr="00D226C8">
        <w:rPr>
          <w:i/>
          <w:iCs/>
        </w:rPr>
        <w:t>County of Sacramento v. Lewis</w:t>
      </w:r>
      <w:r w:rsidRPr="00D226C8">
        <w:t xml:space="preserve">, 523 U.S. 833 (1998), the court of appeals held in </w:t>
      </w:r>
      <w:r w:rsidRPr="00D226C8">
        <w:rPr>
          <w:i/>
          <w:iCs/>
        </w:rPr>
        <w:t>Betts v. New Castle Youth Development Center</w:t>
      </w:r>
      <w:r w:rsidRPr="00D226C8">
        <w:t xml:space="preserve">, 621 F.3d 249 (3d Cir. 2010), that a plaintiff could not pursue a state-created danger claim based on the same facts as his Eighth Amendment claim, </w:t>
      </w:r>
      <w:r w:rsidRPr="00D226C8">
        <w:rPr>
          <w:i/>
          <w:iCs/>
        </w:rPr>
        <w:t xml:space="preserve">see id. </w:t>
      </w:r>
      <w:r w:rsidRPr="00D226C8">
        <w:t>at 260-61 (“Because these allegations fit squarely within the Eighth Amendment's prohibition on cruel and unusual punishment, we hold that the more</w:t>
      </w:r>
      <w:r w:rsidRPr="00D226C8">
        <w:noBreakHyphen/>
        <w:t>specific</w:t>
      </w:r>
      <w:r w:rsidRPr="00D226C8">
        <w:noBreakHyphen/>
        <w:t>provision rule forecloses Betts's substantive due process claims”).</w:t>
      </w:r>
    </w:p>
  </w:footnote>
  <w:footnote w:id="276">
    <w:p w14:paraId="300D5B41"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Marasco</w:t>
      </w:r>
      <w:r w:rsidRPr="00D226C8">
        <w:t xml:space="preserve">, 318 F.3d at 507 (noting that </w:t>
      </w:r>
      <w:r w:rsidRPr="00D226C8">
        <w:rPr>
          <w:i/>
          <w:iCs/>
        </w:rPr>
        <w:t>Miller v. City of Philadelphia</w:t>
      </w:r>
      <w:r w:rsidRPr="00D226C8">
        <w:t>, 174 F.3d 368, 374</w:t>
      </w:r>
      <w:r w:rsidRPr="00D226C8">
        <w:noBreakHyphen/>
        <w:t xml:space="preserve">75 (3d Cir.1999) “suggested that the ‘shocks the conscience’ standard [applies] to all substantive due process cases”); </w:t>
      </w:r>
      <w:r w:rsidRPr="00D226C8">
        <w:rPr>
          <w:i/>
          <w:iCs/>
        </w:rPr>
        <w:t>Schieber v. City of Philadelphia</w:t>
      </w:r>
      <w:r w:rsidRPr="00D226C8">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sidRPr="00D226C8">
        <w:rPr>
          <w:i/>
          <w:iCs/>
        </w:rPr>
        <w:t>id.</w:t>
      </w:r>
      <w:r w:rsidRPr="00D226C8">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sidRPr="00D226C8">
        <w:rPr>
          <w:i/>
          <w:iCs/>
        </w:rPr>
        <w:t>see also id.</w:t>
      </w:r>
      <w:r w:rsidRPr="00D226C8">
        <w:t xml:space="preserve"> at 423 (Nygaard, J., concurring) (stating that he did “not disagree with [Judge Stapleton’s] analysis as far as it goes” but that the crux of the case was the plaintiff’s failure to show an affirmative act on the part of the police).</w:t>
      </w:r>
    </w:p>
  </w:footnote>
  <w:footnote w:id="277">
    <w:p w14:paraId="6CC470D3" w14:textId="094CA747" w:rsidR="00C00A31" w:rsidRPr="00D226C8" w:rsidRDefault="00C00A31" w:rsidP="00F506A3">
      <w:pPr>
        <w:shd w:val="clear" w:color="auto" w:fill="FFFFFF" w:themeFill="background1"/>
        <w:spacing w:after="240"/>
        <w:ind w:firstLine="720"/>
        <w:mirrorIndents/>
      </w:pPr>
      <w:r w:rsidRPr="00A55758">
        <w:rPr>
          <w:rStyle w:val="FootnoteReference"/>
        </w:rPr>
        <w:footnoteRef/>
      </w:r>
      <w:r w:rsidRPr="00A55758">
        <w:rPr>
          <w:vertAlign w:val="superscript"/>
        </w:rPr>
        <w:t xml:space="preserve"> </w:t>
      </w:r>
      <w:r w:rsidRPr="00D226C8">
        <w:t xml:space="preserve"> In </w:t>
      </w:r>
      <w:r w:rsidRPr="00D226C8">
        <w:rPr>
          <w:i/>
          <w:iCs/>
        </w:rPr>
        <w:t>Phillips</w:t>
      </w:r>
      <w:r w:rsidRPr="00D226C8">
        <w:t>, Michalski was suspended and then fired from his job as a 911 dispatcher.  After his suspension, two of his former dispatcher colleagues gave him information that would help him to locate Phillips (Michalski’s ex</w:t>
      </w:r>
      <w:r w:rsidRPr="00D226C8">
        <w:noBreakHyphen/>
        <w:t>girlfriend’s new boyfriend).  After being fired, Michalski told his former colleagues that he had nothing to live for and that his ex</w:t>
      </w:r>
      <w:r w:rsidRPr="00D226C8">
        <w:noBreakHyphen/>
        <w:t xml:space="preserve">girlfriend and Phillips would </w:t>
      </w:r>
      <w:r>
        <w:t>“</w:t>
      </w:r>
      <w:r w:rsidRPr="00D226C8">
        <w:t>pay for putting him in his present situation.</w:t>
      </w:r>
      <w:r>
        <w:t>”</w:t>
      </w:r>
      <w:r w:rsidRPr="00D226C8">
        <w:t xml:space="preserve">  The dispatchers failed to contact Phillips, the ex</w:t>
      </w:r>
      <w:r w:rsidRPr="00D226C8">
        <w:noBreakHyphen/>
        <w:t>girlfriend, or the police departments of the areas in which those two people were located.  Michalski then shot and killed his ex</w:t>
      </w:r>
      <w:r w:rsidRPr="00D226C8">
        <w:noBreakHyphen/>
        <w:t xml:space="preserve">girlfriend, her sister, and Phillips.  </w:t>
      </w:r>
      <w:r w:rsidRPr="00D226C8">
        <w:rPr>
          <w:i/>
          <w:iCs/>
        </w:rPr>
        <w:t>Phillips</w:t>
      </w:r>
      <w:r w:rsidRPr="00D226C8">
        <w:t>, 515 F.3d at 228</w:t>
      </w:r>
      <w:r w:rsidRPr="00D226C8">
        <w:noBreakHyphen/>
        <w:t xml:space="preserve">29.  The court of appeals held that the deliberate indifference standard applied to the dispatchers because they “had no information which would have placed them in a ‘hyperpressurized environment.’” </w:t>
      </w:r>
      <w:r w:rsidRPr="00D226C8">
        <w:rPr>
          <w:i/>
          <w:iCs/>
        </w:rPr>
        <w:t>Id</w:t>
      </w:r>
      <w:r w:rsidRPr="00D226C8">
        <w:t>. at 241.</w:t>
      </w:r>
    </w:p>
  </w:footnote>
  <w:footnote w:id="278">
    <w:p w14:paraId="47293621" w14:textId="5EF77749" w:rsidR="00C00A31" w:rsidRDefault="00C00A31" w:rsidP="00F506A3">
      <w:pPr>
        <w:shd w:val="clear" w:color="auto" w:fill="FFFFFF" w:themeFill="background1"/>
        <w:ind w:firstLine="720"/>
        <w:mirrorIndents/>
        <w:jc w:val="both"/>
      </w:pPr>
      <w:r w:rsidRPr="00A55758">
        <w:rPr>
          <w:rStyle w:val="FootnoteReference"/>
        </w:rPr>
        <w:footnoteRef/>
      </w:r>
      <w:r w:rsidRPr="00D226C8">
        <w:t xml:space="preserve">  Despite stating the standard as one involving conscious disregard, the </w:t>
      </w:r>
      <w:r w:rsidRPr="00D226C8">
        <w:rPr>
          <w:i/>
          <w:iCs/>
        </w:rPr>
        <w:t>Sanford</w:t>
      </w:r>
      <w:r w:rsidRPr="00D226C8">
        <w:t xml:space="preserve"> court also noted in the next sentence – and apparently with respect to the same point on the shocks-the-conscience spectrum – that “it is possible that actual knowledge of the risk may not be necessary where the risk is ‘obvious.’” </w:t>
      </w:r>
      <w:r w:rsidRPr="00D226C8">
        <w:rPr>
          <w:i/>
          <w:iCs/>
        </w:rPr>
        <w:t>Sanford</w:t>
      </w:r>
      <w:r w:rsidRPr="00D226C8">
        <w:t xml:space="preserve">, 456 F.3d at 310.  Earlier in its opinion (as mentioned in the footnote following this one), the </w:t>
      </w:r>
      <w:r w:rsidRPr="00D226C8">
        <w:rPr>
          <w:i/>
          <w:iCs/>
        </w:rPr>
        <w:t>Sanford</w:t>
      </w:r>
      <w:r w:rsidRPr="00D226C8">
        <w:t xml:space="preserve"> court discussed a similar point in connection with the deliberate indifference standard, </w:t>
      </w:r>
      <w:r w:rsidRPr="00D226C8">
        <w:rPr>
          <w:i/>
          <w:iCs/>
        </w:rPr>
        <w:t>see id.</w:t>
      </w:r>
      <w:r w:rsidRPr="00D226C8">
        <w:t xml:space="preserve"> at 309 &amp; n.13.</w:t>
      </w:r>
    </w:p>
    <w:p w14:paraId="130E63FC" w14:textId="77777777" w:rsidR="00C00A31" w:rsidRDefault="00C00A31" w:rsidP="00F506A3">
      <w:pPr>
        <w:shd w:val="clear" w:color="auto" w:fill="FFFFFF" w:themeFill="background1"/>
        <w:ind w:firstLine="720"/>
        <w:mirrorIndents/>
        <w:jc w:val="both"/>
      </w:pPr>
    </w:p>
    <w:p w14:paraId="2A1E85C7" w14:textId="617B5C96" w:rsidR="00C00A31" w:rsidRPr="00C00A31" w:rsidRDefault="00C00A31" w:rsidP="00F506A3">
      <w:pPr>
        <w:shd w:val="clear" w:color="auto" w:fill="FFFFFF" w:themeFill="background1"/>
        <w:ind w:firstLine="720"/>
        <w:mirrorIndents/>
        <w:jc w:val="both"/>
      </w:pPr>
      <w:r w:rsidRPr="00C00A31">
        <w:rPr>
          <w:i/>
        </w:rPr>
        <w:t>See also</w:t>
      </w:r>
      <w:r w:rsidRPr="00C00A31">
        <w:t xml:space="preserve"> </w:t>
      </w:r>
      <w:r w:rsidRPr="00C00A31">
        <w:rPr>
          <w:i/>
          <w:iCs/>
        </w:rPr>
        <w:t>Rivas v. City of Passaic</w:t>
      </w:r>
      <w:r w:rsidRPr="00C00A31">
        <w:t>, 365 F.3d 181, 184, 196 (3d Cir. 2004) (holding that emergency medical technicians “who responded to an emergency in an apartment where a middle</w:t>
      </w:r>
      <w:r w:rsidRPr="00C00A31">
        <w:noBreakHyphen/>
        <w:t>aged man was experiencing a seizure” would be held to have violated substantive due process only if they “consciously disregard[ed] a substantial risk that [the man] would be seriously harmed by their actions”)</w:t>
      </w:r>
      <w:r w:rsidRPr="00C00A31">
        <w:rPr>
          <w:i/>
          <w:iCs/>
        </w:rPr>
        <w:t xml:space="preserve"> id.</w:t>
      </w:r>
      <w:r w:rsidRPr="00C00A31">
        <w:t xml:space="preserve"> at 196 (stating that this test would be met if the EMTs had falsely told police officers that the man was violent and had failed to tell the police officers that the man was suffering a seizure); </w:t>
      </w:r>
      <w:r w:rsidRPr="00C00A31">
        <w:rPr>
          <w:i/>
          <w:iCs/>
        </w:rPr>
        <w:t>cf.</w:t>
      </w:r>
      <w:r w:rsidRPr="00C00A31">
        <w:t xml:space="preserve"> </w:t>
      </w:r>
      <w:r w:rsidRPr="00C00A31">
        <w:rPr>
          <w:i/>
          <w:iCs/>
        </w:rPr>
        <w:t>Brown v. Commonwealth of Pennsylvania</w:t>
      </w:r>
      <w:r w:rsidRPr="00C00A31">
        <w:t xml:space="preserve">, 318 F.3d 473, 481 (3d Cir. 2003) (holding that “EMTs who attempted to arrive at the scene of the incident as rapidly as they could” did not behave in a way that shocks the conscience). </w:t>
      </w:r>
    </w:p>
    <w:p w14:paraId="6FFEE4DA" w14:textId="77777777" w:rsidR="00C00A31" w:rsidRPr="00C00A31" w:rsidRDefault="00C00A31" w:rsidP="00F506A3">
      <w:pPr>
        <w:ind w:firstLine="720"/>
        <w:mirrorIndents/>
        <w:jc w:val="both"/>
      </w:pPr>
    </w:p>
  </w:footnote>
  <w:footnote w:id="279">
    <w:p w14:paraId="6D548CB1"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Sanford</w:t>
      </w:r>
      <w:r w:rsidRPr="00D226C8">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rsidRPr="00D226C8">
        <w:noBreakHyphen/>
        <w:t>created danger cases”).</w:t>
      </w:r>
    </w:p>
  </w:footnote>
  <w:footnote w:id="280">
    <w:p w14:paraId="5FA64FFF" w14:textId="77777777" w:rsidR="00C00A31" w:rsidRPr="00D226C8" w:rsidRDefault="00C00A31" w:rsidP="00F506A3">
      <w:pPr>
        <w:spacing w:after="240"/>
        <w:ind w:firstLine="720"/>
        <w:mirrorIndents/>
      </w:pPr>
      <w:r w:rsidRPr="00D226C8">
        <w:rPr>
          <w:rStyle w:val="FootnoteReference"/>
        </w:rPr>
        <w:footnoteRef/>
      </w:r>
      <w:r w:rsidRPr="00D226C8">
        <w:t xml:space="preserve">  The plaintiffs in </w:t>
      </w:r>
      <w:r w:rsidRPr="00D226C8">
        <w:rPr>
          <w:i/>
          <w:iCs/>
        </w:rPr>
        <w:t>Kaucher</w:t>
      </w:r>
      <w:r w:rsidRPr="00D226C8">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sidRPr="00D226C8">
        <w:rPr>
          <w:i/>
          <w:iCs/>
        </w:rPr>
        <w:t xml:space="preserve">See id. </w:t>
      </w:r>
      <w:r w:rsidRPr="00D226C8">
        <w:t xml:space="preserve">at 431.  The </w:t>
      </w:r>
      <w:r w:rsidRPr="00D226C8">
        <w:rPr>
          <w:i/>
          <w:iCs/>
        </w:rPr>
        <w:t>Kaucher</w:t>
      </w:r>
      <w:r w:rsidRPr="00D226C8">
        <w:t xml:space="preserve"> court, relying on </w:t>
      </w:r>
      <w:r w:rsidRPr="00D226C8">
        <w:rPr>
          <w:i/>
          <w:iCs/>
        </w:rPr>
        <w:t>Collins v. City of Harker Heights, Tex.</w:t>
      </w:r>
      <w:r w:rsidRPr="00D226C8">
        <w:t xml:space="preserve">, 503 U.S. 115 (1992), for the proposition “that the Constitution does not guarantee public employees a safe working environment,” </w:t>
      </w:r>
      <w:r w:rsidRPr="00D226C8">
        <w:rPr>
          <w:i/>
          <w:iCs/>
        </w:rPr>
        <w:t>Kaucher</w:t>
      </w:r>
      <w:r w:rsidRPr="00D226C8">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sidRPr="00D226C8">
        <w:rPr>
          <w:i/>
          <w:iCs/>
        </w:rPr>
        <w:t>Id.</w:t>
      </w:r>
      <w:r w:rsidRPr="00D226C8">
        <w:t xml:space="preserve"> at 429 n.6.  More generally, the Court of Appeals noted “well recognized differences between the duties owed to prisoners and the duties owed to employees and others whose liberty is not restricted.”  </w:t>
      </w:r>
      <w:r w:rsidRPr="00D226C8">
        <w:rPr>
          <w:i/>
          <w:iCs/>
        </w:rPr>
        <w:t>Id.</w:t>
      </w:r>
      <w:r w:rsidRPr="00D226C8">
        <w:t xml:space="preserve"> at 430.</w:t>
      </w:r>
    </w:p>
  </w:footnote>
  <w:footnote w:id="281">
    <w:p w14:paraId="0A57C07B"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2">
    <w:p w14:paraId="637FF62A"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Marasco</w:t>
      </w:r>
      <w:r w:rsidRPr="00D226C8">
        <w:t xml:space="preserve">, 318 F.3d at 507 (“In </w:t>
      </w:r>
      <w:r w:rsidRPr="00D226C8">
        <w:rPr>
          <w:i/>
          <w:iCs/>
        </w:rPr>
        <w:t>Morse</w:t>
      </w:r>
      <w:r w:rsidRPr="00D226C8">
        <w:t xml:space="preserve"> we held that the third requirement – a relationship between the state and the plaintiff – ultimately depends on whether the plaintiff was a foreseeable victim, either individually or as part of a discrete class of foreseeable victims.”); </w:t>
      </w:r>
      <w:r w:rsidRPr="00D226C8">
        <w:rPr>
          <w:i/>
          <w:iCs/>
        </w:rPr>
        <w:t>Bright</w:t>
      </w:r>
      <w:r w:rsidRPr="00D226C8">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3">
    <w:p w14:paraId="3F138E09"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4">
    <w:p w14:paraId="6C3CD4D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Kneipp</w:t>
      </w:r>
      <w:r w:rsidRPr="00D226C8">
        <w:t>, 95 F.3d at 1210 (concluding that a reasonable jury could find the fourth element satisfied where “[t]he affirmative acts of the police officers ... created a dangerous situation”).</w:t>
      </w:r>
    </w:p>
  </w:footnote>
  <w:footnote w:id="285">
    <w:p w14:paraId="74BF5489"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also</w:t>
      </w:r>
      <w:r w:rsidRPr="00D226C8">
        <w:t> </w:t>
      </w:r>
      <w:r w:rsidRPr="00D226C8">
        <w:rPr>
          <w:i/>
          <w:iCs/>
        </w:rPr>
        <w:t>Burella v. City of Philadelphia</w:t>
      </w:r>
      <w:r w:rsidRPr="00D226C8">
        <w:t>, 501 F.3d 134, 146 (3d Cir. 2007) (“Jill Burella cannot succeed on her state</w:t>
      </w:r>
      <w:r w:rsidRPr="00D226C8">
        <w:noBreakHyphen/>
        <w:t xml:space="preserve">created danger claim because she fails to allege any facts that would show that the officers </w:t>
      </w:r>
      <w:r w:rsidRPr="00D226C8">
        <w:rPr>
          <w:i/>
          <w:iCs/>
        </w:rPr>
        <w:t xml:space="preserve">affirmatively </w:t>
      </w:r>
      <w:r w:rsidRPr="00D226C8">
        <w:t xml:space="preserve">exercised their authority in a way that rendered her more vulnerable to her husband's abuse....  As in </w:t>
      </w:r>
      <w:r w:rsidRPr="00D226C8">
        <w:rPr>
          <w:i/>
          <w:iCs/>
        </w:rPr>
        <w:t>Bright</w:t>
      </w:r>
      <w:r w:rsidRPr="00D226C8">
        <w:t xml:space="preserve">, Jill Burella does not allege any facts that would establish that the officers did anything other than fail to act.”); </w:t>
      </w:r>
      <w:r w:rsidRPr="00D226C8">
        <w:rPr>
          <w:i/>
          <w:iCs/>
        </w:rPr>
        <w:t>Jiminez v. All American Rathskeller, Inc.</w:t>
      </w:r>
      <w:r w:rsidRPr="00D226C8">
        <w:t xml:space="preserve">, 503 F.3d 247, 255-56 (3d Cir. 2007) (following </w:t>
      </w:r>
      <w:r w:rsidRPr="00D226C8">
        <w:rPr>
          <w:i/>
          <w:iCs/>
        </w:rPr>
        <w:t>Bright</w:t>
      </w:r>
      <w:r w:rsidRPr="00D226C8">
        <w:t>);</w:t>
      </w:r>
      <w:r w:rsidRPr="00D226C8">
        <w:rPr>
          <w:i/>
          <w:iCs/>
        </w:rPr>
        <w:t xml:space="preserve"> Phillips v. County of Allegheny</w:t>
      </w:r>
      <w:r w:rsidRPr="00D226C8">
        <w:t>, 515 F.3d 224, 236 (3d Cir. 2008) (same).</w:t>
      </w:r>
    </w:p>
  </w:footnote>
  <w:footnote w:id="286">
    <w:p w14:paraId="6B1B10C4" w14:textId="77777777" w:rsidR="00C00A31" w:rsidRPr="00D226C8" w:rsidRDefault="00C00A31" w:rsidP="00F506A3">
      <w:pPr>
        <w:spacing w:after="240"/>
        <w:ind w:firstLine="720"/>
        <w:mirrorIndents/>
      </w:pPr>
      <w:r w:rsidRPr="00D226C8">
        <w:rPr>
          <w:rStyle w:val="FootnoteReference"/>
        </w:rPr>
        <w:footnoteRef/>
      </w:r>
      <w:r w:rsidRPr="00D226C8">
        <w:t xml:space="preserve">  The dissent in </w:t>
      </w:r>
      <w:r w:rsidRPr="00D226C8">
        <w:rPr>
          <w:i/>
          <w:iCs/>
        </w:rPr>
        <w:t>Bright</w:t>
      </w:r>
      <w:r w:rsidRPr="00D226C8">
        <w:t xml:space="preserve">, by contrast, argued that the fourth element can be satisfied by combining an action with subsequent omissions.  </w:t>
      </w:r>
      <w:r w:rsidRPr="00D226C8">
        <w:rPr>
          <w:i/>
          <w:iCs/>
        </w:rPr>
        <w:t>See Bright</w:t>
      </w:r>
      <w:r w:rsidRPr="00D226C8">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7">
    <w:p w14:paraId="085F18EE"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See Phillips</w:t>
      </w:r>
      <w:r w:rsidRPr="00D226C8">
        <w:t xml:space="preserve">, 515 F.3d at 236 (following </w:t>
      </w:r>
      <w:r w:rsidRPr="00D226C8">
        <w:rPr>
          <w:i/>
          <w:iCs/>
        </w:rPr>
        <w:t>Kaucher</w:t>
      </w:r>
      <w:r w:rsidRPr="00D226C8">
        <w:t xml:space="preserve">).  The requirement of a causal relationship between the affirmative act and the plaintiff’s harm appears to have been the dispositive problem for a state-created danger claim dismissed in </w:t>
      </w:r>
      <w:r w:rsidRPr="00D226C8">
        <w:rPr>
          <w:i/>
          <w:iCs/>
        </w:rPr>
        <w:t>Bennett v. City of Philadelphia</w:t>
      </w:r>
      <w:r w:rsidRPr="00D226C8">
        <w:t xml:space="preserve">, 499 F.3d 281 (3d Cir. 2007).  In </w:t>
      </w:r>
      <w:r w:rsidRPr="00D226C8">
        <w:rPr>
          <w:i/>
          <w:iCs/>
        </w:rPr>
        <w:t>Bennett</w:t>
      </w:r>
      <w:r w:rsidRPr="00D226C8">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sidRPr="00D226C8">
        <w:rPr>
          <w:i/>
          <w:iCs/>
        </w:rPr>
        <w:t>Bennett</w:t>
      </w:r>
      <w:r w:rsidRPr="00D226C8">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sidRPr="00D226C8">
        <w:rPr>
          <w:i/>
          <w:iCs/>
        </w:rPr>
        <w:t>Id.</w:t>
      </w:r>
    </w:p>
  </w:footnote>
  <w:footnote w:id="288">
    <w:p w14:paraId="434C2153" w14:textId="77777777" w:rsidR="00C00A31" w:rsidRPr="00D226C8" w:rsidRDefault="00C00A31" w:rsidP="00F506A3">
      <w:pPr>
        <w:spacing w:after="240"/>
        <w:ind w:firstLine="720"/>
        <w:mirrorIndents/>
      </w:pPr>
      <w:r w:rsidRPr="00D226C8">
        <w:rPr>
          <w:rStyle w:val="FootnoteReference"/>
        </w:rPr>
        <w:footnoteRef/>
      </w:r>
      <w:r w:rsidRPr="00D226C8">
        <w:t xml:space="preserve">  Having set forth the first sub-element (requiring exercise of government authority), the </w:t>
      </w:r>
      <w:r w:rsidRPr="00D226C8">
        <w:rPr>
          <w:i/>
          <w:iCs/>
        </w:rPr>
        <w:t>Ye</w:t>
      </w:r>
      <w:r w:rsidRPr="00D226C8">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sidRPr="00D226C8">
        <w:rPr>
          <w:i/>
          <w:iCs/>
        </w:rPr>
        <w:t>Id.</w:t>
      </w:r>
      <w:r w:rsidRPr="00D226C8">
        <w:t xml:space="preserve"> at 640.</w:t>
      </w:r>
    </w:p>
  </w:footnote>
  <w:footnote w:id="289">
    <w:p w14:paraId="5AA75633" w14:textId="1EBD33A4" w:rsidR="00C00A31" w:rsidRPr="00D226C8" w:rsidRDefault="00C00A31" w:rsidP="00F506A3">
      <w:pPr>
        <w:ind w:firstLine="720"/>
        <w:mirrorIndents/>
      </w:pPr>
      <w:r w:rsidRPr="00D226C8">
        <w:rPr>
          <w:rStyle w:val="FootnoteReference"/>
        </w:rPr>
        <w:footnoteRef/>
      </w:r>
      <w:r w:rsidRPr="00D226C8">
        <w:t xml:space="preserve">  Such claims will be governed by substantive due process rather than Fourth Amendment standards, because there is no “seizure” for Fourth Amendment purposes either during a high-speed chase or even when the police accidentally crash into a suspect.  </w:t>
      </w:r>
      <w:r w:rsidRPr="00D226C8">
        <w:rPr>
          <w:i/>
          <w:iCs/>
        </w:rPr>
        <w:t>See Lewis</w:t>
      </w:r>
      <w:r w:rsidRPr="00D226C8">
        <w:t xml:space="preserve">, 523 U.S. at 843-44; compare infra note 287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sidRPr="00D226C8">
        <w:rPr>
          <w:i/>
          <w:iCs/>
        </w:rPr>
        <w:t>Brower v. County of Inyo</w:t>
      </w:r>
      <w:r w:rsidRPr="00D226C8">
        <w:t xml:space="preserve">, 489 U.S. 593, 599 (1989); </w:t>
      </w:r>
      <w:r w:rsidRPr="00D226C8">
        <w:rPr>
          <w:i/>
          <w:iCs/>
        </w:rPr>
        <w:t>see also</w:t>
      </w:r>
      <w:r w:rsidRPr="00D226C8">
        <w:t xml:space="preserve"> </w:t>
      </w:r>
      <w:r w:rsidRPr="00D226C8">
        <w:rPr>
          <w:i/>
          <w:iCs/>
        </w:rPr>
        <w:t>Scott v. Harris</w:t>
      </w:r>
      <w:r w:rsidRPr="00D226C8">
        <w:t>, 127 S. Ct. 1769, 1776 (2007) (noting that law enforcement officer defendant did not dispute “that his decision to terminate the car chase by ramming his bumper into respondent's vehicle constituted a [Fourth Amendment] ‘seizure’”).</w:t>
      </w:r>
    </w:p>
    <w:p w14:paraId="60A2D5B1" w14:textId="77777777" w:rsidR="00C00A31" w:rsidRPr="00D226C8" w:rsidRDefault="00C00A31" w:rsidP="00F506A3">
      <w:pPr>
        <w:ind w:firstLine="720"/>
        <w:mirrorIndents/>
      </w:pPr>
    </w:p>
    <w:p w14:paraId="53C5A7B9" w14:textId="54E7E9D5" w:rsidR="00C00A31" w:rsidRPr="00270CF7" w:rsidRDefault="00C00A31" w:rsidP="00F506A3">
      <w:pPr>
        <w:ind w:firstLine="720"/>
        <w:mirrorIndents/>
      </w:pPr>
      <w:r w:rsidRPr="00D226C8">
        <w:t xml:space="preserve">Prior to the Supreme Court’s decision in </w:t>
      </w:r>
      <w:r w:rsidRPr="00D226C8">
        <w:rPr>
          <w:i/>
          <w:iCs/>
        </w:rPr>
        <w:t>Lewis</w:t>
      </w:r>
      <w:r w:rsidRPr="00D226C8">
        <w:t xml:space="preserve">, the Court of Appeals had already applied the “shocks the conscience” standard to police pursuit claims.  </w:t>
      </w:r>
      <w:r w:rsidRPr="00D226C8">
        <w:rPr>
          <w:i/>
          <w:iCs/>
        </w:rPr>
        <w:t>See</w:t>
      </w:r>
      <w:r w:rsidRPr="00D226C8">
        <w:t xml:space="preserve"> </w:t>
      </w:r>
      <w:r w:rsidRPr="00D226C8">
        <w:rPr>
          <w:i/>
          <w:iCs/>
        </w:rPr>
        <w:t>Fagan v. City of Vineland</w:t>
      </w:r>
      <w:r w:rsidRPr="00D226C8">
        <w:t xml:space="preserve">, 22 F.3d 1296, 1308-09 (3d Cir. 1994) (en banc).  Because </w:t>
      </w:r>
      <w:r w:rsidRPr="00D226C8">
        <w:rPr>
          <w:i/>
          <w:iCs/>
        </w:rPr>
        <w:t>Lewis</w:t>
      </w:r>
      <w:r w:rsidRPr="00D226C8">
        <w:t xml:space="preserve"> provides a more specific articulation of the “shocks the conscience” standard as applied to police pursuit cases, the model instruction follows </w:t>
      </w:r>
      <w:r w:rsidRPr="00D226C8">
        <w:rPr>
          <w:i/>
          <w:iCs/>
        </w:rPr>
        <w:t>Lewis</w:t>
      </w:r>
      <w:r w:rsidRPr="00D226C8">
        <w:t>.</w:t>
      </w:r>
      <w:r w:rsidRPr="0013305A">
        <w:t xml:space="preserve"> </w:t>
      </w:r>
      <w:r w:rsidRPr="00270CF7">
        <w:t xml:space="preserve">However, </w:t>
      </w:r>
      <w:r w:rsidRPr="00270CF7">
        <w:rPr>
          <w:i/>
        </w:rPr>
        <w:t>Lewis</w:t>
      </w:r>
      <w:r w:rsidRPr="00270CF7">
        <w:t xml:space="preserve"> was distinguished in </w:t>
      </w:r>
      <w:r w:rsidRPr="00270CF7">
        <w:rPr>
          <w:i/>
        </w:rPr>
        <w:t>Sauers v. Borough of Nesquehoning</w:t>
      </w:r>
      <w:r w:rsidRPr="00270CF7">
        <w:t xml:space="preserve">, </w:t>
      </w:r>
      <w:r w:rsidR="00DF08EE" w:rsidRPr="00270CF7">
        <w:t xml:space="preserve">905 F.3d 711 </w:t>
      </w:r>
      <w:r w:rsidRPr="00270CF7">
        <w:t xml:space="preserve">(3d Cir. 2018) (stating that the intent-to-harm standard set in </w:t>
      </w:r>
      <w:r w:rsidRPr="00270CF7">
        <w:rPr>
          <w:i/>
        </w:rPr>
        <w:t>Lewis</w:t>
      </w:r>
      <w:r w:rsidRPr="00270CF7">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In some circumstances, then, Instruction 4.14 rather than 4.15 may be appropriate for a high speed pursuit. </w:t>
      </w:r>
    </w:p>
    <w:p w14:paraId="085E6850" w14:textId="77777777" w:rsidR="00C00A31" w:rsidRPr="00D226C8" w:rsidRDefault="00C00A31" w:rsidP="00F506A3">
      <w:pPr>
        <w:ind w:firstLine="720"/>
        <w:mirrorIndents/>
      </w:pPr>
    </w:p>
  </w:footnote>
  <w:footnote w:id="290">
    <w:p w14:paraId="4A164429" w14:textId="28D48C79" w:rsidR="00C00A31" w:rsidRPr="00D226C8" w:rsidRDefault="00C00A31" w:rsidP="00F506A3">
      <w:pPr>
        <w:ind w:firstLine="720"/>
        <w:mirrorIndents/>
      </w:pPr>
      <w:r w:rsidRPr="00D226C8">
        <w:rPr>
          <w:rStyle w:val="FootnoteReference"/>
        </w:rPr>
        <w:footnoteRef/>
      </w:r>
      <w:r w:rsidRPr="00D226C8">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sidRPr="00D226C8">
        <w:rPr>
          <w:i/>
          <w:iCs/>
        </w:rPr>
        <w:t>through means intentionally applied</w:t>
      </w:r>
      <w:r w:rsidRPr="00D226C8">
        <w:t xml:space="preserve">,” </w:t>
      </w:r>
      <w:r w:rsidRPr="00D226C8">
        <w:rPr>
          <w:i/>
          <w:iCs/>
        </w:rPr>
        <w:t>Brower</w:t>
      </w:r>
      <w:r w:rsidRPr="00D226C8">
        <w:t>, 489 U.S. at 597, the Court gave the following example:</w:t>
      </w:r>
    </w:p>
    <w:p w14:paraId="7D1DB567" w14:textId="77777777" w:rsidR="00C00A31" w:rsidRPr="00D226C8" w:rsidRDefault="00C00A31" w:rsidP="00F506A3">
      <w:pPr>
        <w:ind w:firstLine="720"/>
        <w:mirrorIndents/>
      </w:pPr>
    </w:p>
    <w:p w14:paraId="5341B667" w14:textId="77777777" w:rsidR="00C00A31" w:rsidRPr="00D226C8" w:rsidRDefault="00C00A31" w:rsidP="00F506A3">
      <w:pPr>
        <w:ind w:left="720" w:right="720" w:firstLine="720"/>
        <w:mirrorIndents/>
      </w:pPr>
      <w:r w:rsidRPr="00D226C8">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C00A31" w:rsidRPr="00D226C8" w:rsidRDefault="00C00A31" w:rsidP="00F506A3">
      <w:pPr>
        <w:ind w:firstLine="720"/>
        <w:mirrorIndents/>
      </w:pPr>
    </w:p>
    <w:p w14:paraId="571CF320" w14:textId="77777777" w:rsidR="00C00A31" w:rsidRPr="00D226C8" w:rsidRDefault="00C00A31" w:rsidP="00F506A3">
      <w:pPr>
        <w:spacing w:after="240"/>
        <w:mirrorIndents/>
      </w:pPr>
      <w:r w:rsidRPr="00D226C8">
        <w:rPr>
          <w:i/>
          <w:iCs/>
        </w:rPr>
        <w:t>Id</w:t>
      </w:r>
      <w:r w:rsidRPr="00D226C8">
        <w:t xml:space="preserve">.; </w:t>
      </w:r>
      <w:r w:rsidRPr="00D226C8">
        <w:rPr>
          <w:i/>
          <w:iCs/>
        </w:rPr>
        <w:t>see also</w:t>
      </w:r>
      <w:r w:rsidRPr="00D226C8">
        <w:t xml:space="preserve"> </w:t>
      </w:r>
      <w:r w:rsidRPr="00D226C8">
        <w:rPr>
          <w:i/>
          <w:iCs/>
        </w:rPr>
        <w:t>Scott v. Harris</w:t>
      </w:r>
      <w:r w:rsidRPr="00D226C8">
        <w:t>, 127 S. Ct. 1769, 1777-79 (2007) (using Fourth Amendment excessive force analysis to assess claim arising from county deputy’s decision to ram fleeing suspect’s car with his bumper in order to end the chase).</w:t>
      </w:r>
    </w:p>
  </w:footnote>
  <w:footnote w:id="291">
    <w:p w14:paraId="0CA7F336" w14:textId="77777777" w:rsidR="00C00A31" w:rsidRPr="00D226C8" w:rsidRDefault="00C00A31" w:rsidP="00F506A3">
      <w:pPr>
        <w:spacing w:after="240"/>
        <w:ind w:firstLine="720"/>
        <w:mirrorIndents/>
      </w:pPr>
      <w:r w:rsidRPr="00D226C8">
        <w:rPr>
          <w:rStyle w:val="FootnoteReference"/>
        </w:rPr>
        <w:footnoteRef/>
      </w:r>
      <w:r w:rsidRPr="00D226C8">
        <w:t xml:space="preserve">  If the plaintiff is someone other than the child, then the child’s name (rather than the plaintiff’s name) should be inserted in appropriate places in this instruction.</w:t>
      </w:r>
    </w:p>
  </w:footnote>
  <w:footnote w:id="292">
    <w:p w14:paraId="222A1744" w14:textId="77777777" w:rsidR="00C00A31" w:rsidRPr="00D226C8" w:rsidRDefault="00C00A31"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93">
    <w:p w14:paraId="43CB4B78" w14:textId="77777777" w:rsidR="00C00A31" w:rsidRPr="00D226C8" w:rsidRDefault="00C00A31" w:rsidP="00F506A3">
      <w:pPr>
        <w:spacing w:after="240"/>
        <w:ind w:firstLine="720"/>
        <w:mirrorIndents/>
      </w:pPr>
      <w:r w:rsidRPr="00D226C8">
        <w:rPr>
          <w:rStyle w:val="FootnoteReference"/>
        </w:rPr>
        <w:footnoteRef/>
      </w:r>
      <w:r w:rsidRPr="00D226C8">
        <w:t xml:space="preserve">  This paragraph provides a subjective definition of “deliberate indifference,” drawn from the Eighth Amendment standard discussed in </w:t>
      </w:r>
      <w:r w:rsidRPr="00D226C8">
        <w:rPr>
          <w:i/>
          <w:iCs/>
        </w:rPr>
        <w:t>Farmer v. Brennan</w:t>
      </w:r>
      <w:r w:rsidRPr="00D226C8">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4">
    <w:p w14:paraId="691B042C" w14:textId="549BC068" w:rsidR="00C00A31" w:rsidRPr="00D226C8" w:rsidRDefault="00C00A31" w:rsidP="00F506A3">
      <w:pPr>
        <w:spacing w:after="240"/>
        <w:ind w:firstLine="720"/>
        <w:mirrorIndents/>
      </w:pPr>
      <w:r w:rsidRPr="00D226C8">
        <w:rPr>
          <w:rStyle w:val="FootnoteReference"/>
        </w:rPr>
        <w:footnoteRef/>
      </w:r>
      <w:r w:rsidRPr="00D226C8">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sidRPr="00D226C8">
        <w:rPr>
          <w:i/>
          <w:iCs/>
        </w:rPr>
        <w:t>Jordan v. City of Philadelphia</w:t>
      </w:r>
      <w:r w:rsidRPr="00D226C8">
        <w:t xml:space="preserve">, 66 F. Supp. 2d 638, 646 (E.D. Pa. 1999) (quoting </w:t>
      </w:r>
      <w:r w:rsidRPr="00D226C8">
        <w:rPr>
          <w:i/>
          <w:iCs/>
        </w:rPr>
        <w:t>Wendy H. v. City of Philadelphia</w:t>
      </w:r>
      <w:r w:rsidRPr="00D226C8">
        <w:t xml:space="preserve">, 849 F. Supp. 367, 372 (E.D. Pa. 1994) (quoting </w:t>
      </w:r>
      <w:r w:rsidRPr="00D226C8">
        <w:rPr>
          <w:i/>
          <w:iCs/>
        </w:rPr>
        <w:t>Youngberg v. Romeo</w:t>
      </w:r>
      <w:r w:rsidRPr="00D226C8">
        <w:t xml:space="preserve">, 457 U.S. 307, 323 (1982))).  The Court of Appeals in </w:t>
      </w:r>
      <w:r w:rsidRPr="00D226C8">
        <w:rPr>
          <w:i/>
          <w:iCs/>
        </w:rPr>
        <w:t>Nicini</w:t>
      </w:r>
      <w:r w:rsidRPr="00D226C8">
        <w:t xml:space="preserve"> declined to “decide whether, consistent with </w:t>
      </w:r>
      <w:r w:rsidRPr="00D226C8">
        <w:rPr>
          <w:i/>
          <w:iCs/>
        </w:rPr>
        <w:t>Lewis</w:t>
      </w:r>
      <w:r w:rsidRPr="00D226C8">
        <w:t xml:space="preserve">, [the professional judgment] standard could be applied to” substantive due process claims for failure to protect a child in foster care.  </w:t>
      </w:r>
      <w:r w:rsidRPr="00D226C8">
        <w:rPr>
          <w:i/>
          <w:iCs/>
        </w:rPr>
        <w:t>Nicini</w:t>
      </w:r>
      <w:r w:rsidRPr="00D226C8">
        <w:t>, 212 F.3d at 811 n.9.</w:t>
      </w:r>
    </w:p>
  </w:footnote>
  <w:footnote w:id="295">
    <w:p w14:paraId="4C7BF40F" w14:textId="77777777" w:rsidR="00C00A31" w:rsidRPr="00D226C8" w:rsidRDefault="00C00A31"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Miller v. City of Philadelphia</w:t>
      </w:r>
      <w:r w:rsidRPr="00D226C8">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D226C8">
        <w:rPr>
          <w:i/>
        </w:rPr>
        <w:t>B.S. v. Somerset County</w:t>
      </w:r>
      <w:r w:rsidRPr="00D226C8">
        <w:t xml:space="preserve">, 704 F.3d 250, 267-68 (3d Cir. 2013) (applying </w:t>
      </w:r>
      <w:r w:rsidRPr="00D226C8">
        <w:rPr>
          <w:i/>
        </w:rPr>
        <w:t>Miller</w:t>
      </w:r>
      <w:r w:rsidRPr="00D226C8">
        <w:t xml:space="preserve"> and holding that child welfare worker’s actions in obtaining court order and removing daughter from mother’s custody did not “shock the conscience”); </w:t>
      </w:r>
      <w:r w:rsidRPr="00D226C8">
        <w:rPr>
          <w:i/>
        </w:rPr>
        <w:t>Mulholland v. Government County of Berks</w:t>
      </w:r>
      <w:r w:rsidRPr="00D226C8">
        <w:t xml:space="preserve">, 706 F.3d 227, 234, 241-44 (3d Cir. 2013) (applying </w:t>
      </w:r>
      <w:r w:rsidRPr="00D226C8">
        <w:rPr>
          <w:i/>
        </w:rPr>
        <w:t>Miller</w:t>
      </w:r>
      <w:r w:rsidRPr="00D226C8">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6">
    <w:p w14:paraId="4A4EC8C1" w14:textId="77777777" w:rsidR="00C00A31" w:rsidRPr="00D226C8" w:rsidRDefault="00C00A31" w:rsidP="00F506A3">
      <w:pPr>
        <w:ind w:firstLine="720"/>
        <w:mirrorIndents/>
      </w:pPr>
      <w:r w:rsidRPr="00D226C8">
        <w:rPr>
          <w:rStyle w:val="FootnoteReference"/>
        </w:rPr>
        <w:footnoteRef/>
      </w:r>
      <w:r w:rsidRPr="00D226C8">
        <w:t xml:space="preserve">  For a discussion of this standard, see the Comment to Instruction 4.11, supra.</w:t>
      </w:r>
    </w:p>
    <w:p w14:paraId="4B785DC4" w14:textId="77777777" w:rsidR="00C00A31" w:rsidRPr="00D226C8" w:rsidRDefault="00C00A31" w:rsidP="00F506A3">
      <w:pPr>
        <w:spacing w:after="240"/>
        <w:ind w:firstLine="720"/>
        <w:mirrorIndents/>
      </w:pPr>
      <w:r w:rsidRPr="00D226C8">
        <w:t xml:space="preserve">A number of circuits have adopted a subjective standard.  </w:t>
      </w:r>
      <w:r w:rsidRPr="00D226C8">
        <w:rPr>
          <w:i/>
          <w:iCs/>
        </w:rPr>
        <w:t>See, e.g.</w:t>
      </w:r>
      <w:r w:rsidRPr="00D226C8">
        <w:t xml:space="preserve">, </w:t>
      </w:r>
      <w:r w:rsidRPr="00D226C8">
        <w:rPr>
          <w:i/>
          <w:iCs/>
        </w:rPr>
        <w:t>Hernandez ex rel. Hernandez v. Texas Dept. of Protective and Regulatory Services</w:t>
      </w:r>
      <w:r w:rsidRPr="00D226C8">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sidRPr="00D226C8">
        <w:rPr>
          <w:i/>
          <w:iCs/>
        </w:rPr>
        <w:t>Lewis v. Anderson</w:t>
      </w:r>
      <w:r w:rsidRPr="00D226C8">
        <w:t xml:space="preserve">, 308 F.3d 768, 775-76 (7th Cir. 2002) (“If state actors are to be held liable for the abuse perpetrated by a screened foster parent, under K.H. the plaintiffs must present evidence that the state officials knew or suspected that abuse was occurring or likely.”); </w:t>
      </w:r>
      <w:r w:rsidRPr="00D226C8">
        <w:rPr>
          <w:i/>
          <w:iCs/>
        </w:rPr>
        <w:t>Ray v. Foltz</w:t>
      </w:r>
      <w:r w:rsidRPr="00D226C8">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4D80" w14:textId="77777777" w:rsidR="00C00A31" w:rsidRDefault="00C00A31"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C00A31" w:rsidRPr="00BB5C4D" w:rsidRDefault="00C00A31" w:rsidP="00BB5C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0EE4" w14:textId="77777777" w:rsidR="00C00A31" w:rsidRDefault="00C00A31"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C00A31" w:rsidRPr="00BB5C4D" w:rsidRDefault="00C00A31" w:rsidP="00CA1D4D">
    <w:pPr>
      <w:pStyle w:val="Header"/>
      <w:jc w:val="cente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CF4B" w14:textId="77777777" w:rsidR="00C00A31" w:rsidRDefault="00C00A31"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C00A31" w:rsidRPr="00BB5C4D" w:rsidRDefault="00C00A31" w:rsidP="00CA1D4D">
    <w:pPr>
      <w:pStyle w:val="Header"/>
      <w:jc w:val="cente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A771" w14:textId="77777777" w:rsidR="00C00A31"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C00A31" w:rsidRPr="00BB5C4D" w:rsidRDefault="00C00A31" w:rsidP="00CA1D4D">
    <w:pPr>
      <w:pStyle w:val="Header"/>
      <w:jc w:val="right"/>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FD7F" w14:textId="77777777" w:rsidR="00C00A31" w:rsidRPr="003618F6"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C00A31" w:rsidRPr="00BB5C4D" w:rsidRDefault="00C00A31" w:rsidP="00BB5C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BADE" w14:textId="77777777" w:rsidR="00C00A31" w:rsidRPr="003618F6"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C00A31" w:rsidRPr="00BB5C4D" w:rsidRDefault="00C00A31" w:rsidP="00BB5C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A64D" w14:textId="77777777" w:rsidR="00C00A31" w:rsidRDefault="00C00A31"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C00A31" w:rsidRPr="00BB5C4D" w:rsidRDefault="00C00A31" w:rsidP="00BB5C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8EAD" w14:textId="77777777" w:rsidR="00C00A31"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C00A31" w:rsidRPr="00BB5C4D" w:rsidRDefault="00C00A31" w:rsidP="00BB5C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6E4" w14:textId="77777777" w:rsidR="00C00A31"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C00A31" w:rsidRPr="00BB5C4D" w:rsidRDefault="00C00A31" w:rsidP="00BB5C4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BA78" w14:textId="77777777" w:rsidR="00C00A31"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C00A31" w:rsidRPr="00BB5C4D" w:rsidRDefault="00C00A31" w:rsidP="00BB5C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5C8E" w14:textId="77777777" w:rsidR="00C00A31" w:rsidRDefault="00C00A31"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C00A31" w:rsidRPr="00BB5C4D" w:rsidRDefault="00C00A31" w:rsidP="00BB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07C9" w14:textId="77777777" w:rsidR="00C00A31" w:rsidRDefault="00C00A31"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C00A31" w:rsidRPr="00BB5C4D" w:rsidRDefault="00C00A31" w:rsidP="00BB5C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6" w14:textId="77777777" w:rsidR="00C00A31"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C00A31" w:rsidRPr="00BB5C4D" w:rsidRDefault="00C00A31" w:rsidP="00BB5C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4AAB" w14:textId="77777777" w:rsidR="00C00A31"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C00A31" w:rsidRPr="00BB5C4D" w:rsidRDefault="00C00A31" w:rsidP="002168DC">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E84" w14:textId="77777777" w:rsidR="00C00A31"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C00A31" w:rsidRPr="00BB5C4D" w:rsidRDefault="00C00A31" w:rsidP="00BB5C4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10DD"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C00A31" w:rsidRPr="00BB5C4D" w:rsidRDefault="00C00A31" w:rsidP="00BB5C4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CFFF" w14:textId="77777777" w:rsidR="00C00A31" w:rsidRPr="007D4BAE" w:rsidRDefault="00C00A31"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C00A31" w:rsidRPr="00BB5C4D" w:rsidRDefault="00C00A31" w:rsidP="00BB5C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B8"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C00A31" w:rsidRPr="00BB5C4D" w:rsidRDefault="00C00A31" w:rsidP="00BB5C4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C86"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C00A31" w:rsidRPr="00BB5C4D" w:rsidRDefault="00C00A31" w:rsidP="00BB5C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0984"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C00A31" w:rsidRPr="00BB5C4D" w:rsidRDefault="00C00A31" w:rsidP="00BB5C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E691"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C00A31" w:rsidRPr="00BB5C4D" w:rsidRDefault="00C00A31" w:rsidP="00BB5C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2BCE"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C00A31" w:rsidRPr="00BB5C4D" w:rsidRDefault="00C00A31" w:rsidP="00BB5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6D3B" w14:textId="77777777" w:rsidR="00C00A31" w:rsidRDefault="00C00A31"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C00A31" w:rsidRPr="00BB5C4D" w:rsidRDefault="00C00A31" w:rsidP="00BB5C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6397"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C00A31" w:rsidRPr="00BB5C4D" w:rsidRDefault="00C00A31" w:rsidP="00BB5C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64F5" w14:textId="77777777" w:rsidR="00C00A31" w:rsidRPr="007D4BAE" w:rsidRDefault="00C00A31"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C00A31" w:rsidRPr="00BB5C4D" w:rsidRDefault="00C00A31" w:rsidP="00BB5C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E152"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C00A31" w:rsidRPr="00BB5C4D" w:rsidRDefault="00C00A31" w:rsidP="00BB5C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EA37"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C00A31" w:rsidRPr="00BB5C4D" w:rsidRDefault="00C00A31" w:rsidP="00BB5C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419B"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C00A31" w:rsidRPr="00BB5C4D" w:rsidRDefault="00C00A31" w:rsidP="00BB5C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BA6F"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C00A31" w:rsidRPr="00BB5C4D" w:rsidRDefault="00C00A31" w:rsidP="00BB5C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071"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C00A31" w:rsidRPr="00BB5C4D" w:rsidRDefault="00C00A31" w:rsidP="00BB5C4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FC4E"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C00A31" w:rsidRPr="00BB5C4D" w:rsidRDefault="00C00A31" w:rsidP="00BB5C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FA39" w14:textId="77777777" w:rsidR="00C00A31" w:rsidRDefault="00C00A31"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C00A31" w:rsidRPr="00BB5C4D" w:rsidRDefault="00C00A31" w:rsidP="00BB5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7A6" w14:textId="77777777" w:rsidR="00C00A31" w:rsidRDefault="00C00A31"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C00A31" w:rsidRPr="00BB5C4D" w:rsidRDefault="00C00A31" w:rsidP="002168DC">
    <w:pPr>
      <w:pStyle w:val="Header"/>
      <w:jc w:val="right"/>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11AA" w14:textId="77777777" w:rsidR="00C00A31" w:rsidRDefault="00C00A31"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C00A31" w:rsidRPr="00BB5C4D" w:rsidRDefault="00C00A31" w:rsidP="002168DC">
    <w:pPr>
      <w:pStyle w:val="Header"/>
      <w:jc w:val="right"/>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A9EE" w14:textId="77777777" w:rsidR="00C00A31" w:rsidRPr="004D71D9" w:rsidRDefault="00C00A31"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C00A31" w:rsidRPr="00BB5C4D" w:rsidRDefault="00C00A31" w:rsidP="002168DC">
    <w:pPr>
      <w:pStyle w:val="Header"/>
      <w:jc w:val="right"/>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E3AE" w14:textId="77777777" w:rsidR="00C00A31" w:rsidRDefault="00C00A31"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C00A31" w:rsidRPr="00BB5C4D" w:rsidRDefault="00C00A31" w:rsidP="00CA1D4D">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DF44" w14:textId="77777777" w:rsidR="00C00A31" w:rsidRPr="004D71D9" w:rsidRDefault="00C00A31"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C00A31" w:rsidRDefault="00C00A31" w:rsidP="00FD2011">
    <w:pPr>
      <w:pStyle w:val="Header"/>
      <w:jc w:val="right"/>
      <w:rPr>
        <w:rFonts w:ascii="Century Schoolbook" w:hAnsi="Century Schoolbook"/>
        <w:b/>
        <w:bCs/>
        <w:sz w:val="20"/>
        <w:szCs w:val="20"/>
      </w:rPr>
    </w:pPr>
  </w:p>
  <w:p w14:paraId="400EF254" w14:textId="6AC52108" w:rsidR="00C00A31" w:rsidRPr="00BB5C4D" w:rsidRDefault="00C00A31" w:rsidP="00CA1D4D">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2E89" w14:textId="77777777" w:rsidR="00C00A31" w:rsidRDefault="00C00A31"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C00A31" w:rsidRPr="00BB5C4D" w:rsidRDefault="00C00A31" w:rsidP="00CA1D4D">
    <w:pPr>
      <w:pStyle w:val="Header"/>
      <w:jc w:val="cente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010"/>
    <w:multiLevelType w:val="hybridMultilevel"/>
    <w:tmpl w:val="6F6A9558"/>
    <w:lvl w:ilvl="0" w:tplc="18A26C6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0B8"/>
    <w:multiLevelType w:val="hybridMultilevel"/>
    <w:tmpl w:val="EEB8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4506"/>
    <w:multiLevelType w:val="hybridMultilevel"/>
    <w:tmpl w:val="6BFA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33982"/>
    <w:multiLevelType w:val="hybridMultilevel"/>
    <w:tmpl w:val="711A7834"/>
    <w:lvl w:ilvl="0" w:tplc="FF24D4E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236D1"/>
    <w:multiLevelType w:val="hybridMultilevel"/>
    <w:tmpl w:val="404A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9439C"/>
    <w:multiLevelType w:val="hybridMultilevel"/>
    <w:tmpl w:val="AF0E576A"/>
    <w:lvl w:ilvl="0" w:tplc="08D88A0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1114F"/>
    <w:multiLevelType w:val="hybridMultilevel"/>
    <w:tmpl w:val="518CE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4"/>
  </w:num>
  <w:num w:numId="5">
    <w:abstractNumId w:val="17"/>
  </w:num>
  <w:num w:numId="6">
    <w:abstractNumId w:val="8"/>
  </w:num>
  <w:num w:numId="7">
    <w:abstractNumId w:val="13"/>
  </w:num>
  <w:num w:numId="8">
    <w:abstractNumId w:val="16"/>
  </w:num>
  <w:num w:numId="9">
    <w:abstractNumId w:val="11"/>
  </w:num>
  <w:num w:numId="10">
    <w:abstractNumId w:val="1"/>
  </w:num>
  <w:num w:numId="11">
    <w:abstractNumId w:val="2"/>
  </w:num>
  <w:num w:numId="12">
    <w:abstractNumId w:val="9"/>
  </w:num>
  <w:num w:numId="13">
    <w:abstractNumId w:val="0"/>
  </w:num>
  <w:num w:numId="14">
    <w:abstractNumId w:val="14"/>
  </w:num>
  <w:num w:numId="15">
    <w:abstractNumId w:val="12"/>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31580"/>
    <w:rsid w:val="000349C7"/>
    <w:rsid w:val="00044ACE"/>
    <w:rsid w:val="00045400"/>
    <w:rsid w:val="00047412"/>
    <w:rsid w:val="000578AD"/>
    <w:rsid w:val="00066435"/>
    <w:rsid w:val="00071EFD"/>
    <w:rsid w:val="00073595"/>
    <w:rsid w:val="0007447F"/>
    <w:rsid w:val="00074C87"/>
    <w:rsid w:val="000759A6"/>
    <w:rsid w:val="000769FA"/>
    <w:rsid w:val="00077674"/>
    <w:rsid w:val="000826F5"/>
    <w:rsid w:val="000842C8"/>
    <w:rsid w:val="00087183"/>
    <w:rsid w:val="00090421"/>
    <w:rsid w:val="00096CAF"/>
    <w:rsid w:val="000A3E7C"/>
    <w:rsid w:val="000A6E7F"/>
    <w:rsid w:val="000B45C0"/>
    <w:rsid w:val="000C238D"/>
    <w:rsid w:val="000D09A4"/>
    <w:rsid w:val="000D3FBC"/>
    <w:rsid w:val="000E077A"/>
    <w:rsid w:val="000E10E9"/>
    <w:rsid w:val="000E258F"/>
    <w:rsid w:val="000F1DF0"/>
    <w:rsid w:val="000F489C"/>
    <w:rsid w:val="000F531C"/>
    <w:rsid w:val="000F720A"/>
    <w:rsid w:val="00100162"/>
    <w:rsid w:val="0010024D"/>
    <w:rsid w:val="00100D7D"/>
    <w:rsid w:val="001113F7"/>
    <w:rsid w:val="001134BE"/>
    <w:rsid w:val="00117AC8"/>
    <w:rsid w:val="001237D8"/>
    <w:rsid w:val="00131A8B"/>
    <w:rsid w:val="0013305A"/>
    <w:rsid w:val="00137266"/>
    <w:rsid w:val="0015778A"/>
    <w:rsid w:val="00162A38"/>
    <w:rsid w:val="00165FA3"/>
    <w:rsid w:val="0017311F"/>
    <w:rsid w:val="00184A3B"/>
    <w:rsid w:val="00185B62"/>
    <w:rsid w:val="00191CA5"/>
    <w:rsid w:val="00192CCB"/>
    <w:rsid w:val="00194424"/>
    <w:rsid w:val="001A007D"/>
    <w:rsid w:val="001A0B9C"/>
    <w:rsid w:val="001A0FA9"/>
    <w:rsid w:val="001A12C7"/>
    <w:rsid w:val="001A144C"/>
    <w:rsid w:val="001A2B0D"/>
    <w:rsid w:val="001A6066"/>
    <w:rsid w:val="001A7B7C"/>
    <w:rsid w:val="001B2D3B"/>
    <w:rsid w:val="001B3718"/>
    <w:rsid w:val="001B783C"/>
    <w:rsid w:val="001C1020"/>
    <w:rsid w:val="001C2A83"/>
    <w:rsid w:val="001C3EB4"/>
    <w:rsid w:val="001C4E24"/>
    <w:rsid w:val="001C7410"/>
    <w:rsid w:val="001D04F4"/>
    <w:rsid w:val="001D2816"/>
    <w:rsid w:val="001D2BFF"/>
    <w:rsid w:val="001D344E"/>
    <w:rsid w:val="001D5DE6"/>
    <w:rsid w:val="001D6838"/>
    <w:rsid w:val="001F40F6"/>
    <w:rsid w:val="0020251F"/>
    <w:rsid w:val="0021264F"/>
    <w:rsid w:val="00212C32"/>
    <w:rsid w:val="002132A8"/>
    <w:rsid w:val="00213E8C"/>
    <w:rsid w:val="00214208"/>
    <w:rsid w:val="002168DC"/>
    <w:rsid w:val="002218DA"/>
    <w:rsid w:val="00222FF7"/>
    <w:rsid w:val="002264A7"/>
    <w:rsid w:val="002379FB"/>
    <w:rsid w:val="00245CC6"/>
    <w:rsid w:val="002478ED"/>
    <w:rsid w:val="00261053"/>
    <w:rsid w:val="00262A6F"/>
    <w:rsid w:val="00267BAD"/>
    <w:rsid w:val="00270CF7"/>
    <w:rsid w:val="00272457"/>
    <w:rsid w:val="002738CE"/>
    <w:rsid w:val="00286EA6"/>
    <w:rsid w:val="002872C7"/>
    <w:rsid w:val="00290198"/>
    <w:rsid w:val="002955FD"/>
    <w:rsid w:val="0029677D"/>
    <w:rsid w:val="002A4023"/>
    <w:rsid w:val="002D1D62"/>
    <w:rsid w:val="002D65B8"/>
    <w:rsid w:val="002D6C64"/>
    <w:rsid w:val="002E055C"/>
    <w:rsid w:val="002E1533"/>
    <w:rsid w:val="002E1D07"/>
    <w:rsid w:val="002E3699"/>
    <w:rsid w:val="002E3EA5"/>
    <w:rsid w:val="003000E3"/>
    <w:rsid w:val="003054F7"/>
    <w:rsid w:val="003070B2"/>
    <w:rsid w:val="00313559"/>
    <w:rsid w:val="00314D4A"/>
    <w:rsid w:val="00317FFE"/>
    <w:rsid w:val="00324BC7"/>
    <w:rsid w:val="0032651A"/>
    <w:rsid w:val="00326D5E"/>
    <w:rsid w:val="00331080"/>
    <w:rsid w:val="0033112A"/>
    <w:rsid w:val="00331815"/>
    <w:rsid w:val="003412A2"/>
    <w:rsid w:val="003424A7"/>
    <w:rsid w:val="00347925"/>
    <w:rsid w:val="00355C53"/>
    <w:rsid w:val="00356C5B"/>
    <w:rsid w:val="00357E4D"/>
    <w:rsid w:val="003618F6"/>
    <w:rsid w:val="003645E2"/>
    <w:rsid w:val="003707DE"/>
    <w:rsid w:val="0037120C"/>
    <w:rsid w:val="00372245"/>
    <w:rsid w:val="003779BC"/>
    <w:rsid w:val="003941F6"/>
    <w:rsid w:val="003A2442"/>
    <w:rsid w:val="003A37F4"/>
    <w:rsid w:val="003A4103"/>
    <w:rsid w:val="003A4153"/>
    <w:rsid w:val="003A4271"/>
    <w:rsid w:val="003A4828"/>
    <w:rsid w:val="003A690C"/>
    <w:rsid w:val="003A6A6F"/>
    <w:rsid w:val="003B14BB"/>
    <w:rsid w:val="003B5115"/>
    <w:rsid w:val="003B6D6B"/>
    <w:rsid w:val="003B78A0"/>
    <w:rsid w:val="003C45A6"/>
    <w:rsid w:val="003C7F4A"/>
    <w:rsid w:val="003D23F7"/>
    <w:rsid w:val="003D68F7"/>
    <w:rsid w:val="003D6D3C"/>
    <w:rsid w:val="003E1C61"/>
    <w:rsid w:val="003E40B5"/>
    <w:rsid w:val="003E52A8"/>
    <w:rsid w:val="003E6E50"/>
    <w:rsid w:val="003F37EB"/>
    <w:rsid w:val="003F7C83"/>
    <w:rsid w:val="004101F4"/>
    <w:rsid w:val="00413A7C"/>
    <w:rsid w:val="00417646"/>
    <w:rsid w:val="0042151A"/>
    <w:rsid w:val="00430018"/>
    <w:rsid w:val="00434E7C"/>
    <w:rsid w:val="00436C4C"/>
    <w:rsid w:val="00436F3D"/>
    <w:rsid w:val="00452FE2"/>
    <w:rsid w:val="00453E56"/>
    <w:rsid w:val="00454648"/>
    <w:rsid w:val="004552EC"/>
    <w:rsid w:val="004576EA"/>
    <w:rsid w:val="00460B22"/>
    <w:rsid w:val="004645DA"/>
    <w:rsid w:val="00474DE6"/>
    <w:rsid w:val="00477609"/>
    <w:rsid w:val="00477C00"/>
    <w:rsid w:val="004808A7"/>
    <w:rsid w:val="00483A85"/>
    <w:rsid w:val="004871B4"/>
    <w:rsid w:val="00492A8B"/>
    <w:rsid w:val="004A2100"/>
    <w:rsid w:val="004B3289"/>
    <w:rsid w:val="004C0251"/>
    <w:rsid w:val="004C2023"/>
    <w:rsid w:val="004C58B3"/>
    <w:rsid w:val="004D583E"/>
    <w:rsid w:val="004D71D9"/>
    <w:rsid w:val="004E27CA"/>
    <w:rsid w:val="004E64EE"/>
    <w:rsid w:val="004F0090"/>
    <w:rsid w:val="004F02ED"/>
    <w:rsid w:val="0050288B"/>
    <w:rsid w:val="00502F25"/>
    <w:rsid w:val="00505C61"/>
    <w:rsid w:val="00514F00"/>
    <w:rsid w:val="0052168C"/>
    <w:rsid w:val="005249BE"/>
    <w:rsid w:val="00531E99"/>
    <w:rsid w:val="00533944"/>
    <w:rsid w:val="00533B63"/>
    <w:rsid w:val="00533ED3"/>
    <w:rsid w:val="00534ECE"/>
    <w:rsid w:val="0053679F"/>
    <w:rsid w:val="00563600"/>
    <w:rsid w:val="00567C4C"/>
    <w:rsid w:val="0057364E"/>
    <w:rsid w:val="00573AA9"/>
    <w:rsid w:val="0058314A"/>
    <w:rsid w:val="00583F4E"/>
    <w:rsid w:val="00592E7E"/>
    <w:rsid w:val="005A014B"/>
    <w:rsid w:val="005A5A64"/>
    <w:rsid w:val="005B14B2"/>
    <w:rsid w:val="005B19B4"/>
    <w:rsid w:val="005C03F8"/>
    <w:rsid w:val="005C6D57"/>
    <w:rsid w:val="005D5AAC"/>
    <w:rsid w:val="005E0AE1"/>
    <w:rsid w:val="005E0FA5"/>
    <w:rsid w:val="005E3571"/>
    <w:rsid w:val="005F7851"/>
    <w:rsid w:val="006000BA"/>
    <w:rsid w:val="006016E5"/>
    <w:rsid w:val="00601AF0"/>
    <w:rsid w:val="006043E4"/>
    <w:rsid w:val="00605327"/>
    <w:rsid w:val="00613629"/>
    <w:rsid w:val="006174B2"/>
    <w:rsid w:val="00625E9D"/>
    <w:rsid w:val="0062691A"/>
    <w:rsid w:val="00637E70"/>
    <w:rsid w:val="00640A0E"/>
    <w:rsid w:val="00640B5E"/>
    <w:rsid w:val="00650F70"/>
    <w:rsid w:val="00652F55"/>
    <w:rsid w:val="006623E3"/>
    <w:rsid w:val="00663CA4"/>
    <w:rsid w:val="00672C74"/>
    <w:rsid w:val="006733CE"/>
    <w:rsid w:val="006764E5"/>
    <w:rsid w:val="00680BE4"/>
    <w:rsid w:val="006814A6"/>
    <w:rsid w:val="006821BC"/>
    <w:rsid w:val="006848AA"/>
    <w:rsid w:val="00691ADE"/>
    <w:rsid w:val="0069411B"/>
    <w:rsid w:val="006978E2"/>
    <w:rsid w:val="006B55D6"/>
    <w:rsid w:val="006C47CF"/>
    <w:rsid w:val="006C49DD"/>
    <w:rsid w:val="006C7E46"/>
    <w:rsid w:val="006D0074"/>
    <w:rsid w:val="006D5690"/>
    <w:rsid w:val="006D6099"/>
    <w:rsid w:val="006E1D86"/>
    <w:rsid w:val="006E5BE5"/>
    <w:rsid w:val="006F5B99"/>
    <w:rsid w:val="00704C38"/>
    <w:rsid w:val="007073DC"/>
    <w:rsid w:val="007118E7"/>
    <w:rsid w:val="00713614"/>
    <w:rsid w:val="00720A9B"/>
    <w:rsid w:val="00721160"/>
    <w:rsid w:val="00730BE4"/>
    <w:rsid w:val="00733FCD"/>
    <w:rsid w:val="007367F0"/>
    <w:rsid w:val="00747378"/>
    <w:rsid w:val="007508F2"/>
    <w:rsid w:val="007514A3"/>
    <w:rsid w:val="00753106"/>
    <w:rsid w:val="0076126A"/>
    <w:rsid w:val="0076408F"/>
    <w:rsid w:val="00765475"/>
    <w:rsid w:val="007662ED"/>
    <w:rsid w:val="00767E9C"/>
    <w:rsid w:val="00770281"/>
    <w:rsid w:val="0077088E"/>
    <w:rsid w:val="00773F35"/>
    <w:rsid w:val="0077488E"/>
    <w:rsid w:val="00782A0F"/>
    <w:rsid w:val="00784ECC"/>
    <w:rsid w:val="0079585D"/>
    <w:rsid w:val="007A02A6"/>
    <w:rsid w:val="007A7790"/>
    <w:rsid w:val="007B4BAD"/>
    <w:rsid w:val="007B6322"/>
    <w:rsid w:val="007C31CE"/>
    <w:rsid w:val="007C4573"/>
    <w:rsid w:val="007C5AE4"/>
    <w:rsid w:val="007D32FF"/>
    <w:rsid w:val="007D4BAE"/>
    <w:rsid w:val="007E1FBF"/>
    <w:rsid w:val="007E6D03"/>
    <w:rsid w:val="007F1BA7"/>
    <w:rsid w:val="007F3DE4"/>
    <w:rsid w:val="007F4138"/>
    <w:rsid w:val="007F43E9"/>
    <w:rsid w:val="00802411"/>
    <w:rsid w:val="00802CC2"/>
    <w:rsid w:val="00803DF5"/>
    <w:rsid w:val="00806044"/>
    <w:rsid w:val="0080651D"/>
    <w:rsid w:val="008077E6"/>
    <w:rsid w:val="00812EC9"/>
    <w:rsid w:val="00814B56"/>
    <w:rsid w:val="00817BDE"/>
    <w:rsid w:val="0082005F"/>
    <w:rsid w:val="00820AAF"/>
    <w:rsid w:val="008214B2"/>
    <w:rsid w:val="0082313A"/>
    <w:rsid w:val="00826EFF"/>
    <w:rsid w:val="00830DA4"/>
    <w:rsid w:val="00833121"/>
    <w:rsid w:val="008359B4"/>
    <w:rsid w:val="00852A74"/>
    <w:rsid w:val="00853C93"/>
    <w:rsid w:val="008547A7"/>
    <w:rsid w:val="00860958"/>
    <w:rsid w:val="008628F1"/>
    <w:rsid w:val="00870297"/>
    <w:rsid w:val="00877FBF"/>
    <w:rsid w:val="00880DD8"/>
    <w:rsid w:val="00881089"/>
    <w:rsid w:val="008822DE"/>
    <w:rsid w:val="00886831"/>
    <w:rsid w:val="008A0E5B"/>
    <w:rsid w:val="008A36FD"/>
    <w:rsid w:val="008A4622"/>
    <w:rsid w:val="008A5C7E"/>
    <w:rsid w:val="008A70C8"/>
    <w:rsid w:val="008B1545"/>
    <w:rsid w:val="008B1780"/>
    <w:rsid w:val="008B5850"/>
    <w:rsid w:val="008C4A72"/>
    <w:rsid w:val="008C4EB9"/>
    <w:rsid w:val="008C5265"/>
    <w:rsid w:val="008D05CB"/>
    <w:rsid w:val="008D2B03"/>
    <w:rsid w:val="008D5EE0"/>
    <w:rsid w:val="008E2F38"/>
    <w:rsid w:val="008E55A2"/>
    <w:rsid w:val="008F1869"/>
    <w:rsid w:val="008F2A6A"/>
    <w:rsid w:val="00901960"/>
    <w:rsid w:val="00901CEA"/>
    <w:rsid w:val="00903314"/>
    <w:rsid w:val="00912E12"/>
    <w:rsid w:val="00914888"/>
    <w:rsid w:val="00914917"/>
    <w:rsid w:val="00914F9C"/>
    <w:rsid w:val="00930D23"/>
    <w:rsid w:val="00930E04"/>
    <w:rsid w:val="00935A0B"/>
    <w:rsid w:val="00941010"/>
    <w:rsid w:val="009510BB"/>
    <w:rsid w:val="009537BF"/>
    <w:rsid w:val="00953EB1"/>
    <w:rsid w:val="00954538"/>
    <w:rsid w:val="00955670"/>
    <w:rsid w:val="00957BD8"/>
    <w:rsid w:val="00957CD0"/>
    <w:rsid w:val="0096466E"/>
    <w:rsid w:val="00965EE0"/>
    <w:rsid w:val="009677AB"/>
    <w:rsid w:val="00971216"/>
    <w:rsid w:val="00974573"/>
    <w:rsid w:val="009758E3"/>
    <w:rsid w:val="00976B6B"/>
    <w:rsid w:val="009853FF"/>
    <w:rsid w:val="00985E68"/>
    <w:rsid w:val="00990274"/>
    <w:rsid w:val="009914F8"/>
    <w:rsid w:val="0099484E"/>
    <w:rsid w:val="00997951"/>
    <w:rsid w:val="009A0F54"/>
    <w:rsid w:val="009B6489"/>
    <w:rsid w:val="009C000D"/>
    <w:rsid w:val="009D11C1"/>
    <w:rsid w:val="009D35A0"/>
    <w:rsid w:val="009D3FDE"/>
    <w:rsid w:val="009D45C6"/>
    <w:rsid w:val="009D4885"/>
    <w:rsid w:val="009D73C7"/>
    <w:rsid w:val="009D7FE9"/>
    <w:rsid w:val="009E28BB"/>
    <w:rsid w:val="009E5C59"/>
    <w:rsid w:val="009F4A3B"/>
    <w:rsid w:val="00A00C0E"/>
    <w:rsid w:val="00A01CBF"/>
    <w:rsid w:val="00A0507F"/>
    <w:rsid w:val="00A10C34"/>
    <w:rsid w:val="00A16BEB"/>
    <w:rsid w:val="00A22D7C"/>
    <w:rsid w:val="00A35B96"/>
    <w:rsid w:val="00A37AF4"/>
    <w:rsid w:val="00A37B8F"/>
    <w:rsid w:val="00A47168"/>
    <w:rsid w:val="00A50425"/>
    <w:rsid w:val="00A514A2"/>
    <w:rsid w:val="00A54485"/>
    <w:rsid w:val="00A55758"/>
    <w:rsid w:val="00A574CC"/>
    <w:rsid w:val="00A610BD"/>
    <w:rsid w:val="00A659B1"/>
    <w:rsid w:val="00A67D7B"/>
    <w:rsid w:val="00A77A48"/>
    <w:rsid w:val="00A81979"/>
    <w:rsid w:val="00A830F5"/>
    <w:rsid w:val="00A8690A"/>
    <w:rsid w:val="00A9399C"/>
    <w:rsid w:val="00A9540A"/>
    <w:rsid w:val="00A96551"/>
    <w:rsid w:val="00A97029"/>
    <w:rsid w:val="00AA1A03"/>
    <w:rsid w:val="00AA5858"/>
    <w:rsid w:val="00AA5CDE"/>
    <w:rsid w:val="00AC0ED6"/>
    <w:rsid w:val="00AC407E"/>
    <w:rsid w:val="00AC4E13"/>
    <w:rsid w:val="00AC516A"/>
    <w:rsid w:val="00AC6A18"/>
    <w:rsid w:val="00AE5F0F"/>
    <w:rsid w:val="00AF109E"/>
    <w:rsid w:val="00AF4681"/>
    <w:rsid w:val="00B01CD9"/>
    <w:rsid w:val="00B05F5D"/>
    <w:rsid w:val="00B0720B"/>
    <w:rsid w:val="00B15B60"/>
    <w:rsid w:val="00B16960"/>
    <w:rsid w:val="00B215A9"/>
    <w:rsid w:val="00B27170"/>
    <w:rsid w:val="00B31B33"/>
    <w:rsid w:val="00B469F3"/>
    <w:rsid w:val="00B5136B"/>
    <w:rsid w:val="00B558F3"/>
    <w:rsid w:val="00B6244C"/>
    <w:rsid w:val="00B628AA"/>
    <w:rsid w:val="00B67AC1"/>
    <w:rsid w:val="00B71E1F"/>
    <w:rsid w:val="00B76862"/>
    <w:rsid w:val="00B82924"/>
    <w:rsid w:val="00B84B0F"/>
    <w:rsid w:val="00B8746B"/>
    <w:rsid w:val="00B96F46"/>
    <w:rsid w:val="00BA14BF"/>
    <w:rsid w:val="00BA6669"/>
    <w:rsid w:val="00BB0768"/>
    <w:rsid w:val="00BB35A4"/>
    <w:rsid w:val="00BB42BC"/>
    <w:rsid w:val="00BB5C4D"/>
    <w:rsid w:val="00BB6929"/>
    <w:rsid w:val="00BD0FDD"/>
    <w:rsid w:val="00BD4BAC"/>
    <w:rsid w:val="00BD4C3C"/>
    <w:rsid w:val="00BD546E"/>
    <w:rsid w:val="00BD7231"/>
    <w:rsid w:val="00BD797F"/>
    <w:rsid w:val="00BE7BA2"/>
    <w:rsid w:val="00BF053A"/>
    <w:rsid w:val="00BF2C99"/>
    <w:rsid w:val="00BF493F"/>
    <w:rsid w:val="00BF76C1"/>
    <w:rsid w:val="00C00A31"/>
    <w:rsid w:val="00C04E0C"/>
    <w:rsid w:val="00C16C16"/>
    <w:rsid w:val="00C2313F"/>
    <w:rsid w:val="00C44228"/>
    <w:rsid w:val="00C44B83"/>
    <w:rsid w:val="00C44EE8"/>
    <w:rsid w:val="00C46C30"/>
    <w:rsid w:val="00C54522"/>
    <w:rsid w:val="00C54A5F"/>
    <w:rsid w:val="00C66493"/>
    <w:rsid w:val="00C72E41"/>
    <w:rsid w:val="00C73B9C"/>
    <w:rsid w:val="00C7556F"/>
    <w:rsid w:val="00C9228B"/>
    <w:rsid w:val="00C94853"/>
    <w:rsid w:val="00C94BBF"/>
    <w:rsid w:val="00CA0570"/>
    <w:rsid w:val="00CA1D4D"/>
    <w:rsid w:val="00CB00F3"/>
    <w:rsid w:val="00CB0555"/>
    <w:rsid w:val="00CB1C32"/>
    <w:rsid w:val="00CB1CCC"/>
    <w:rsid w:val="00CC1DB3"/>
    <w:rsid w:val="00CC28B2"/>
    <w:rsid w:val="00CC2B9A"/>
    <w:rsid w:val="00CC3881"/>
    <w:rsid w:val="00CC557D"/>
    <w:rsid w:val="00CD3984"/>
    <w:rsid w:val="00CD69C6"/>
    <w:rsid w:val="00CE325D"/>
    <w:rsid w:val="00CE3EA6"/>
    <w:rsid w:val="00CE7164"/>
    <w:rsid w:val="00CE7D91"/>
    <w:rsid w:val="00CE7ECB"/>
    <w:rsid w:val="00CF75F6"/>
    <w:rsid w:val="00D01140"/>
    <w:rsid w:val="00D1429D"/>
    <w:rsid w:val="00D1459C"/>
    <w:rsid w:val="00D20C61"/>
    <w:rsid w:val="00D226C8"/>
    <w:rsid w:val="00D24CBD"/>
    <w:rsid w:val="00D34725"/>
    <w:rsid w:val="00D36FB8"/>
    <w:rsid w:val="00D413BD"/>
    <w:rsid w:val="00D44B69"/>
    <w:rsid w:val="00D45EB7"/>
    <w:rsid w:val="00D54B7B"/>
    <w:rsid w:val="00D56A7C"/>
    <w:rsid w:val="00D61225"/>
    <w:rsid w:val="00D6235F"/>
    <w:rsid w:val="00D65882"/>
    <w:rsid w:val="00D6597B"/>
    <w:rsid w:val="00D7698C"/>
    <w:rsid w:val="00D81628"/>
    <w:rsid w:val="00D86B93"/>
    <w:rsid w:val="00D92663"/>
    <w:rsid w:val="00D95514"/>
    <w:rsid w:val="00D95F6F"/>
    <w:rsid w:val="00DA02B8"/>
    <w:rsid w:val="00DA1B57"/>
    <w:rsid w:val="00DA4A1F"/>
    <w:rsid w:val="00DA74E6"/>
    <w:rsid w:val="00DB0116"/>
    <w:rsid w:val="00DB099A"/>
    <w:rsid w:val="00DB5EEE"/>
    <w:rsid w:val="00DC065C"/>
    <w:rsid w:val="00DC19C1"/>
    <w:rsid w:val="00DC19C7"/>
    <w:rsid w:val="00DC386C"/>
    <w:rsid w:val="00DD1E61"/>
    <w:rsid w:val="00DD2FF7"/>
    <w:rsid w:val="00DD6FC5"/>
    <w:rsid w:val="00DE3188"/>
    <w:rsid w:val="00DE5D73"/>
    <w:rsid w:val="00DF0742"/>
    <w:rsid w:val="00DF08EE"/>
    <w:rsid w:val="00E0190E"/>
    <w:rsid w:val="00E078C5"/>
    <w:rsid w:val="00E11AB8"/>
    <w:rsid w:val="00E12662"/>
    <w:rsid w:val="00E150AF"/>
    <w:rsid w:val="00E33198"/>
    <w:rsid w:val="00E33B20"/>
    <w:rsid w:val="00E35963"/>
    <w:rsid w:val="00E36C8B"/>
    <w:rsid w:val="00E40B24"/>
    <w:rsid w:val="00E4197A"/>
    <w:rsid w:val="00E50720"/>
    <w:rsid w:val="00E51BA7"/>
    <w:rsid w:val="00E62DB6"/>
    <w:rsid w:val="00E64F24"/>
    <w:rsid w:val="00E70106"/>
    <w:rsid w:val="00E719F0"/>
    <w:rsid w:val="00E73FD6"/>
    <w:rsid w:val="00E77A12"/>
    <w:rsid w:val="00E8413F"/>
    <w:rsid w:val="00E87C3A"/>
    <w:rsid w:val="00E92B4F"/>
    <w:rsid w:val="00E96842"/>
    <w:rsid w:val="00E96D45"/>
    <w:rsid w:val="00E97E18"/>
    <w:rsid w:val="00EA10BE"/>
    <w:rsid w:val="00EA2605"/>
    <w:rsid w:val="00EA64E1"/>
    <w:rsid w:val="00EA7978"/>
    <w:rsid w:val="00EB06CC"/>
    <w:rsid w:val="00EB2319"/>
    <w:rsid w:val="00EB3004"/>
    <w:rsid w:val="00EC30F2"/>
    <w:rsid w:val="00EC6584"/>
    <w:rsid w:val="00ED1C04"/>
    <w:rsid w:val="00ED3C1A"/>
    <w:rsid w:val="00ED484E"/>
    <w:rsid w:val="00ED733A"/>
    <w:rsid w:val="00EE59D3"/>
    <w:rsid w:val="00EE6773"/>
    <w:rsid w:val="00EE7050"/>
    <w:rsid w:val="00EF672B"/>
    <w:rsid w:val="00EF789C"/>
    <w:rsid w:val="00F01860"/>
    <w:rsid w:val="00F02197"/>
    <w:rsid w:val="00F03549"/>
    <w:rsid w:val="00F047D5"/>
    <w:rsid w:val="00F25ECC"/>
    <w:rsid w:val="00F32997"/>
    <w:rsid w:val="00F34231"/>
    <w:rsid w:val="00F40C85"/>
    <w:rsid w:val="00F506A3"/>
    <w:rsid w:val="00F544AB"/>
    <w:rsid w:val="00F62695"/>
    <w:rsid w:val="00F62771"/>
    <w:rsid w:val="00F73B5F"/>
    <w:rsid w:val="00F879F3"/>
    <w:rsid w:val="00F9150D"/>
    <w:rsid w:val="00F93C71"/>
    <w:rsid w:val="00F95913"/>
    <w:rsid w:val="00FA393D"/>
    <w:rsid w:val="00FA4637"/>
    <w:rsid w:val="00FC0BD8"/>
    <w:rsid w:val="00FC3CFC"/>
    <w:rsid w:val="00FC47FC"/>
    <w:rsid w:val="00FC4822"/>
    <w:rsid w:val="00FC585C"/>
    <w:rsid w:val="00FD2011"/>
    <w:rsid w:val="00FD4B43"/>
    <w:rsid w:val="00FD4B4D"/>
    <w:rsid w:val="00FE1314"/>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7D5"/>
    <w:rPr>
      <w:vertAlign w:val="superscript"/>
    </w:rPr>
  </w:style>
  <w:style w:type="paragraph" w:styleId="FootnoteText">
    <w:name w:val="footnote text"/>
    <w:basedOn w:val="Normal"/>
    <w:link w:val="FootnoteTextChar"/>
    <w:uiPriority w:val="99"/>
    <w:unhideWhenUsed/>
    <w:rsid w:val="00CC28B2"/>
    <w:pPr>
      <w:spacing w:after="120"/>
      <w:jc w:val="both"/>
    </w:pPr>
    <w:rPr>
      <w:szCs w:val="20"/>
    </w:rPr>
  </w:style>
  <w:style w:type="character" w:customStyle="1" w:styleId="FootnoteTextChar">
    <w:name w:val="Footnote Text Char"/>
    <w:basedOn w:val="DefaultParagraphFont"/>
    <w:link w:val="FootnoteText"/>
    <w:uiPriority w:val="99"/>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4BB1-37B2-4192-8AA2-784D1B2A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D4D62684.dotm</Template>
  <TotalTime>0</TotalTime>
  <Pages>228</Pages>
  <Words>65981</Words>
  <Characters>351342</Characters>
  <Application>Microsoft Office Word</Application>
  <DocSecurity>0</DocSecurity>
  <Lines>2927</Lines>
  <Paragraphs>832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2018-11-20T14:22:00Z</dcterms:created>
  <dcterms:modified xsi:type="dcterms:W3CDTF">2018-11-20T21:31:00Z</dcterms:modified>
</cp:coreProperties>
</file>