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AC5" w14:textId="77777777" w:rsidR="00A610BD" w:rsidRDefault="00A610BD">
      <w:pPr>
        <w:tabs>
          <w:tab w:val="center" w:pos="4680"/>
        </w:tabs>
        <w:jc w:val="both"/>
      </w:pPr>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lastRenderedPageBreak/>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lastRenderedPageBreak/>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17"/>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rPr>
        <w:footnoteReference w:id="3"/>
      </w:r>
    </w:p>
    <w:p w14:paraId="71099CDC" w14:textId="028D2BF6" w:rsidR="00F95913" w:rsidRDefault="00F95913">
      <w:pPr>
        <w:tabs>
          <w:tab w:val="center" w:pos="4680"/>
        </w:tabs>
        <w:jc w:val="both"/>
        <w:rPr>
          <w:b/>
          <w:bCs/>
          <w:sz w:val="28"/>
          <w:szCs w:val="28"/>
        </w:rPr>
      </w:pPr>
    </w:p>
    <w:p w14:paraId="7CDC311D" w14:textId="77777777" w:rsidR="00483A85" w:rsidRDefault="00483A85">
      <w:pPr>
        <w:tabs>
          <w:tab w:val="center" w:pos="4680"/>
        </w:tabs>
        <w:jc w:val="both"/>
        <w:rPr>
          <w:b/>
          <w:bCs/>
          <w:sz w:val="28"/>
          <w:szCs w:val="28"/>
        </w:rPr>
      </w:pPr>
    </w:p>
    <w:p w14:paraId="3B245519" w14:textId="77777777" w:rsidR="005A014B" w:rsidRPr="00483A85" w:rsidRDefault="005A014B" w:rsidP="005A014B">
      <w:pPr>
        <w:tabs>
          <w:tab w:val="center" w:pos="4680"/>
        </w:tabs>
        <w:jc w:val="both"/>
        <w:rPr>
          <w:b/>
          <w:bCs/>
          <w:sz w:val="28"/>
          <w:szCs w:val="28"/>
        </w:rPr>
      </w:pPr>
      <w:r w:rsidRPr="00483A85">
        <w:rPr>
          <w:b/>
          <w:bCs/>
          <w:sz w:val="28"/>
          <w:szCs w:val="28"/>
        </w:rPr>
        <w:t>Comment</w:t>
      </w:r>
    </w:p>
    <w:p w14:paraId="7BE17F03" w14:textId="77777777" w:rsidR="005A014B" w:rsidRPr="005A014B" w:rsidRDefault="005A014B" w:rsidP="005A014B">
      <w:pPr>
        <w:tabs>
          <w:tab w:val="center" w:pos="4680"/>
        </w:tabs>
        <w:jc w:val="both"/>
        <w:rPr>
          <w:b/>
          <w:bCs/>
          <w:sz w:val="28"/>
          <w:szCs w:val="28"/>
          <w:u w:val="single"/>
        </w:rPr>
      </w:pPr>
    </w:p>
    <w:p w14:paraId="14D29B9D" w14:textId="77777777" w:rsidR="005A014B" w:rsidRPr="00EA2605" w:rsidRDefault="005A014B" w:rsidP="00EA2605">
      <w:pPr>
        <w:ind w:firstLine="720"/>
        <w:jc w:val="both"/>
      </w:pPr>
      <w:r w:rsidRPr="00EA2605">
        <w:lastRenderedPageBreak/>
        <w:t>The instructions in this Chapter address Section 1983 claims other than employment claims; as to employment claims, see Chapter Seven.  These instructions address the elements of Section 1983 claims generally</w:t>
      </w:r>
      <w:r w:rsidRPr="00EA2605">
        <w:rPr>
          <w:vertAlign w:val="superscript"/>
        </w:rPr>
        <w:footnoteReference w:id="4"/>
      </w:r>
      <w:r w:rsidRPr="00EA2605">
        <w:rPr>
          <w:vertAlign w:val="superscript"/>
        </w:rPr>
        <w:t xml:space="preserve"> </w:t>
      </w:r>
      <w:r w:rsidRPr="00EA2605">
        <w:t>and of a few pertinent defenses.</w:t>
      </w:r>
      <w:r w:rsidRPr="00EA2605">
        <w:rPr>
          <w:vertAlign w:val="superscript"/>
        </w:rPr>
        <w:footnoteReference w:id="5"/>
      </w:r>
      <w:r w:rsidRPr="00EA2605">
        <w:rPr>
          <w:vertAlign w:val="superscript"/>
        </w:rPr>
        <w:t xml:space="preserve"> </w:t>
      </w:r>
      <w:r w:rsidRPr="00EA2605">
        <w:t xml:space="preserve"> After covering topics concerning damages,</w:t>
      </w:r>
      <w:r w:rsidRPr="00EA2605">
        <w:rPr>
          <w:vertAlign w:val="superscript"/>
        </w:rPr>
        <w:footnoteReference w:id="6"/>
      </w:r>
      <w:r w:rsidRPr="00EA2605">
        <w:rPr>
          <w:vertAlign w:val="superscript"/>
        </w:rPr>
        <w:t xml:space="preserve"> </w:t>
      </w:r>
      <w:r w:rsidRPr="00EA2605">
        <w:t>the instructions also address the elements of particular types of constitutional violations that might give rise to a Section 1983 claim.</w:t>
      </w:r>
      <w:r w:rsidRPr="00EA2605">
        <w:rPr>
          <w:vertAlign w:val="superscript"/>
        </w:rPr>
        <w:footnoteReference w:id="7"/>
      </w:r>
      <w:r w:rsidRPr="00EA2605">
        <w:rPr>
          <w:vertAlign w:val="superscript"/>
        </w:rPr>
        <w:t xml:space="preserve"> </w:t>
      </w:r>
      <w:r w:rsidRPr="00EA2605">
        <w:t xml:space="preserve"> The instructions also address a few related topics such as burdens of proof.</w:t>
      </w:r>
      <w:r w:rsidRPr="00EA2605">
        <w:rPr>
          <w:vertAlign w:val="superscript"/>
        </w:rPr>
        <w:footnoteReference w:id="8"/>
      </w:r>
      <w:r w:rsidRPr="00EA2605">
        <w:rPr>
          <w:vertAlign w:val="superscript"/>
        </w:rPr>
        <w:t xml:space="preserve">  </w:t>
      </w:r>
      <w:r w:rsidRPr="00EA2605">
        <w:t>The instructions generally do not focus on procedural matters that would not affect how the jury is instructed.</w:t>
      </w:r>
      <w:r w:rsidRPr="00EA2605">
        <w:rPr>
          <w:vertAlign w:val="superscript"/>
        </w:rPr>
        <w:footnoteReference w:id="9"/>
      </w:r>
    </w:p>
    <w:p w14:paraId="713ABAC2" w14:textId="77777777" w:rsidR="005A014B" w:rsidRDefault="005A014B">
      <w:pPr>
        <w:tabs>
          <w:tab w:val="center" w:pos="4680"/>
        </w:tabs>
        <w:jc w:val="both"/>
        <w:rPr>
          <w:b/>
          <w:bCs/>
          <w:sz w:val="28"/>
          <w:szCs w:val="28"/>
        </w:rPr>
        <w:sectPr w:rsidR="005A014B"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lastRenderedPageBreak/>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rPr>
        <w:footnoteReference w:id="10"/>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 xml:space="preserve">to leave open the issue of the burden of persuasion, as opposed to the burden of pleading, with respect </w:t>
      </w:r>
      <w:r>
        <w:lastRenderedPageBreak/>
        <w:t>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N.J., 860 F.2d 1199, 1204 n.9 (3d Cir. 1988) (same).  However, some other Third Circuit opinions suggest that the burden of proof regarding qualified immunity may vary with the element in question.</w:t>
      </w:r>
      <w:r>
        <w:rPr>
          <w:rStyle w:val="FootnoteReference"/>
        </w:rPr>
        <w:footnoteReference w:id="11"/>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rPr>
        <w:footnoteReference w:id="12"/>
      </w:r>
    </w:p>
    <w:p w14:paraId="16CF7351" w14:textId="77777777" w:rsidR="00A610BD" w:rsidRDefault="00A610BD">
      <w:pPr>
        <w:jc w:val="both"/>
      </w:pPr>
    </w:p>
    <w:p w14:paraId="2F879776" w14:textId="77777777" w:rsidR="00A610BD" w:rsidRDefault="00A610BD">
      <w:pPr>
        <w:ind w:firstLine="720"/>
        <w:jc w:val="both"/>
      </w:pPr>
      <w:r>
        <w:t xml:space="preserve">As noted in Comment 4.7.2, a jury question concerning qualified immunity will arise only when there are material questions of historical fact.  The court should submit the questions of historical fact to the jury by means of special interrogatories; the court </w:t>
      </w:r>
      <w:r>
        <w:lastRenderedPageBreak/>
        <w:t>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lastRenderedPageBreak/>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xml:space="preserve">, Ninth Circuit Civil Instruction 11.1.  It is not clear, however, that the elements instruction is </w:t>
      </w:r>
      <w:r>
        <w:lastRenderedPageBreak/>
        <w:t>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rPr>
        <w:footnoteReference w:id="13"/>
      </w:r>
      <w:r>
        <w:t xml:space="preserve"> additional instructions will be necessary.  </w:t>
      </w:r>
      <w:r>
        <w:rPr>
          <w:i/>
          <w:iCs/>
        </w:rPr>
        <w:t>See, e.g.</w:t>
      </w:r>
      <w:r>
        <w:t xml:space="preserve">,  </w:t>
      </w:r>
      <w:r>
        <w:rPr>
          <w:i/>
          <w:iCs/>
        </w:rPr>
        <w:t xml:space="preserve">Ridgewood Bd. of Educ. </w:t>
      </w:r>
      <w:r>
        <w:rPr>
          <w:i/>
          <w:iCs/>
        </w:rPr>
        <w:lastRenderedPageBreak/>
        <w:t>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w:t>
      </w:r>
      <w:r w:rsidR="001B783C">
        <w:t xml:space="preserve"> </w:t>
      </w:r>
      <w:r>
        <w:t>Supp.</w:t>
      </w:r>
      <w:r w:rsidR="001B783C">
        <w:t xml:space="preserve"> </w:t>
      </w:r>
      <w:r>
        <w:t>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rPr>
        <w:footnoteReference w:id="14"/>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lastRenderedPageBreak/>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32B3AAD5" w:rsidR="00A610BD" w:rsidRDefault="0076126A">
      <w:pPr>
        <w:ind w:firstLine="720"/>
        <w:jc w:val="both"/>
      </w:pPr>
      <w:r>
        <w:lastRenderedPageBreak/>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rPr>
        <w:footnoteReference w:id="15"/>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8B1545">
        <w:t xml:space="preserve"> </w:t>
      </w:r>
      <w:r>
        <w:t>“</w:t>
      </w:r>
      <w:r w:rsidR="00A610BD">
        <w:t>merely private conduct, no matter how discriminatory or wrongful.</w:t>
      </w:r>
      <w:r>
        <w:t>”</w:t>
      </w:r>
      <w:r w:rsidR="008B1545">
        <w:t xml:space="preserve"> </w:t>
      </w:r>
      <w:r>
        <w:t>’</w:t>
      </w:r>
      <w:r w:rsidR="008B1545">
        <w:t xml:space="preserve"> </w:t>
      </w:r>
      <w:r>
        <w:t>”</w:t>
      </w:r>
      <w:r w:rsidR="00A610BD">
        <w:t xml:space="preserve">  </w:t>
      </w:r>
      <w:r w:rsidR="00A610BD">
        <w:rPr>
          <w:i/>
          <w:iCs/>
        </w:rPr>
        <w:t>American Mfrs. Mut. Ins. Co. v. Sullivan</w:t>
      </w:r>
      <w:r w:rsidR="00A610BD">
        <w:t xml:space="preserve">, 526 U.S. 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8B1545">
        <w:t xml:space="preserve"> </w:t>
      </w:r>
      <w:r>
        <w:t>”</w:t>
      </w:r>
      <w:r w:rsidR="00A610BD">
        <w:rPr>
          <w:i/>
          <w:iCs/>
        </w:rPr>
        <w:t xml:space="preserve"> National Collegiate Athletic Ass</w:t>
      </w:r>
      <w:r w:rsidR="00E4197A">
        <w:rPr>
          <w:i/>
          <w:iCs/>
        </w:rPr>
        <w:t>’</w:t>
      </w:r>
      <w:r w:rsidR="00A610BD">
        <w:rPr>
          <w:i/>
          <w:iCs/>
        </w:rPr>
        <w:t>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8B1545">
        <w:t xml:space="preserve"> </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rPr>
        <w:footnoteReference w:id="16"/>
      </w:r>
    </w:p>
    <w:p w14:paraId="41E12164" w14:textId="77777777" w:rsidR="00A610BD" w:rsidRDefault="00A610BD">
      <w:pPr>
        <w:jc w:val="both"/>
      </w:pPr>
    </w:p>
    <w:p w14:paraId="626C1F2A" w14:textId="54A02EE7" w:rsidR="00F715E9" w:rsidRDefault="00A610BD" w:rsidP="00F715E9">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47 F.3d 628, 638 (3d Cir. 1995).</w:t>
      </w:r>
      <w:r w:rsidR="00F715E9">
        <w:t xml:space="preserve"> </w:t>
      </w:r>
      <w:r w:rsidR="00F715E9" w:rsidRPr="00C10C0E">
        <w:rPr>
          <w:i/>
        </w:rPr>
        <w:t>See also Manhattan Cmty. Access Corp. v. Halleck</w:t>
      </w:r>
      <w:r w:rsidR="00F715E9" w:rsidRPr="00C10C0E">
        <w:t xml:space="preserve">, 139 S. Ct. 1921, 1934 (2019) (holding that </w:t>
      </w:r>
      <w:r w:rsidR="00F715E9" w:rsidRPr="00C10C0E">
        <w:lastRenderedPageBreak/>
        <w:t>the operator of public access channels on a cable television system was not a state actor, while noting that the result might be different if a local government itself operated public access channels on a local cable system or obtained a property interest in the public access channels).</w:t>
      </w:r>
      <w:r w:rsidR="00F715E9" w:rsidRPr="00F715E9">
        <w:t xml:space="preserve">  </w:t>
      </w:r>
    </w:p>
    <w:p w14:paraId="20342E5C" w14:textId="77777777" w:rsidR="00F715E9" w:rsidRPr="00F715E9" w:rsidRDefault="00F715E9" w:rsidP="00F715E9">
      <w:pPr>
        <w:ind w:firstLine="720"/>
        <w:jc w:val="both"/>
      </w:pPr>
    </w:p>
    <w:p w14:paraId="74CAD7D0" w14:textId="77777777" w:rsidR="00A610BD" w:rsidRDefault="00A610BD">
      <w:pPr>
        <w:ind w:firstLine="720"/>
        <w:jc w:val="both"/>
      </w:pPr>
      <w:r>
        <w:t xml:space="preserve">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2F43936C"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sidR="008B1545">
        <w:t xml:space="preserve"> </w:t>
      </w:r>
      <w:r w:rsidR="0076126A">
        <w:t>”</w:t>
      </w:r>
      <w:r>
        <w:rPr>
          <w:rStyle w:val="FootnoteReference"/>
        </w:rPr>
        <w:footnoteReference w:id="17"/>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rPr>
        <w:footnoteReference w:id="18"/>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rPr>
        <w:footnoteReference w:id="19"/>
      </w:r>
    </w:p>
    <w:p w14:paraId="0819A17C" w14:textId="77777777" w:rsidR="00016403" w:rsidRDefault="0076126A" w:rsidP="00016403">
      <w:pPr>
        <w:pStyle w:val="ListParagraph"/>
        <w:numPr>
          <w:ilvl w:val="0"/>
          <w:numId w:val="1"/>
        </w:numPr>
        <w:jc w:val="both"/>
      </w:pPr>
      <w:r>
        <w:lastRenderedPageBreak/>
        <w:t>A finding that the government “</w:t>
      </w:r>
      <w:r w:rsidR="00A610BD">
        <w:t>knowingly accept[ed] the benefits derived from unconstitutional behavior.</w:t>
      </w:r>
      <w:r>
        <w:t>”</w:t>
      </w:r>
      <w:r w:rsidR="00A610BD">
        <w:rPr>
          <w:rStyle w:val="FootnoteReference"/>
        </w:rPr>
        <w:footnoteReference w:id="20"/>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rPr>
        <w:footnoteReference w:id="21"/>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3E437C3F" w:rsidR="00016403" w:rsidRDefault="00A610BD" w:rsidP="00016403">
      <w:pPr>
        <w:pStyle w:val="ListParagraph"/>
        <w:numPr>
          <w:ilvl w:val="0"/>
          <w:numId w:val="1"/>
        </w:numPr>
        <w:jc w:val="both"/>
      </w:pPr>
      <w:r>
        <w:t xml:space="preserve">A finding that the action </w:t>
      </w:r>
      <w:r w:rsidR="0076126A">
        <w:t>“</w:t>
      </w:r>
      <w:r w:rsidR="008B1545">
        <w:t xml:space="preserve"> </w:t>
      </w:r>
      <w:r w:rsidR="0076126A">
        <w:t>‘</w:t>
      </w:r>
      <w:r>
        <w:t xml:space="preserve">result[ed] from the State's exercise of </w:t>
      </w:r>
      <w:r w:rsidR="0076126A">
        <w:t>“</w:t>
      </w:r>
      <w:r>
        <w:t>coercive power.</w:t>
      </w:r>
      <w:r w:rsidR="0076126A">
        <w:t>”</w:t>
      </w:r>
      <w:r w:rsidR="008B1545">
        <w:t xml:space="preserve"> </w:t>
      </w:r>
      <w:r w:rsidR="0076126A">
        <w:t>’</w:t>
      </w:r>
      <w:r w:rsidR="008B1545">
        <w:t xml:space="preserve"> </w:t>
      </w:r>
      <w:r w:rsidR="0076126A">
        <w:t>”</w:t>
      </w:r>
      <w:r>
        <w:rPr>
          <w:rStyle w:val="FootnoteReference"/>
        </w:rPr>
        <w:footnoteReference w:id="22"/>
      </w:r>
    </w:p>
    <w:p w14:paraId="6EADB915" w14:textId="77777777" w:rsidR="00016403" w:rsidRDefault="00016403" w:rsidP="00016403">
      <w:pPr>
        <w:pStyle w:val="ListParagraph"/>
        <w:jc w:val="both"/>
      </w:pPr>
    </w:p>
    <w:p w14:paraId="19A23BBD" w14:textId="31AD863F"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8B1545" w:rsidRPr="008B1545">
        <w:t xml:space="preserve"> </w:t>
      </w:r>
      <w:r w:rsidR="008B1545">
        <w:t>” ’ ”</w:t>
      </w:r>
      <w:r>
        <w:rPr>
          <w:rStyle w:val="FootnoteReference"/>
        </w:rPr>
        <w:footnoteReference w:id="23"/>
      </w:r>
    </w:p>
    <w:p w14:paraId="7FDA84B8" w14:textId="77777777" w:rsidR="00016403" w:rsidRDefault="00016403" w:rsidP="00016403">
      <w:pPr>
        <w:pStyle w:val="ListParagraph"/>
        <w:jc w:val="both"/>
      </w:pPr>
    </w:p>
    <w:p w14:paraId="7D22767C" w14:textId="6903E2B2"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rsidR="008B1545" w:rsidRPr="008B1545">
        <w:t xml:space="preserve"> </w:t>
      </w:r>
      <w:r w:rsidR="008B1545">
        <w:t>” ’ ”</w:t>
      </w:r>
      <w:r w:rsidR="00A610BD">
        <w:rPr>
          <w:rStyle w:val="FootnoteReference"/>
        </w:rPr>
        <w:footnoteReference w:id="24"/>
      </w:r>
    </w:p>
    <w:p w14:paraId="2E2865C3" w14:textId="77777777" w:rsidR="00016403" w:rsidRDefault="00016403" w:rsidP="00016403">
      <w:pPr>
        <w:pStyle w:val="ListParagraph"/>
        <w:jc w:val="both"/>
      </w:pPr>
    </w:p>
    <w:p w14:paraId="50977473" w14:textId="6D2D19EC" w:rsidR="001D6838" w:rsidRDefault="00A610BD" w:rsidP="001D6838">
      <w:pPr>
        <w:pStyle w:val="ListParagraph"/>
        <w:numPr>
          <w:ilvl w:val="0"/>
          <w:numId w:val="1"/>
        </w:numPr>
        <w:jc w:val="both"/>
      </w:pPr>
      <w:r>
        <w:t xml:space="preserve">A finding that </w:t>
      </w:r>
      <w:r w:rsidR="0076126A">
        <w:t>“‘</w:t>
      </w:r>
      <w:r>
        <w:t>a nominally private entity . . . has been delegated a public function by the State.</w:t>
      </w:r>
      <w:r w:rsidR="0076126A">
        <w:t>’</w:t>
      </w:r>
      <w:r w:rsidR="008B1545">
        <w:t xml:space="preserve"> </w:t>
      </w:r>
      <w:r w:rsidR="0076126A">
        <w:t>”</w:t>
      </w:r>
      <w:r>
        <w:rPr>
          <w:rStyle w:val="FootnoteReference"/>
        </w:rPr>
        <w:footnoteReference w:id="25"/>
      </w:r>
    </w:p>
    <w:p w14:paraId="0337D239" w14:textId="77777777" w:rsidR="001D6838" w:rsidRDefault="001D6838" w:rsidP="001D6838">
      <w:pPr>
        <w:pStyle w:val="ListParagraph"/>
      </w:pPr>
    </w:p>
    <w:p w14:paraId="23EDB5AD" w14:textId="5AC87A20" w:rsidR="00A610BD" w:rsidRDefault="00A610BD" w:rsidP="00016403">
      <w:pPr>
        <w:pStyle w:val="ListParagraph"/>
        <w:numPr>
          <w:ilvl w:val="0"/>
          <w:numId w:val="1"/>
        </w:numPr>
        <w:jc w:val="both"/>
      </w:pPr>
      <w:r>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8B1545" w:rsidRPr="008B1545">
        <w:t xml:space="preserve"> </w:t>
      </w:r>
      <w:r w:rsidR="008B1545">
        <w:t>” ’ ”</w:t>
      </w:r>
      <w:r w:rsidR="001D6838">
        <w:rPr>
          <w:rStyle w:val="FootnoteReference"/>
        </w:rPr>
        <w:footnoteReference w:id="26"/>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lastRenderedPageBreak/>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lastRenderedPageBreak/>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21545D4C" w:rsidR="00A610BD" w:rsidRDefault="00417646">
      <w:pPr>
        <w:ind w:firstLine="720"/>
        <w:jc w:val="both"/>
      </w:pPr>
      <w:r>
        <w:lastRenderedPageBreak/>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F879F3">
        <w:rPr>
          <w:rStyle w:val="FootnoteReference"/>
        </w:rPr>
        <w:footnoteReference w:id="27"/>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rPr>
        <w:footnoteReference w:id="28"/>
      </w:r>
      <w:r w:rsidR="00A610BD">
        <w:t xml:space="preserve"> whether such a defendant was acting under color of state law.</w:t>
      </w:r>
      <w:r w:rsidR="00A610BD">
        <w:rPr>
          <w:rStyle w:val="FootnoteReference"/>
        </w:rPr>
        <w:footnoteReference w:id="29"/>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rPr>
        <w:footnoteReference w:id="30"/>
      </w:r>
      <w:r>
        <w:t xml:space="preserve">  The court should list any relevant factors </w:t>
      </w:r>
      <w:r>
        <w:lastRenderedPageBreak/>
        <w:t>in Instruction 4.4.2.  In the case of a police officer defendant, factors could include:</w:t>
      </w:r>
    </w:p>
    <w:p w14:paraId="5A0C2A02" w14:textId="77777777" w:rsidR="00A610BD" w:rsidRDefault="00A610BD">
      <w:pPr>
        <w:jc w:val="both"/>
      </w:pPr>
    </w:p>
    <w:p w14:paraId="1FB4644C" w14:textId="6D36963F" w:rsidR="006043E4" w:rsidRDefault="00A610BD" w:rsidP="006043E4">
      <w:pPr>
        <w:pStyle w:val="ListParagraph"/>
        <w:numPr>
          <w:ilvl w:val="0"/>
          <w:numId w:val="2"/>
        </w:numPr>
        <w:jc w:val="both"/>
      </w:pPr>
      <w:r>
        <w:t>Whether the defendant was on duty.</w:t>
      </w:r>
      <w:r>
        <w:rPr>
          <w:rStyle w:val="FootnoteReference"/>
        </w:rPr>
        <w:footnoteReference w:id="31"/>
      </w:r>
      <w:r>
        <w:t xml:space="preserve">  This factor is relevant but not determinative.  An off-duty officer who purports to exercise official authority acts under color of state law.</w:t>
      </w:r>
      <w:r>
        <w:rPr>
          <w:rStyle w:val="FootnoteReference"/>
        </w:rPr>
        <w:footnoteReference w:id="32"/>
      </w:r>
      <w:r>
        <w:t xml:space="preserve">  Conversely, an officer who is pursuing purely private motives, in an interaction unconnected with his or her official duties, and who does not purport to exercise official authority does not act under color of state </w:t>
      </w:r>
      <w:r>
        <w:lastRenderedPageBreak/>
        <w:t>law.</w:t>
      </w:r>
      <w:r>
        <w:rPr>
          <w:rStyle w:val="FootnoteReference"/>
        </w:rPr>
        <w:footnoteReference w:id="33"/>
      </w:r>
    </w:p>
    <w:p w14:paraId="622EE340" w14:textId="77777777" w:rsidR="001A0B9C" w:rsidRDefault="001A0B9C" w:rsidP="001A0B9C">
      <w:pPr>
        <w:pStyle w:val="ListParagraph"/>
        <w:jc w:val="both"/>
      </w:pP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rPr>
        <w:footnoteReference w:id="34"/>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35"/>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lastRenderedPageBreak/>
        <w:t>Whether the defendant</w:t>
      </w:r>
      <w:r w:rsidR="000D09A4">
        <w:t>’</w:t>
      </w:r>
      <w:r>
        <w:t>s actions were related to his or her job as a police officer.</w:t>
      </w:r>
      <w:r>
        <w:rPr>
          <w:rStyle w:val="FootnoteReference"/>
        </w:rPr>
        <w:footnoteReference w:id="36"/>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rPr>
        <w:footnoteReference w:id="37"/>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rPr>
        <w:footnoteReference w:id="38"/>
      </w:r>
    </w:p>
    <w:p w14:paraId="5BD11C27" w14:textId="77777777" w:rsidR="006043E4" w:rsidRDefault="00A610BD" w:rsidP="006043E4">
      <w:pPr>
        <w:pStyle w:val="ListParagraph"/>
        <w:numPr>
          <w:ilvl w:val="0"/>
          <w:numId w:val="2"/>
        </w:numPr>
        <w:jc w:val="both"/>
      </w:pPr>
      <w:r>
        <w:t>Whether the defendant was wearing police clothing.</w:t>
      </w:r>
      <w:r>
        <w:rPr>
          <w:rStyle w:val="FootnoteReference"/>
        </w:rPr>
        <w:footnoteReference w:id="39"/>
      </w:r>
    </w:p>
    <w:p w14:paraId="0031F41D" w14:textId="77777777" w:rsidR="006043E4" w:rsidRDefault="006043E4" w:rsidP="006043E4">
      <w:pPr>
        <w:pStyle w:val="ListParagraph"/>
        <w:jc w:val="both"/>
      </w:pPr>
    </w:p>
    <w:p w14:paraId="176EBE40" w14:textId="112F5EC1" w:rsidR="006043E4" w:rsidRDefault="00A610BD" w:rsidP="006043E4">
      <w:pPr>
        <w:pStyle w:val="ListParagraph"/>
        <w:numPr>
          <w:ilvl w:val="0"/>
          <w:numId w:val="2"/>
        </w:numPr>
        <w:jc w:val="both"/>
      </w:pPr>
      <w:r>
        <w:t>Whether the defendant showed a badge.</w:t>
      </w:r>
      <w:r>
        <w:rPr>
          <w:rStyle w:val="FootnoteReference"/>
        </w:rPr>
        <w:footnoteReference w:id="40"/>
      </w:r>
    </w:p>
    <w:p w14:paraId="7E77E1C8" w14:textId="77777777" w:rsidR="001A0B9C" w:rsidRDefault="001A0B9C" w:rsidP="001A0B9C">
      <w:pPr>
        <w:pStyle w:val="ListParagraph"/>
      </w:pP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rPr>
        <w:footnoteReference w:id="41"/>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rPr>
        <w:footnoteReference w:id="42"/>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rPr>
        <w:footnoteReference w:id="43"/>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rPr>
        <w:footnoteReference w:id="44"/>
      </w:r>
      <w:r>
        <w:t xml:space="preserve">  This factor is relevant but not determinative.  An off-duty official who purports to exercise official authority acts under color of state law.</w:t>
      </w:r>
      <w:r>
        <w:rPr>
          <w:rStyle w:val="FootnoteReference"/>
        </w:rPr>
        <w:footnoteReference w:id="45"/>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rPr>
        <w:footnoteReference w:id="46"/>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rPr>
        <w:footnoteReference w:id="47"/>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rPr>
        <w:footnoteReference w:id="48"/>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rPr>
        <w:footnoteReference w:id="49"/>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rPr>
        <w:footnoteReference w:id="50"/>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rPr>
        <w:footnoteReference w:id="51"/>
      </w:r>
    </w:p>
    <w:p w14:paraId="735B2513" w14:textId="77777777" w:rsidR="006043E4" w:rsidRDefault="00A610BD" w:rsidP="006043E4">
      <w:pPr>
        <w:pStyle w:val="ListParagraph"/>
        <w:numPr>
          <w:ilvl w:val="0"/>
          <w:numId w:val="3"/>
        </w:numPr>
        <w:jc w:val="both"/>
      </w:pPr>
      <w:r>
        <w:t>Whether the defendant showed a badge.</w:t>
      </w:r>
      <w:r>
        <w:rPr>
          <w:rStyle w:val="FootnoteReference"/>
        </w:rPr>
        <w:footnoteReference w:id="52"/>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487C8D0F"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sidR="0077488E">
        <w:rPr>
          <w:b/>
          <w:bCs/>
          <w:sz w:val="28"/>
          <w:szCs w:val="28"/>
        </w:rPr>
        <w:t>–</w:t>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lastRenderedPageBreak/>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lastRenderedPageBreak/>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lastRenderedPageBreak/>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rPr>
        <w:footnoteReference w:id="53"/>
      </w:r>
      <w:r>
        <w:t xml:space="preserve">  There is some doubt whether a private entity can be held liable under Section 1983 on a theory of respondeat superior.</w:t>
      </w:r>
      <w:r>
        <w:rPr>
          <w:rStyle w:val="FootnoteReference"/>
        </w:rPr>
        <w:footnoteReference w:id="54"/>
      </w:r>
      <w:r>
        <w:t xml:space="preserve">  However, even if respondeat superior liability is unavailable, a private entity </w:t>
      </w:r>
      <w:r>
        <w:lastRenderedPageBreak/>
        <w:t>should be liable for its employee</w:t>
      </w:r>
      <w:r w:rsidR="000D09A4">
        <w:t>’</w:t>
      </w:r>
      <w:r>
        <w:t>s violation if a municipal employer would incur Section 1983 liability under similar circumstances.</w:t>
      </w:r>
      <w:r>
        <w:rPr>
          <w:rStyle w:val="FootnoteReference"/>
        </w:rPr>
        <w:footnoteReference w:id="55"/>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rPr>
        <w:footnoteReference w:id="56"/>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rPr>
        <w:footnoteReference w:id="57"/>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rPr>
        <w:footnoteReference w:id="58"/>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rPr>
        <w:footnoteReference w:id="59"/>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rPr>
        <w:footnoteReference w:id="60"/>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had previously been in use in the Third Circuit.</w:t>
      </w:r>
      <w:r w:rsidRPr="00650F70">
        <w:rPr>
          <w:rStyle w:val="FootnoteReference"/>
        </w:rPr>
        <w:footnoteReference w:id="61"/>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rPr>
        <w:footnoteReference w:id="62"/>
      </w:r>
      <w:r w:rsidRPr="00650F70">
        <w:t xml:space="preserve"> and a deliberate-indifference theory</w:t>
      </w:r>
      <w:r w:rsidR="00640B5E">
        <w:t xml:space="preserve"> – </w:t>
      </w:r>
      <w:r w:rsidRPr="00650F70">
        <w:t xml:space="preserve">were invoked by the plaintiff and the 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rPr>
        <w:footnoteReference w:id="63"/>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rPr>
        <w:footnoteReference w:id="64"/>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It left for another day the question whether and under what 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3911602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C10C0E">
        <w:t>.</w:t>
      </w:r>
      <w:r w:rsidR="00F715E9" w:rsidRPr="00C10C0E">
        <w:rPr>
          <w:i/>
        </w:rPr>
        <w:t xml:space="preserve"> See also</w:t>
      </w:r>
      <w:r w:rsidR="00F715E9" w:rsidRPr="00C10C0E">
        <w:t xml:space="preserve"> </w:t>
      </w:r>
      <w:r w:rsidR="00F715E9" w:rsidRPr="00C10C0E">
        <w:rPr>
          <w:i/>
        </w:rPr>
        <w:t>E. D. v. Sharkey</w:t>
      </w:r>
      <w:r w:rsidR="00F715E9" w:rsidRPr="00C10C0E">
        <w:t xml:space="preserve">, </w:t>
      </w:r>
      <w:bookmarkStart w:id="1" w:name="_Hlk15894322"/>
      <w:r w:rsidR="00E77E6F">
        <w:t xml:space="preserve">928 F.3d 299, 309 </w:t>
      </w:r>
      <w:r w:rsidR="00F715E9" w:rsidRPr="00C10C0E">
        <w:t>(3d Cir.</w:t>
      </w:r>
      <w:r w:rsidR="00E77E6F">
        <w:t xml:space="preserve"> </w:t>
      </w:r>
      <w:r w:rsidR="00F715E9" w:rsidRPr="00C10C0E">
        <w:t xml:space="preserve">2019) </w:t>
      </w:r>
      <w:bookmarkEnd w:id="1"/>
      <w:r w:rsidR="00F715E9" w:rsidRPr="00C10C0E">
        <w:t>(holding that “there is enough evidence to support an inference that the Defendants knew of the risk facing [an immigration detainee], and that their failure to take additional steps to protect her</w:t>
      </w:r>
      <w:r w:rsidR="00E77E6F">
        <w:t>—</w:t>
      </w:r>
      <w:r w:rsidR="00F715E9" w:rsidRPr="00C10C0E">
        <w:t>acting in their capacity as either a co-worker or supervisor</w:t>
      </w:r>
      <w:r w:rsidR="00E77E6F">
        <w:t>—</w:t>
      </w:r>
      <w:r w:rsidR="00F715E9" w:rsidRPr="00C10C0E">
        <w:t>could be viewed by a factfinder as the sort of deliberate indifference to a detainee’s safety that the Constitution forbids”) (internal quotation marks omitted).</w:t>
      </w:r>
      <w:r w:rsidR="00F715E9" w:rsidRPr="00F715E9">
        <w:rPr>
          <w:i/>
        </w:rPr>
        <w:t xml:space="preserve"> </w:t>
      </w:r>
      <w:r w:rsidRPr="007F3DE4">
        <w:rPr>
          <w:i/>
        </w:rPr>
        <w:t xml:space="preserve"> Cf</w:t>
      </w:r>
      <w:r w:rsidRPr="007F3DE4">
        <w:t xml:space="preserve">. </w:t>
      </w:r>
      <w:r w:rsidRPr="007F3DE4">
        <w:rPr>
          <w:i/>
        </w:rPr>
        <w:t>Ziglar v. Abbasi</w:t>
      </w:r>
      <w:r w:rsidRPr="007F3DE4">
        <w:t>, 137 S.</w:t>
      </w:r>
      <w:r w:rsidR="001B783C">
        <w:t xml:space="preserve"> </w:t>
      </w:r>
      <w:r w:rsidRPr="007F3DE4">
        <w:t xml:space="preserve">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441057CC" w:rsidR="00A37B8F" w:rsidRPr="00583F4E" w:rsidRDefault="00A37B8F" w:rsidP="00D741FE">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r w:rsidR="00545968">
        <w:t xml:space="preserve">, </w:t>
      </w:r>
      <w:r w:rsidR="00545968" w:rsidRPr="00C10C0E">
        <w:rPr>
          <w:i/>
        </w:rPr>
        <w:t>overruled on other grounds</w:t>
      </w:r>
      <w:r w:rsidR="00545968" w:rsidRPr="00C10C0E">
        <w:t xml:space="preserve">, </w:t>
      </w:r>
      <w:r w:rsidR="00D741FE" w:rsidRPr="00052A5F">
        <w:rPr>
          <w:i/>
          <w:iCs/>
        </w:rPr>
        <w:t>Mack v. Yost</w:t>
      </w:r>
      <w:r w:rsidR="00D741FE">
        <w:t>, 968 F.3d 311 (3d Cir. 2020)</w:t>
      </w:r>
      <w:r w:rsidRPr="00583F4E">
        <w:t>.</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A55758">
        <w:rPr>
          <w:i/>
        </w:rPr>
        <w:t>See also</w:t>
      </w:r>
      <w:r w:rsidR="00D86B93" w:rsidRPr="00D86B93">
        <w:t xml:space="preserve">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rPr>
        <w:footnoteReference w:id="65"/>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3D2DDE11" w:rsidR="00A610BD" w:rsidRDefault="00A610BD">
      <w:pPr>
        <w:ind w:firstLine="720"/>
        <w:jc w:val="both"/>
      </w:pPr>
      <w:r>
        <w:t>A supervisor with policymaking authority may also, in an appropriate case, be liable based on the failure to adopt a policy.</w:t>
      </w:r>
      <w:r>
        <w:rPr>
          <w:rStyle w:val="FootnoteReference"/>
        </w:rPr>
        <w:footnoteReference w:id="66"/>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8B1545" w:rsidRPr="008B1545">
        <w:t xml:space="preserve"> </w:t>
      </w:r>
      <w:r w:rsidR="008B1545">
        <w:t>’ ”</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47CE7EFB" w14:textId="344A4C49" w:rsidR="00517246" w:rsidRPr="00517246" w:rsidRDefault="00A610BD" w:rsidP="00517246">
      <w:pPr>
        <w:numPr>
          <w:ilvl w:val="12"/>
          <w:numId w:val="0"/>
        </w:numPr>
        <w:spacing w:after="120"/>
        <w:ind w:firstLine="720"/>
        <w:jc w:val="both"/>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 xml:space="preserve">2013) (non-precedential opinion) (reversing grant of judgment as a matter of law because jury could have “reasonably inferred” that officer “must have seen” the beating by other officers “and declined to </w:t>
      </w:r>
      <w:r w:rsidR="00C94BBF" w:rsidRPr="00355C53">
        <w:t>intervene”).</w:t>
      </w:r>
      <w:r w:rsidR="00355C53" w:rsidRPr="00355C53">
        <w:t xml:space="preserve"> </w:t>
      </w:r>
      <w:r w:rsidR="00355C53" w:rsidRPr="00A55758">
        <w:rPr>
          <w:i/>
        </w:rPr>
        <w:t>Cf</w:t>
      </w:r>
      <w:r w:rsidR="00355C53" w:rsidRPr="00355C53">
        <w:t xml:space="preserve">. </w:t>
      </w:r>
      <w:r w:rsidR="00355C53" w:rsidRPr="00D6597B">
        <w:rPr>
          <w:i/>
        </w:rPr>
        <w:t>Ricks v. Shover</w:t>
      </w:r>
      <w:r w:rsidR="00355C53" w:rsidRPr="00D6597B">
        <w:t>, 891 F.3d 468, 479 (3d Cir. 2018) (holding that a failure to intervene claim was properly dismissed because the “encounter was so brief” that the officer “simply would have had no opportunity to instruct” the other officer to stop).</w:t>
      </w:r>
      <w:r w:rsidR="00517246">
        <w:t xml:space="preserve"> </w:t>
      </w:r>
      <w:r w:rsidR="00517246" w:rsidRPr="00C10C0E">
        <w:rPr>
          <w:i/>
        </w:rPr>
        <w:t>See also</w:t>
      </w:r>
      <w:r w:rsidR="00517246" w:rsidRPr="00C10C0E">
        <w:t xml:space="preserve"> </w:t>
      </w:r>
      <w:r w:rsidR="00517246" w:rsidRPr="00C10C0E">
        <w:rPr>
          <w:i/>
        </w:rPr>
        <w:t>E. D. v. Sharkey</w:t>
      </w:r>
      <w:r w:rsidR="00517246" w:rsidRPr="00C10C0E">
        <w:t xml:space="preserve">, </w:t>
      </w:r>
      <w:r w:rsidR="00157DCB" w:rsidRPr="00157DCB">
        <w:t>928 F.3d 299, 309 (3d Cir. 2019)</w:t>
      </w:r>
      <w:r w:rsidR="00157DCB">
        <w:t xml:space="preserve"> </w:t>
      </w:r>
      <w:r w:rsidR="00517246" w:rsidRPr="00C10C0E">
        <w:t>(holding that “there is enough evidence to support an inference that the Defendants knew of the risk facing [an immigration detainee], and that their failure to take additional steps to protect her</w:t>
      </w:r>
      <w:r w:rsidR="00157DCB">
        <w:t>—</w:t>
      </w:r>
      <w:r w:rsidR="00517246" w:rsidRPr="00C10C0E">
        <w:t>acting in their capacity as either a co-worker or supervisor</w:t>
      </w:r>
      <w:r w:rsidR="00157DCB">
        <w:t>—</w:t>
      </w:r>
      <w:r w:rsidR="00517246" w:rsidRPr="00C10C0E">
        <w:t>could be viewed by a factfinder as the sort of deliberate indifference to a detainee’s safety that the Constitution forbids”) (internal quotation marks omitted).</w:t>
      </w:r>
    </w:p>
    <w:p w14:paraId="5145B3A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A093A92" w14:textId="77777777" w:rsidR="00A610BD" w:rsidRDefault="00A610BD">
      <w:pPr>
        <w:tabs>
          <w:tab w:val="center" w:pos="4680"/>
        </w:tabs>
        <w:jc w:val="both"/>
        <w:rPr>
          <w:b/>
          <w:bCs/>
          <w:sz w:val="28"/>
          <w:szCs w:val="28"/>
        </w:rPr>
      </w:pPr>
      <w:r>
        <w:rPr>
          <w:b/>
          <w:bCs/>
          <w:sz w:val="28"/>
          <w:szCs w:val="28"/>
        </w:rPr>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14:paraId="478C2CB2" w14:textId="5138EFE1" w:rsidR="00A610BD" w:rsidRDefault="00A610BD">
      <w:pPr>
        <w:jc w:val="both"/>
      </w:pPr>
      <w:r>
        <w:rPr>
          <w:b/>
          <w:bCs/>
          <w:sz w:val="28"/>
          <w:szCs w:val="28"/>
        </w:rPr>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615942AB"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s] official policy or custom.]</w:t>
      </w:r>
      <w:r w:rsidR="00554ED5">
        <w:rPr>
          <w:rStyle w:val="FootnoteReference"/>
        </w:rPr>
        <w:footnoteReference w:id="67"/>
      </w:r>
      <w:r>
        <w:t xml:space="preserve">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5AB5F4DA" w:rsidR="00A610BD" w:rsidRDefault="00A610BD" w:rsidP="00886831">
      <w:pPr>
        <w:pStyle w:val="ListParagraph"/>
        <w:numPr>
          <w:ilvl w:val="0"/>
          <w:numId w:val="14"/>
        </w:numPr>
        <w:jc w:val="both"/>
      </w:pPr>
      <w:r>
        <w:t>a rule or regulation promulgated, adopted, or ratified by [municipality</w:t>
      </w:r>
      <w:r w:rsidR="000D09A4">
        <w:t>’</w:t>
      </w:r>
      <w:r>
        <w:t>s] legislative body;</w:t>
      </w:r>
    </w:p>
    <w:p w14:paraId="3DB88EE2" w14:textId="77777777" w:rsidR="00A610BD" w:rsidRDefault="00A610BD">
      <w:pPr>
        <w:jc w:val="both"/>
      </w:pPr>
    </w:p>
    <w:p w14:paraId="6C4E5AC0" w14:textId="1EEBCE6A" w:rsidR="00A610BD" w:rsidRDefault="00A610BD" w:rsidP="00886831">
      <w:pPr>
        <w:pStyle w:val="ListParagraph"/>
        <w:numPr>
          <w:ilvl w:val="0"/>
          <w:numId w:val="16"/>
        </w:numPr>
        <w:jc w:val="both"/>
      </w:pPr>
      <w:r>
        <w:t>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451AE69B" w:rsidR="00A610BD" w:rsidRDefault="00A610BD" w:rsidP="00886831">
      <w:pPr>
        <w:pStyle w:val="ListParagraph"/>
        <w:numPr>
          <w:ilvl w:val="0"/>
          <w:numId w:val="16"/>
        </w:numPr>
        <w:jc w:val="both"/>
      </w:pPr>
      <w:r>
        <w:t>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306A0AE8" w:rsidR="00A610BD" w:rsidRDefault="00A610BD" w:rsidP="00886831">
      <w:pPr>
        <w:pStyle w:val="ListParagraph"/>
        <w:numPr>
          <w:ilvl w:val="0"/>
          <w:numId w:val="16"/>
        </w:numPr>
        <w:jc w:val="both"/>
      </w:pPr>
      <w:r>
        <w:t>[inadequate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r w:rsidR="00CD12F5" w:rsidRPr="002934E7">
        <w:rPr>
          <w:rStyle w:val="FootnoteReference"/>
          <w:bCs/>
          <w:sz w:val="28"/>
          <w:szCs w:val="28"/>
        </w:rPr>
        <w:footnoteReference w:id="68"/>
      </w:r>
    </w:p>
    <w:p w14:paraId="267EA690" w14:textId="77777777" w:rsidR="00A610BD" w:rsidRDefault="00A610BD">
      <w:pPr>
        <w:jc w:val="both"/>
      </w:pPr>
      <w:r>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523C7E8" w14:textId="77777777"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rPr>
        <w:footnoteReference w:id="69"/>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rPr>
        <w:footnoteReference w:id="70"/>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3992B9E" w14:textId="7A77AA90" w:rsidR="00E33198"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rPr>
        <w:footnoteReference w:id="71"/>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8B1545" w:rsidRPr="008B1545">
        <w:t xml:space="preserve"> </w:t>
      </w:r>
      <w:r w:rsidR="008B1545">
        <w:t>’ ”</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w:t>
      </w:r>
      <w:r w:rsidR="00886831">
        <w:t xml:space="preserve">ation by an individual officer); </w:t>
      </w:r>
      <w:r w:rsidR="00100D7D" w:rsidRPr="00886831">
        <w:rPr>
          <w:i/>
        </w:rPr>
        <w:t>Barna v. Board of School Directors of the Panther Valley School District</w:t>
      </w:r>
      <w:r w:rsidR="00100D7D" w:rsidRPr="00886831">
        <w:t xml:space="preserve">, 877 F.3d 136, 145, n.6 (3d Cir. 2017) (stating that “ ‘precedent in our circuit requires the district court to review the plaintiffs’ municipal liability claims independently of the section 1983 claims against the individual . . . officers.’ ”) (quoting </w:t>
      </w:r>
      <w:r w:rsidR="00100D7D" w:rsidRPr="00886831">
        <w:rPr>
          <w:i/>
        </w:rPr>
        <w:t>Kneipp v. Tedder</w:t>
      </w:r>
      <w:r w:rsidR="00100D7D" w:rsidRPr="00886831">
        <w:t>, 95 F.3d 1199, 1213 (3d Cir. 1996))</w:t>
      </w:r>
      <w:r w:rsidR="00355C53">
        <w:t>;</w:t>
      </w:r>
      <w:r w:rsidR="00355C53" w:rsidRPr="00355C53">
        <w:rPr>
          <w:i/>
        </w:rPr>
        <w:t xml:space="preserve"> </w:t>
      </w:r>
      <w:r w:rsidR="00355C53" w:rsidRPr="00321B0A">
        <w:rPr>
          <w:i/>
        </w:rPr>
        <w:t>Lozman v. City of Riviera Beach, Fla.</w:t>
      </w:r>
      <w:r w:rsidR="00355C53" w:rsidRPr="00321B0A">
        <w:t>, 138 S. Ct. 1945 (2018)</w:t>
      </w:r>
      <w:r w:rsidR="00355C53">
        <w:t xml:space="preserve"> (holding that a plaintiff suing a municipality for arresting him in retaliation for his exercise of First Amendment rights</w:t>
      </w:r>
      <w:r w:rsidR="00355C53" w:rsidRPr="00321B0A">
        <w:t>,</w:t>
      </w:r>
      <w:r w:rsidR="00355C53">
        <w:t xml:space="preserve"> where municipal liability was predicated on a policy adopted by the municipal legislators, need not show that the arrest was without probable cause, while reserving the question </w:t>
      </w:r>
      <w:r w:rsidR="00355C53" w:rsidRPr="00321B0A">
        <w:t xml:space="preserve">whether probable cause would defeat a </w:t>
      </w:r>
      <w:r w:rsidR="00355C53">
        <w:t xml:space="preserve">First Amendment retaliation </w:t>
      </w:r>
      <w:r w:rsidR="00355C53" w:rsidRPr="00321B0A">
        <w:t xml:space="preserve">claim against an </w:t>
      </w:r>
      <w:r w:rsidR="00355C53">
        <w:t>individual o</w:t>
      </w:r>
      <w:r w:rsidR="00355C53" w:rsidRPr="00321B0A">
        <w:t>fficer</w:t>
      </w:r>
      <w:r w:rsidR="00355C53">
        <w:t>).</w:t>
      </w:r>
    </w:p>
    <w:p w14:paraId="5BD75C22" w14:textId="77777777" w:rsidR="005407FF" w:rsidRDefault="005407FF">
      <w:pPr>
        <w:ind w:firstLine="720"/>
        <w:jc w:val="both"/>
      </w:pPr>
    </w:p>
    <w:p w14:paraId="38C3C992" w14:textId="045CE4D6"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8B1545" w:rsidRPr="008B1545">
        <w:t xml:space="preserve"> </w:t>
      </w:r>
      <w:r w:rsidR="008B1545">
        <w:t>’ ”</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6AD64F6D" w:rsidR="00A610BD" w:rsidRDefault="00A610BD">
      <w:pPr>
        <w:jc w:val="both"/>
      </w:pPr>
      <w:r>
        <w:rPr>
          <w:i/>
          <w:iCs/>
        </w:rPr>
        <w:t>Board of County Com</w:t>
      </w:r>
      <w:r w:rsidR="00E937B5">
        <w:rPr>
          <w:i/>
          <w:iCs/>
        </w:rPr>
        <w:t>’</w:t>
      </w:r>
      <w:r>
        <w:rPr>
          <w:i/>
          <w:iCs/>
        </w:rPr>
        <w:t>rs of Bryan County, Okl. v. Brown</w:t>
      </w:r>
      <w:r>
        <w:t>, 520 U.S. 397, 409-10 (1997).</w:t>
      </w:r>
    </w:p>
    <w:p w14:paraId="11A56510" w14:textId="77777777" w:rsidR="00AC0352" w:rsidRPr="00AC0352" w:rsidRDefault="00AC0352" w:rsidP="00AC0352">
      <w:pPr>
        <w:jc w:val="both"/>
      </w:pPr>
    </w:p>
    <w:p w14:paraId="1122CCFD" w14:textId="77777777" w:rsidR="00AC0352" w:rsidRPr="00AC0352" w:rsidRDefault="00AC0352" w:rsidP="00AC0352">
      <w:pPr>
        <w:jc w:val="both"/>
      </w:pPr>
      <w:r w:rsidRPr="00AC0352">
        <w:tab/>
        <w:t>This Instruction, as well as Instruction 4.6.7, treats inadequate training and supervision claims as types of policy claims. In explaining how a municipality can be held liable for inadequate training, the Supreme Court stated:</w:t>
      </w:r>
    </w:p>
    <w:p w14:paraId="7F1EC5E5" w14:textId="77777777" w:rsidR="00AC0352" w:rsidRPr="00AC0352" w:rsidRDefault="00AC0352" w:rsidP="00AC0352">
      <w:pPr>
        <w:jc w:val="both"/>
      </w:pPr>
    </w:p>
    <w:p w14:paraId="5A9AE70A" w14:textId="77777777" w:rsidR="00AC0352" w:rsidRPr="00AC0352" w:rsidRDefault="00AC0352" w:rsidP="003949D6">
      <w:pPr>
        <w:ind w:left="720" w:right="720"/>
        <w:jc w:val="both"/>
      </w:pPr>
      <w:r w:rsidRPr="00AC0352">
        <w:rPr>
          <w:i/>
          <w:iCs/>
        </w:rPr>
        <w:t>Monell’s</w:t>
      </w:r>
      <w:r w:rsidRPr="00AC0352">
        <w:t> rule that a city is not liable under § 1983 unless a municipal policy causes a constitutional deprivation will not be satisfied by merely alleging that the existing training program for a class of employees, such as police officers, represents a policy for which the city is responsible. That much may be true. The issue in a case like this one, however, is whether that training program is adequate; and if it is not, the question becomes whether such inadequate training can justifiably be said to represent “city policy.” It may seem contrary to common sense to assert that a municipality will actually have a policy of not taking reasonable steps to train its employees. But 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 In that event, the failure to provide proper training may fairly be said to represent a policy for which the city is responsible, and for which the city may be held liable if it actually causes injury.</w:t>
      </w:r>
    </w:p>
    <w:p w14:paraId="039E466D" w14:textId="77777777" w:rsidR="00AC0352" w:rsidRPr="00AC0352" w:rsidRDefault="00AC0352" w:rsidP="00AC0352">
      <w:pPr>
        <w:jc w:val="both"/>
      </w:pPr>
    </w:p>
    <w:p w14:paraId="6A006444" w14:textId="77777777" w:rsidR="00AC0352" w:rsidRPr="00AC0352" w:rsidRDefault="00AC0352" w:rsidP="00AC0352">
      <w:pPr>
        <w:jc w:val="both"/>
      </w:pPr>
      <w:r w:rsidRPr="00AC0352">
        <w:rPr>
          <w:i/>
          <w:iCs/>
        </w:rPr>
        <w:t>City of Canton, Ohio v. Harris,</w:t>
      </w:r>
      <w:r w:rsidRPr="00AC0352">
        <w:t xml:space="preserve"> 489 U.S. 378, 389–90 (1989) (footnotes omitted). </w:t>
      </w:r>
      <w:r w:rsidRPr="00AC0352">
        <w:rPr>
          <w:i/>
        </w:rPr>
        <w:t>See also Barkes v. First Corr. Med., Inc.</w:t>
      </w:r>
      <w:r w:rsidRPr="00AC0352">
        <w:t xml:space="preserve">, 766 F.3d 307, 316 (3d Cir. 2014), </w:t>
      </w:r>
      <w:r w:rsidRPr="00AC0352">
        <w:rPr>
          <w:i/>
        </w:rPr>
        <w:t>rev’d on other grounds</w:t>
      </w:r>
      <w:r w:rsidRPr="00AC0352">
        <w:t>, 575 U.S. 822 (2015) (“ ‘Failure to’ claims—failure to train, failure to discipline, or, as is the case here, failure to supervise—are generally considered a subcategory of policy or practice liability.”).</w:t>
      </w:r>
    </w:p>
    <w:p w14:paraId="2C136609" w14:textId="77777777" w:rsidR="00AC0352" w:rsidRPr="00AC0352" w:rsidRDefault="00AC0352" w:rsidP="00AC0352">
      <w:pPr>
        <w:jc w:val="both"/>
      </w:pPr>
    </w:p>
    <w:p w14:paraId="7F3E3F3B" w14:textId="77777777" w:rsidR="00AC0352" w:rsidRPr="00AC0352" w:rsidRDefault="00AC0352" w:rsidP="00AC0352">
      <w:pPr>
        <w:jc w:val="both"/>
      </w:pPr>
      <w:r w:rsidRPr="00AC0352">
        <w:tab/>
        <w:t xml:space="preserve">In </w:t>
      </w:r>
      <w:r w:rsidRPr="00AC0352">
        <w:rPr>
          <w:i/>
        </w:rPr>
        <w:t>Forrest v. Parry</w:t>
      </w:r>
      <w:r w:rsidRPr="00AC0352">
        <w:t>, 930 F.3d 93, 105–06 (3d Cir. 2019), the Court of Appeals sharply distinguished between (1) policy or custom claims and (2) failure to train or supervise claims:</w:t>
      </w:r>
    </w:p>
    <w:p w14:paraId="120CC414" w14:textId="77777777" w:rsidR="00AC0352" w:rsidRPr="00AC0352" w:rsidRDefault="00AC0352" w:rsidP="00AC0352">
      <w:pPr>
        <w:jc w:val="both"/>
      </w:pPr>
    </w:p>
    <w:p w14:paraId="0ECB00AB" w14:textId="77777777" w:rsidR="00AC0352" w:rsidRPr="00AC0352" w:rsidRDefault="00AC0352" w:rsidP="008B74C7">
      <w:pPr>
        <w:ind w:left="720" w:right="720"/>
        <w:jc w:val="both"/>
      </w:pPr>
      <w:r w:rsidRPr="00AC0352">
        <w:t>[A] § 1983 claim against a municipality may proceed in two ways. A plaintiff may put forth that an unconstitutional policy or custom of the municipality led to his or her injuries, or that they were caused by a failure or inadequacy by the municipality that “reflects a deliberate or conscious choice.” </w:t>
      </w:r>
    </w:p>
    <w:p w14:paraId="1CE56BF3" w14:textId="77777777" w:rsidR="00AC0352" w:rsidRPr="00AC0352" w:rsidRDefault="00AC0352" w:rsidP="008B74C7">
      <w:pPr>
        <w:ind w:left="720" w:right="720"/>
        <w:jc w:val="both"/>
      </w:pPr>
      <w:r w:rsidRPr="00AC0352">
        <w:t xml:space="preserve"> </w:t>
      </w:r>
    </w:p>
    <w:p w14:paraId="286B1C3A" w14:textId="77777777" w:rsidR="00AC0352" w:rsidRPr="00AC0352" w:rsidRDefault="00AC0352" w:rsidP="008B74C7">
      <w:pPr>
        <w:ind w:left="720" w:right="720"/>
        <w:jc w:val="both"/>
      </w:pPr>
      <w:r w:rsidRPr="00AC0352">
        <w:t xml:space="preserve">Plaintiffs that proceed under a municipal policy or custom theory must make showings that are not required of those who proceed under a failure or inadequacy theory, and vice versa. Notably, an unconstitutional municipal policy or custom is necessary for the former theory, but not for the latter, failure or inadequacy theory. . . . On the other hand, one whose claim is predicated on a failure or inadequacy has the separate, but equally demanding requirement of demonstrating a failure or inadequacy amounting to deliberate indifference on the part of the municipality. . . . Although we have acknowledged the close relationship between policy-and-custom claims and failure-or-inadequacy claims [citing </w:t>
      </w:r>
      <w:r w:rsidRPr="00AC0352">
        <w:rPr>
          <w:i/>
          <w:iCs/>
        </w:rPr>
        <w:t>Barkes</w:t>
      </w:r>
      <w:r w:rsidRPr="00AC0352">
        <w:t>], the avenues remain distinct: a plaintiff alleging that a policy or custom led to his or her injuries must be referring to an unconstitutional policy or custom, and a plaintiff alleging failure-to-supervise, train, or discipline must show that said failure amounts to deliberate indifference to the constitutional rights of those affected.</w:t>
      </w:r>
    </w:p>
    <w:p w14:paraId="30269378" w14:textId="77777777" w:rsidR="00AC0352" w:rsidRPr="00AC0352" w:rsidRDefault="00AC0352" w:rsidP="00AC0352">
      <w:pPr>
        <w:jc w:val="both"/>
      </w:pPr>
    </w:p>
    <w:p w14:paraId="52F4377D" w14:textId="77777777" w:rsidR="00AC0352" w:rsidRPr="00AC0352" w:rsidRDefault="00AC0352" w:rsidP="00AC0352">
      <w:pPr>
        <w:jc w:val="both"/>
      </w:pPr>
      <w:r w:rsidRPr="00AC0352">
        <w:t>930 F.3d at 105–06.</w:t>
      </w:r>
    </w:p>
    <w:p w14:paraId="7E018887" w14:textId="77777777" w:rsidR="00AC0352" w:rsidRPr="00AC0352" w:rsidRDefault="00AC0352" w:rsidP="00AC0352">
      <w:pPr>
        <w:jc w:val="both"/>
      </w:pPr>
    </w:p>
    <w:p w14:paraId="1BDFA63F" w14:textId="77777777" w:rsidR="00AC0352" w:rsidRPr="00AC0352" w:rsidRDefault="00AC0352" w:rsidP="00AC0352">
      <w:pPr>
        <w:jc w:val="both"/>
      </w:pPr>
      <w:r w:rsidRPr="00AC0352">
        <w:t xml:space="preserve">       </w:t>
      </w:r>
      <w:r w:rsidRPr="00AC0352">
        <w:rPr>
          <w:i/>
          <w:iCs/>
        </w:rPr>
        <w:t xml:space="preserve">Forrest </w:t>
      </w:r>
      <w:r w:rsidRPr="00AC0352">
        <w:t xml:space="preserve">found plain error in a jury instruction, in part because the instruction created “confusion as to whether the policy or custom finding is antecedent to reaching the deliberate indifference inquiry, or if the two are intertwined in some other way.” </w:t>
      </w:r>
      <w:r w:rsidRPr="00AC0352">
        <w:rPr>
          <w:i/>
        </w:rPr>
        <w:t>Id</w:t>
      </w:r>
      <w:r w:rsidRPr="00AC0352">
        <w:t>. at 118.</w:t>
      </w:r>
    </w:p>
    <w:p w14:paraId="6DF97475" w14:textId="77777777" w:rsidR="00AC0352" w:rsidRPr="00AC0352" w:rsidRDefault="00AC0352" w:rsidP="00AC0352">
      <w:pPr>
        <w:jc w:val="both"/>
      </w:pPr>
    </w:p>
    <w:p w14:paraId="1EB9DCD1" w14:textId="4B0FD4B6" w:rsidR="00E937B5" w:rsidRDefault="00AC0352">
      <w:pPr>
        <w:jc w:val="both"/>
      </w:pPr>
      <w:r w:rsidRPr="00AC0352">
        <w:tab/>
        <w:t xml:space="preserve">In light of </w:t>
      </w:r>
      <w:r w:rsidRPr="00AC0352">
        <w:rPr>
          <w:i/>
        </w:rPr>
        <w:t>Forrest</w:t>
      </w:r>
      <w:r w:rsidRPr="00AC0352">
        <w:t xml:space="preserve">, a district court might consider avoiding such confusion by keeping any instruction on a policy or custom claim distinct from any instruction on an inadequate training or supervision claim. It may not be necessary for a jury to know that an inadequate training or supervision claim can be understood as a species of policy claim. After all, the </w:t>
      </w:r>
      <w:r w:rsidRPr="00AC0352">
        <w:rPr>
          <w:i/>
        </w:rPr>
        <w:t>Harris</w:t>
      </w:r>
      <w:r w:rsidRPr="00AC0352">
        <w:t xml:space="preserve"> opinion itself observed that it “may seem contrary to common sense to assert that a municipality will actually have a policy of not taking reasonable steps to train its employees.” 489 U.S. at 389–90. </w:t>
      </w:r>
    </w:p>
    <w:p w14:paraId="08B168BD" w14:textId="4E689F73" w:rsidR="00E937B5" w:rsidRDefault="00E937B5">
      <w:pPr>
        <w:jc w:val="both"/>
        <w:sectPr w:rsidR="00E937B5"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28"/>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9"/>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25F03D71"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8B1545" w:rsidRPr="008B1545">
        <w:t xml:space="preserve"> </w:t>
      </w:r>
      <w:r w:rsidR="008B1545">
        <w:t>’ ”</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rPr>
        <w:footnoteReference w:id="72"/>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30"/>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rPr>
        <w:footnoteReference w:id="73"/>
      </w:r>
      <w:r>
        <w:t xml:space="preserve"> [I instruct you that [</w:t>
      </w:r>
      <w:r>
        <w:rPr>
          <w:i/>
          <w:iCs/>
        </w:rPr>
        <w:t>name official(s)</w:t>
      </w:r>
      <w:r>
        <w:t>] [is] [are] the policymaking official[s] for [</w:t>
      </w:r>
      <w:r>
        <w:rPr>
          <w:i/>
          <w:iCs/>
        </w:rPr>
        <w:t>describe particular subject</w:t>
      </w:r>
      <w:r>
        <w:t>].</w:t>
      </w:r>
      <w:r>
        <w:rPr>
          <w:rStyle w:val="FootnoteReference"/>
        </w:rPr>
        <w:footnoteReference w:id="74"/>
      </w:r>
      <w:r>
        <w:t>]]</w:t>
      </w:r>
    </w:p>
    <w:p w14:paraId="78CFD00C" w14:textId="77777777" w:rsidR="00A610BD" w:rsidRDefault="00A610BD">
      <w:pPr>
        <w:jc w:val="both"/>
      </w:pPr>
    </w:p>
    <w:p w14:paraId="576D5E6F" w14:textId="32C30CE9" w:rsidR="00A610BD" w:rsidRDefault="0077488E" w:rsidP="00A55758">
      <w:pPr>
        <w:tabs>
          <w:tab w:val="left" w:pos="-1440"/>
        </w:tabs>
        <w:ind w:right="1440"/>
        <w:jc w:val="both"/>
      </w:pPr>
      <w:r>
        <w:tab/>
      </w:r>
      <w:r w:rsidR="00A610BD">
        <w:t>If you find that such an official custom was the cause of and the moving force behind the violation of [plaintiff</w:t>
      </w:r>
      <w:r w:rsidR="000D09A4">
        <w:t>’</w:t>
      </w:r>
      <w:r w:rsidR="00A610BD">
        <w:t>s] [specify right], then you have found that [municipality] caused that violation.</w:t>
      </w:r>
      <w:r w:rsidR="00A610BD">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rPr>
        <w:footnoteReference w:id="75"/>
      </w:r>
      <w:r>
        <w:t xml:space="preserve"> </w:t>
      </w:r>
      <w:r w:rsidR="00165FA3">
        <w:t xml:space="preserve"> “</w:t>
      </w:r>
      <w:r>
        <w:t>Custom . . . can be proven by showing that a given course of conduct, although not 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rPr>
        <w:footnoteReference w:id="76"/>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rPr>
        <w:footnoteReference w:id="77"/>
      </w:r>
      <w:r>
        <w:t xml:space="preserve">  In a 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rPr>
        <w:footnoteReference w:id="78"/>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6230B8D" w:rsidR="00A610BD" w:rsidRDefault="00A610BD">
      <w:pPr>
        <w:ind w:firstLine="720"/>
        <w:jc w:val="both"/>
      </w:pPr>
      <w:r>
        <w:t>Though it thus appears that a showing of knowledge and acquiescence is required, a number of cases suggest that actual knowledge need not be proven.</w:t>
      </w:r>
      <w:r>
        <w:rPr>
          <w:rStyle w:val="FootnoteReference"/>
        </w:rPr>
        <w:footnoteReference w:id="79"/>
      </w:r>
      <w:r>
        <w:t xml:space="preserve">  Rather, some showing of constructive knowledge may suffice; this view is reflected in the first bracketed sentence in Instruction 4.6.6.  For example, the court seemed to approve a constructive-knowledge standard in </w:t>
      </w:r>
      <w:r>
        <w:rPr>
          <w:i/>
          <w:iCs/>
        </w:rPr>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rPr>
        <w:footnoteReference w:id="80"/>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rPr>
        <w:footnoteReference w:id="81"/>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rPr>
        <w:footnoteReference w:id="82"/>
      </w:r>
      <w:r>
        <w:t xml:space="preserve">  In 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r w:rsidR="00DB28AE">
        <w:t xml:space="preserve"> </w:t>
      </w:r>
      <w:r w:rsidR="00DB28AE" w:rsidRPr="00C10C0E">
        <w:t xml:space="preserve">Similarly, in </w:t>
      </w:r>
      <w:r w:rsidR="00DB28AE" w:rsidRPr="00C10C0E">
        <w:rPr>
          <w:i/>
        </w:rPr>
        <w:t>Estate of Roman v. Newark</w:t>
      </w:r>
      <w:r w:rsidR="00DB28AE" w:rsidRPr="00C10C0E">
        <w:t xml:space="preserve">, 914 F.3d 789 (3d Cir. 2019), the court specifically stated that while the plaintiff must demonstrate that the city had knowledge of similar unlawful conduct in the past, he “does not need to identify a responsible decisionmaker in his pleadings.” </w:t>
      </w:r>
      <w:r w:rsidR="00DB28AE" w:rsidRPr="00C10C0E">
        <w:rPr>
          <w:i/>
        </w:rPr>
        <w:t>Id</w:t>
      </w:r>
      <w:r w:rsidR="00DB28AE" w:rsidRPr="00C10C0E">
        <w:t>. at 798. The court relied in part on a consent decree between the Department of Justice and Newark in holding that a complaint alleging a custom of unconstitutional arrests was sufficient, where violations were widespread, and the Police Department was aware of them but rarely acted on citizen complaints.</w:t>
      </w:r>
      <w:r w:rsidR="00DB28AE" w:rsidRPr="00C10C0E">
        <w:rPr>
          <w:i/>
        </w:rPr>
        <w:t xml:space="preserve"> Id</w:t>
      </w:r>
      <w:r w:rsidR="00DB28AE" w:rsidRPr="00C10C0E">
        <w:t>. at 799.</w:t>
      </w:r>
    </w:p>
    <w:p w14:paraId="051ED01F" w14:textId="77777777" w:rsidR="00A610BD" w:rsidRDefault="00A610BD">
      <w:pPr>
        <w:jc w:val="both"/>
      </w:pPr>
    </w:p>
    <w:p w14:paraId="0A22E6CB" w14:textId="063556FA"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rPr>
        <w:footnoteReference w:id="83"/>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8B1545">
        <w:t xml:space="preserve"> </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w:t>
      </w:r>
      <w:r w:rsidR="00457362">
        <w:t xml:space="preserve">; </w:t>
      </w:r>
      <w:r w:rsidR="00457362" w:rsidRPr="00C10C0E">
        <w:rPr>
          <w:i/>
        </w:rPr>
        <w:t>Estate of Roman v. Newark</w:t>
      </w:r>
      <w:r w:rsidR="00457362" w:rsidRPr="00C10C0E">
        <w:t>, 914 F.3d 789, 799 (3d Cir. 2019) (holding that failure to train, supervise, and discipline claims were also adequately pled).</w:t>
      </w:r>
      <w:r>
        <w:t xml:space="preserve">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31"/>
          <w:pgSz w:w="12240" w:h="15840"/>
          <w:pgMar w:top="1440" w:right="1440" w:bottom="1440" w:left="1440" w:header="1440" w:footer="1440" w:gutter="0"/>
          <w:lnNumType w:countBy="1"/>
          <w:cols w:space="720"/>
          <w:noEndnote/>
        </w:sectPr>
      </w:pPr>
    </w:p>
    <w:p w14:paraId="4C50F157" w14:textId="090EA129" w:rsidR="00A610BD" w:rsidRDefault="00A610BD">
      <w:pPr>
        <w:jc w:val="both"/>
      </w:pPr>
      <w:r>
        <w:rPr>
          <w:b/>
          <w:bCs/>
          <w:sz w:val="28"/>
          <w:szCs w:val="28"/>
        </w:rPr>
        <w:t>Model</w:t>
      </w:r>
    </w:p>
    <w:p w14:paraId="58477D08" w14:textId="77777777" w:rsidR="00A610BD" w:rsidRDefault="00A610BD">
      <w:pPr>
        <w:jc w:val="both"/>
      </w:pPr>
    </w:p>
    <w:p w14:paraId="4994815C" w14:textId="0E3B95ED"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r w:rsidR="00FA5373" w:rsidRPr="00FA5373">
        <w:rPr>
          <w:rFonts w:ascii="Century Schoolbook" w:hAnsi="Century Schoolbook"/>
          <w:vertAlign w:val="superscript"/>
        </w:rPr>
        <w:footnoteReference w:id="84"/>
      </w:r>
      <w:r w:rsidR="00FA5373" w:rsidRPr="00FA5373">
        <w:t xml:space="preserve"> </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rPr>
        <w:footnoteReference w:id="85"/>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0C71DD4A"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rPr>
        <w:footnoteReference w:id="86"/>
      </w:r>
      <w:r>
        <w:t xml:space="preserve"> training, supervision or investigation, or by a failure to adopt a needed policy.</w:t>
      </w:r>
      <w:r>
        <w:rPr>
          <w:rStyle w:val="FootnoteReference"/>
        </w:rPr>
        <w:footnoteReference w:id="87"/>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rPr>
        <w:footnoteReference w:id="88"/>
      </w:r>
      <w:r>
        <w:t xml:space="preserve"> </w:t>
      </w:r>
      <w:r w:rsidR="008214B2">
        <w:t xml:space="preserve"> “</w:t>
      </w:r>
      <w:r>
        <w:t xml:space="preserve">[L]iability for failure to train subordinate officers will lie only where a constitutional violation results from </w:t>
      </w:r>
      <w:r w:rsidR="003B6D6B">
        <w:t>‘</w:t>
      </w:r>
      <w:r>
        <w:t>deliberate indifference to the constitutional rights of [the municipality's] inhabitants.</w:t>
      </w:r>
      <w:r w:rsidR="008B1545" w:rsidRPr="008B1545">
        <w:t xml:space="preserve"> </w:t>
      </w:r>
      <w:r w:rsidR="008B1545">
        <w:t>’ ”</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1DB7AE03"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r w:rsidR="00DB28AE">
        <w:t xml:space="preserve"> </w:t>
      </w:r>
      <w:r w:rsidR="00DB28AE" w:rsidRPr="00C10C0E">
        <w:rPr>
          <w:i/>
        </w:rPr>
        <w:t>See also</w:t>
      </w:r>
      <w:r w:rsidR="00DB28AE" w:rsidRPr="00C10C0E">
        <w:t xml:space="preserve"> </w:t>
      </w:r>
      <w:r w:rsidR="00DB28AE" w:rsidRPr="00C10C0E">
        <w:rPr>
          <w:i/>
        </w:rPr>
        <w:t>Estate of Roman v. City of Newark</w:t>
      </w:r>
      <w:r w:rsidR="00DB28AE" w:rsidRPr="00C10C0E">
        <w:t>, 914 F.3d 789, 800 (3d Cir. 2019) (holding that one could reasonably infer deliberate indifference because the city knew to a moral certainty that its officers would need to conduct searches, but its training did not cover the basics of the Fourth Amendment, it did not discipline officers for misconduct, even after prior violations, and, in at least one instance, it failed to provide training since 1995).</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rPr>
        <w:footnoteReference w:id="89"/>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32"/>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t>Model</w:t>
      </w:r>
    </w:p>
    <w:p w14:paraId="75AD5475" w14:textId="77777777" w:rsidR="00A610BD" w:rsidRDefault="00A610BD">
      <w:pPr>
        <w:jc w:val="both"/>
      </w:pPr>
    </w:p>
    <w:p w14:paraId="158E030B" w14:textId="05668332" w:rsidR="00A610BD" w:rsidRDefault="00A610BD">
      <w:pPr>
        <w:ind w:firstLine="720"/>
        <w:jc w:val="both"/>
      </w:pPr>
      <w:r>
        <w:t>[Plaintiff] claims that [municipality] adopted a policy of inadequate screening, and that this policy caused the violation of [plaintiff</w:t>
      </w:r>
      <w:r w:rsidR="000D09A4">
        <w:t>’</w:t>
      </w:r>
      <w:r>
        <w:t>s] [specify right].</w:t>
      </w:r>
      <w:r w:rsidR="009B2435" w:rsidRPr="009B2435">
        <w:rPr>
          <w:vertAlign w:val="superscript"/>
        </w:rPr>
        <w:footnoteReference w:id="90"/>
      </w:r>
      <w:r w:rsidRPr="009B2435">
        <w:t xml:space="preserve"> </w:t>
      </w:r>
      <w:r>
        <w:t xml:space="preserve">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32590CF5" w:rsidR="00A610BD" w:rsidRDefault="00A610BD" w:rsidP="00A55758">
      <w:pPr>
        <w:pStyle w:val="ListParagraph"/>
        <w:numPr>
          <w:ilvl w:val="0"/>
          <w:numId w:val="17"/>
        </w:numPr>
        <w:jc w:val="both"/>
      </w:pPr>
      <w:r>
        <w:t>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rPr>
        <w:footnoteReference w:id="91"/>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train claim without showing a pattern of constitutional violations, we simply hypothesized that, in a narrow range of 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33"/>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rPr>
        <w:footnoteReference w:id="92"/>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500 U.S. 478, 492 (1991) (holding 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rPr>
        <w:footnoteReference w:id="93"/>
      </w:r>
    </w:p>
    <w:p w14:paraId="76780C9A" w14:textId="13F14CA9" w:rsidR="00A610BD" w:rsidRDefault="00A610BD">
      <w:pPr>
        <w:ind w:firstLine="720"/>
        <w:jc w:val="both"/>
      </w:pPr>
      <w:r>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rPr>
        <w:footnoteReference w:id="94"/>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rPr>
        <w:footnoteReference w:id="95"/>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2B16BDC5" w14:textId="77777777" w:rsidR="00E073BE" w:rsidRDefault="00E073BE">
      <w:pPr>
        <w:ind w:firstLine="720"/>
        <w:jc w:val="both"/>
      </w:pPr>
    </w:p>
    <w:p w14:paraId="6B1255D3" w14:textId="77777777" w:rsidR="00A610BD" w:rsidRDefault="00A610BD">
      <w:pPr>
        <w:ind w:firstLine="720"/>
        <w:jc w:val="both"/>
      </w:pPr>
      <w:r>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1D52ED4C"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8B1545" w:rsidRPr="008B1545">
        <w:t xml:space="preserve"> </w:t>
      </w:r>
      <w:r w:rsidR="008B1545">
        <w:t>’ ”</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rPr>
        <w:footnoteReference w:id="96"/>
      </w:r>
      <w:r>
        <w:t xml:space="preserve"> the Court of Appeals has questioned the two-part test</w:t>
      </w:r>
      <w:r w:rsidR="000D09A4">
        <w:t>’</w:t>
      </w:r>
      <w:r>
        <w:t>s applicability to local officials</w:t>
      </w:r>
      <w:r>
        <w:rPr>
          <w:rStyle w:val="FootnoteReference"/>
        </w:rPr>
        <w:footnoteReference w:id="97"/>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[B]ecause 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rPr>
        <w:footnoteReference w:id="98"/>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rPr>
        <w:footnoteReference w:id="99"/>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14:paraId="1FE6194A" w14:textId="11662B5E" w:rsidR="00A610BD" w:rsidRDefault="00A610BD">
      <w:pPr>
        <w:tabs>
          <w:tab w:val="center" w:pos="4680"/>
        </w:tabs>
        <w:jc w:val="both"/>
        <w:rPr>
          <w:b/>
          <w:bCs/>
          <w:sz w:val="28"/>
          <w:szCs w:val="28"/>
        </w:rPr>
      </w:pPr>
      <w:r>
        <w:rPr>
          <w:b/>
          <w:bCs/>
          <w:sz w:val="28"/>
          <w:szCs w:val="28"/>
        </w:rPr>
        <w:t>4.7.2</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34"/>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t>Comment</w:t>
      </w:r>
    </w:p>
    <w:p w14:paraId="7BD08351" w14:textId="77777777" w:rsidR="00A610BD" w:rsidRDefault="00A610BD">
      <w:pPr>
        <w:jc w:val="both"/>
      </w:pPr>
    </w:p>
    <w:p w14:paraId="5C763EC4" w14:textId="5AD88958" w:rsidR="00FE1314" w:rsidRPr="00886831" w:rsidRDefault="001237D8" w:rsidP="00FE1314">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457 U.S. 800, 818 (1982).</w:t>
      </w:r>
      <w:r w:rsidR="00886831">
        <w:t xml:space="preserve"> T</w:t>
      </w:r>
      <w:r w:rsidR="00FE1314" w:rsidRPr="00886831">
        <w:t xml:space="preserve">hey “are entitled to qualified immunity under § 1983 unless (1) they violated a federal statutory or constitutional right, and (2) the unlawfulness of their conduct was clearly established at the time.” </w:t>
      </w:r>
      <w:r w:rsidR="00FE1314" w:rsidRPr="00886831">
        <w:rPr>
          <w:i/>
        </w:rPr>
        <w:t>District of Columbia v. Wesby</w:t>
      </w:r>
      <w:r w:rsidR="00FE1314" w:rsidRPr="00886831">
        <w:t>, 138 S. Ct. 577, 589 (2018) (internal quotation marks and citation omitted).</w:t>
      </w:r>
      <w:r w:rsidR="00FE1314" w:rsidRPr="00886831">
        <w:rPr>
          <w:vertAlign w:val="superscript"/>
        </w:rPr>
        <w:footnoteReference w:id="100"/>
      </w:r>
    </w:p>
    <w:p w14:paraId="75AC5472" w14:textId="77777777" w:rsidR="00FE1314" w:rsidRDefault="00FE1314" w:rsidP="00E11AB8">
      <w:pPr>
        <w:ind w:firstLine="720"/>
        <w:jc w:val="both"/>
      </w:pPr>
    </w:p>
    <w:p w14:paraId="1F9D5552" w14:textId="32E72CB4" w:rsidR="00FE1314" w:rsidRDefault="00FE1314" w:rsidP="00E11AB8">
      <w:pPr>
        <w:ind w:firstLine="720"/>
        <w:jc w:val="both"/>
      </w:pPr>
      <w:r w:rsidRPr="00886831">
        <w:t xml:space="preserve">Thus to prevail, a plaintiff must show </w:t>
      </w:r>
      <w:r w:rsidRPr="00886831">
        <w:rPr>
          <w:i/>
        </w:rPr>
        <w:t>both</w:t>
      </w:r>
      <w:r w:rsidRPr="00886831">
        <w:t xml:space="preserve"> that the officer violated a federal right, </w:t>
      </w:r>
      <w:r w:rsidRPr="00886831">
        <w:rPr>
          <w:i/>
        </w:rPr>
        <w:t>and</w:t>
      </w:r>
      <w:r w:rsidRPr="00886831">
        <w:t xml:space="preserve"> that such federal right was clearly established at the time the officer acted. A defendant, by contrast, can prevail by winning on </w:t>
      </w:r>
      <w:r w:rsidRPr="00886831">
        <w:rPr>
          <w:i/>
        </w:rPr>
        <w:t>either</w:t>
      </w:r>
      <w:r w:rsidRPr="00886831">
        <w:t xml:space="preserve"> ground. For example, “[e]ven without inquiring as to whether the right [plaintiffs] identify here is clearly established, the failure to establish a factual basis for the purported constitutional violation is an independently sufficient ground on which to affirm the grant of summary judgment in favor of the individual officers.” </w:t>
      </w:r>
      <w:r w:rsidRPr="00886831">
        <w:rPr>
          <w:i/>
        </w:rPr>
        <w:t>Karns v. Shanahan</w:t>
      </w:r>
      <w:r w:rsidRPr="00886831">
        <w:t xml:space="preserve">, 879 F.3d 504, 521 (3d Cir. 2018). And a “court may not deny a summary judgment motion premised on qualified immunity without deciding that the right in question was clearly established at the time of the alleged wrongdoing.” </w:t>
      </w:r>
      <w:r w:rsidRPr="00886831">
        <w:rPr>
          <w:i/>
        </w:rPr>
        <w:t>Spady v. Bethlehem Area Sch. Dist.</w:t>
      </w:r>
      <w:r w:rsidRPr="00886831">
        <w:t>, 800 F.3d 633, 637 n.4 (3d Cir. 2015)</w:t>
      </w:r>
      <w:r w:rsidR="00886831">
        <w:t>.</w:t>
      </w:r>
      <w:r w:rsidR="004808A7" w:rsidRPr="004808A7">
        <w:t xml:space="preserve">  </w:t>
      </w:r>
    </w:p>
    <w:p w14:paraId="0B573D0A" w14:textId="77777777" w:rsidR="00FE1314" w:rsidRDefault="00FE1314" w:rsidP="00E11AB8">
      <w:pPr>
        <w:ind w:firstLine="720"/>
        <w:jc w:val="both"/>
      </w:pPr>
    </w:p>
    <w:p w14:paraId="27E817AB" w14:textId="77777777" w:rsidR="00FE1314" w:rsidRPr="00886831" w:rsidRDefault="00FE1314" w:rsidP="00903314">
      <w:pPr>
        <w:shd w:val="clear" w:color="auto" w:fill="FFFFFF" w:themeFill="background1"/>
        <w:spacing w:after="120"/>
        <w:ind w:firstLine="720"/>
        <w:jc w:val="both"/>
      </w:pPr>
      <w:r w:rsidRPr="00886831">
        <w:t xml:space="preserve">For a time, the Supreme Court required that lower courts decide whether an officer violated the constitution, even if they were ruling in favor of the defendant because the claimed constitutional right was not clearly established at the time the officer acted. </w:t>
      </w:r>
      <w:r w:rsidRPr="00886831">
        <w:rPr>
          <w:i/>
          <w:iCs/>
        </w:rPr>
        <w:t>Saucier v. Katz</w:t>
      </w:r>
      <w:r w:rsidRPr="00886831">
        <w:t xml:space="preserve">, 533 U.S. 194, 201 (2001). The point of this requirement was to enable continued development of the law. </w:t>
      </w:r>
      <w:r w:rsidRPr="00886831">
        <w:rPr>
          <w:i/>
        </w:rPr>
        <w:t>Id</w:t>
      </w:r>
      <w:r w:rsidRPr="00886831">
        <w:t>. (“This is the process for the law’s elaboration from case to case, and it is one reason for our insisting upon turning to the existence or nonexistence of a constitutional right as the first inquiry. The law might be deprived of this explanation were a court simply to skip ahead to the question whether the law clearly established that the officer's conduct was unlawful in the circumstances of the case.”).</w:t>
      </w:r>
    </w:p>
    <w:p w14:paraId="074A6E59" w14:textId="179A75D0" w:rsidR="00FE1314" w:rsidRPr="00886831" w:rsidRDefault="00FE1314" w:rsidP="00FE1314">
      <w:pPr>
        <w:ind w:firstLine="720"/>
        <w:jc w:val="both"/>
      </w:pPr>
      <w:r w:rsidRPr="00886831">
        <w:t xml:space="preserve">But the Court later lifted this requirement, allowing lower courts to exercise their discretion in this regard. </w:t>
      </w:r>
      <w:r w:rsidR="004808A7" w:rsidRPr="00886831">
        <w:rPr>
          <w:i/>
          <w:iCs/>
        </w:rPr>
        <w:t>Pearson v. Callahan</w:t>
      </w:r>
      <w:r w:rsidR="004808A7" w:rsidRPr="00886831">
        <w:t xml:space="preserve">, </w:t>
      </w:r>
      <w:r w:rsidRPr="00886831">
        <w:t xml:space="preserve">555 U.S. 223, 243 </w:t>
      </w:r>
      <w:r w:rsidR="004808A7" w:rsidRPr="00886831">
        <w:t xml:space="preserve">(2009); </w:t>
      </w:r>
      <w:r w:rsidR="004808A7" w:rsidRPr="00886831">
        <w:rPr>
          <w:i/>
        </w:rPr>
        <w:t>Reichle v. Howards</w:t>
      </w:r>
      <w:r w:rsidR="004808A7" w:rsidRPr="00886831">
        <w:t>, 132 S. Ct. 2088, 2093 (2012)</w:t>
      </w:r>
      <w:r w:rsidRPr="00886831">
        <w:t xml:space="preserve"> (stating that </w:t>
      </w:r>
      <w:r w:rsidRPr="00886831">
        <w:rPr>
          <w:i/>
        </w:rPr>
        <w:t>Pearson</w:t>
      </w:r>
      <w:r w:rsidRPr="00886831">
        <w:t xml:space="preserve"> “held that courts may grant qualified immunity on the ground that a purported right was not ‘clearly established’ by prior case law, without resolving the often more difficult question whether the purported right exists at all”).  More recently, the Court has “stress[ed] that lower courts ‘should think hard, and then think hard again,’ before addressing both qualified immunity and the merits of an underlying constitutional claim.” </w:t>
      </w:r>
      <w:r w:rsidRPr="00886831">
        <w:rPr>
          <w:i/>
        </w:rPr>
        <w:t>Wesby</w:t>
      </w:r>
      <w:r w:rsidRPr="00886831">
        <w:t xml:space="preserve">, 138 S. Ct. at 589 (2018) (quoting </w:t>
      </w:r>
      <w:r w:rsidRPr="00886831">
        <w:rPr>
          <w:i/>
        </w:rPr>
        <w:t>Camreta v. Greene</w:t>
      </w:r>
      <w:r w:rsidRPr="00886831">
        <w:t xml:space="preserve">, 563 U.S. 692, 707 (2011)). As the Court explained in </w:t>
      </w:r>
      <w:r w:rsidRPr="00886831">
        <w:rPr>
          <w:i/>
        </w:rPr>
        <w:t>Camreta</w:t>
      </w:r>
      <w:r w:rsidR="00AC6A18">
        <w:t>,</w:t>
      </w:r>
      <w:r w:rsidRPr="00886831">
        <w:t xml:space="preserve"> “In general, courts should think hard, and then think hard again, before turning small cases into large ones. But it remains true that following the two-step sequence—defining constitutional rights and only then conferring immunity—is sometimes beneficial to clarify the legal standards governing public officials.” 563 U.S. at 707.</w:t>
      </w:r>
      <w:r w:rsidRPr="00886831">
        <w:rPr>
          <w:vertAlign w:val="superscript"/>
        </w:rPr>
        <w:footnoteReference w:id="101"/>
      </w:r>
    </w:p>
    <w:p w14:paraId="0072539E" w14:textId="34414E13" w:rsidR="00C9228B" w:rsidRDefault="00C9228B" w:rsidP="00C9228B">
      <w:pPr>
        <w:ind w:firstLine="720"/>
        <w:jc w:val="both"/>
      </w:pPr>
      <w:r w:rsidRPr="00886831">
        <w:t xml:space="preserve">To be clearly established, not only must a legal principle “have a sufficiently clear foundation in then-existing precedent,” but its “contours must be so well defined that it is clear to a reasonable officer that his conduct was unlawful in the situation he confronted.” </w:t>
      </w:r>
      <w:r w:rsidRPr="00886831">
        <w:rPr>
          <w:i/>
        </w:rPr>
        <w:t>Wesby,</w:t>
      </w:r>
      <w:r w:rsidRPr="00886831">
        <w:t xml:space="preserve"> 138 S. Ct. at 589–90 (internal quotation marks and citation omitted).</w:t>
      </w:r>
      <w:r w:rsidRPr="00C9228B">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 . . ; but it is to say that in the light of pre</w:t>
      </w:r>
      <w:r w:rsidRPr="00C9228B">
        <w:noBreakHyphen/>
        <w:t xml:space="preserve">existing law the unlawfulness must be apparent.”  </w:t>
      </w:r>
      <w:r w:rsidRPr="00C9228B">
        <w:rPr>
          <w:i/>
          <w:iCs/>
        </w:rPr>
        <w:t>Anderson v. Creighton</w:t>
      </w:r>
      <w:r w:rsidRPr="00C9228B">
        <w:t xml:space="preserve">, 483 U.S. 635, 640 (1987).  “[T]he salient question . . . is whether the state of the law [at the time of the conduct] gave respondents fair warning that their [conduct] was unconstitutional.”  </w:t>
      </w:r>
      <w:r w:rsidRPr="00C9228B">
        <w:rPr>
          <w:i/>
          <w:iCs/>
        </w:rPr>
        <w:t>Hope v. Pelzer</w:t>
      </w:r>
      <w:r w:rsidRPr="00C9228B">
        <w:t xml:space="preserve">, 536 U.S. 730, 741 (2002). </w:t>
      </w:r>
      <w:r w:rsidRPr="00C9228B">
        <w:rPr>
          <w:i/>
        </w:rPr>
        <w:t xml:space="preserve">See also </w:t>
      </w:r>
      <w:r w:rsidRPr="00C9228B">
        <w:rPr>
          <w:i/>
          <w:iCs/>
        </w:rPr>
        <w:t>Brosseau v. Haugen</w:t>
      </w:r>
      <w:r w:rsidRPr="00C9228B">
        <w:t>, 543 U.S. 194, 198 (2004) (per curiam) (emphasizing the need for attention to context in judging whether application of a general principle was clear under the circumstances). 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w:t>
      </w:r>
      <w:r w:rsidR="008B1545" w:rsidRPr="008B1545">
        <w:t xml:space="preserve"> </w:t>
      </w:r>
      <w:r w:rsidR="008B1545">
        <w:t>’ ”</w:t>
      </w:r>
      <w:r w:rsidRPr="00C9228B">
        <w:t xml:space="preserve">”  </w:t>
      </w:r>
      <w:r w:rsidRPr="00C9228B">
        <w:rPr>
          <w:i/>
          <w:iCs/>
        </w:rPr>
        <w:t>Burns v. PA Dep’t of Corrections</w:t>
      </w:r>
      <w:r w:rsidRPr="00C9228B">
        <w:t xml:space="preserve">, 642 F.3d 163, 177 (3d Cir. 2011) (quoting </w:t>
      </w:r>
      <w:r w:rsidRPr="00C9228B">
        <w:rPr>
          <w:i/>
          <w:iCs/>
        </w:rPr>
        <w:t>Hicks v. Feeney</w:t>
      </w:r>
      <w:r w:rsidRPr="00C9228B">
        <w:t xml:space="preserve">, 770 F.2d 375, 380 (3d Cir. 1985)). </w:t>
      </w:r>
    </w:p>
    <w:p w14:paraId="69558EC9" w14:textId="77777777" w:rsidR="00C9228B" w:rsidRPr="00C9228B" w:rsidRDefault="00C9228B" w:rsidP="00C9228B">
      <w:pPr>
        <w:ind w:firstLine="720"/>
        <w:jc w:val="both"/>
      </w:pPr>
    </w:p>
    <w:p w14:paraId="3CFE8E05" w14:textId="409A1CEA" w:rsidR="00C9228B" w:rsidRPr="00852A74" w:rsidRDefault="00C9228B" w:rsidP="00C9228B">
      <w:pPr>
        <w:ind w:firstLine="720"/>
        <w:jc w:val="both"/>
        <w:rPr>
          <w:i/>
          <w:iCs/>
        </w:rPr>
      </w:pPr>
      <w:r w:rsidRPr="00C9228B">
        <w:t xml:space="preserve">Unlawfulness can be apparent “even in novel factual circumstances.”  </w:t>
      </w:r>
      <w:r w:rsidRPr="00C9228B">
        <w:rPr>
          <w:i/>
          <w:iCs/>
        </w:rPr>
        <w:t>Hope v. Pelzer</w:t>
      </w:r>
      <w:r w:rsidRPr="00C9228B">
        <w:t xml:space="preserve">, 536 U.S. 730, 741 (2002); </w:t>
      </w:r>
      <w:r w:rsidRPr="00C9228B">
        <w:rPr>
          <w:i/>
          <w:iCs/>
        </w:rPr>
        <w:t>Groh v. Ramirez</w:t>
      </w:r>
      <w:r w:rsidRPr="00C9228B">
        <w:t xml:space="preserve">, 540 U.S. 551, 564 (2004) (“No reasonable officer could claim to be unaware of the basic rule, well established by our cases, that, absent consent or exigency, a warrantless search of the home is presumptively unconstitutional.”); </w:t>
      </w:r>
      <w:r w:rsidR="00456364" w:rsidRPr="002F0028">
        <w:rPr>
          <w:i/>
        </w:rPr>
        <w:t>Thomas v. Tice</w:t>
      </w:r>
      <w:r w:rsidR="00456364" w:rsidRPr="002F0028">
        <w:t xml:space="preserve">, 948 F.3d 133, 141 (3d Cir. 2020) (denying qualified immunity because defendants “failed to present evidence of </w:t>
      </w:r>
      <w:r w:rsidR="00456364" w:rsidRPr="002F0028">
        <w:rPr>
          <w:i/>
        </w:rPr>
        <w:t>any</w:t>
      </w:r>
      <w:r w:rsidR="00456364" w:rsidRPr="002F0028">
        <w:t xml:space="preserve"> continuing penological interest” in keeping a prisoner in a dry cell (a cell that lacks any water) to discover suspected swallowed contraband after four days and twelve bowel movements had produced no evidence of contraband); </w:t>
      </w:r>
      <w:r w:rsidRPr="00C9228B">
        <w:rPr>
          <w:i/>
        </w:rPr>
        <w:t>Halsey v. Pfeiffer</w:t>
      </w:r>
      <w:r w:rsidRPr="00C9228B">
        <w:t xml:space="preserve">, 750 F.3d 273, 296 (3d Cir. 2014) (holding that even though it had not previously decided on the viability of a stand-alone claim for fabrication of evidence, reasonable officers should have known that “they certainly could not fabricate inculpatory evidence”); </w:t>
      </w:r>
      <w:r w:rsidRPr="00C9228B">
        <w:rPr>
          <w:i/>
          <w:iCs/>
        </w:rPr>
        <w:t>Schneyder v. Smith</w:t>
      </w:r>
      <w:r w:rsidRPr="00C9228B">
        <w:t xml:space="preserve">,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 </w:t>
      </w:r>
      <w:r w:rsidRPr="00C9228B">
        <w:rPr>
          <w:i/>
          <w:iCs/>
        </w:rPr>
        <w:t>Abbott v. Latshaw</w:t>
      </w:r>
      <w:r w:rsidRPr="00C9228B">
        <w:t xml:space="preserve">, 164 F.3d 141, 148 (3d Cir. 1998) (denying qualified immunity and noting that “it is the domain of the courts,” not law enforcement officers,  “to decide who is entitled to possession of property,” that “citizens are to have a meaningful opportunity to be heard as to their rights before they are finally deprived of possession of property,” and that the officer’s “curbside courtroom, in which he decided who was entitled to possession, is precisely the situation and deprivation of rights to be avoided”); </w:t>
      </w:r>
      <w:r w:rsidRPr="00C9228B">
        <w:rPr>
          <w:i/>
        </w:rPr>
        <w:t>cf</w:t>
      </w:r>
      <w:r w:rsidRPr="00C9228B">
        <w:t xml:space="preserve">. </w:t>
      </w:r>
      <w:r w:rsidRPr="00C9228B">
        <w:rPr>
          <w:i/>
        </w:rPr>
        <w:t>Estate of Lagano v. Bergen Cnty. Prosecutor's Office</w:t>
      </w:r>
      <w:r w:rsidRPr="00C9228B">
        <w:t xml:space="preserve">, 769 F.3d 850, 859 (3d Cir. 2014) (vacating grant of qualified immunity because plaintiff can overcome qualified immunity “without proving that we have previously issued a binding decision recognizing a state-created danger in the context of the disclosure of a confidential informant's status”); </w:t>
      </w:r>
      <w:r w:rsidRPr="00C9228B">
        <w:rPr>
          <w:i/>
        </w:rPr>
        <w:t>L.R. v. School District of Philadelphia</w:t>
      </w:r>
      <w:r w:rsidRPr="00C9228B">
        <w:t xml:space="preserve">,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 </w:t>
      </w:r>
      <w:r w:rsidRPr="00852A74">
        <w:rPr>
          <w:i/>
        </w:rPr>
        <w:t>Kedra v. Schroeter</w:t>
      </w:r>
      <w:r w:rsidRPr="00852A74">
        <w:t>, 876 F.3d 424, 450 (3d Cir. 2017)</w:t>
      </w:r>
      <w:r w:rsidR="005E3571">
        <w:t xml:space="preserve"> </w:t>
      </w:r>
      <w:r w:rsidRPr="00852A74">
        <w:t xml:space="preserve">(holding that, under prior precedent, “no reasonable officer who was aware of the lethal risk involved in demonstrating the use of deadly force on another person and who proceeded to conduct the demonstration in a manner directly contrary to known safety protocols could think his conduct was lawful”). </w:t>
      </w:r>
      <w:r w:rsidRPr="00852A74">
        <w:rPr>
          <w:i/>
          <w:iCs/>
        </w:rPr>
        <w:t>See also</w:t>
      </w:r>
      <w:r w:rsidRPr="00852A74">
        <w:t xml:space="preserve"> </w:t>
      </w:r>
      <w:r w:rsidRPr="00852A74">
        <w:rPr>
          <w:i/>
          <w:iCs/>
        </w:rPr>
        <w:t xml:space="preserve">District of Columbia v. Wesby, </w:t>
      </w:r>
      <w:r w:rsidRPr="00852A74">
        <w:rPr>
          <w:iCs/>
        </w:rPr>
        <w:t>138 S. Ct. 577, 590 (2018) (noting that</w:t>
      </w:r>
      <w:r w:rsidRPr="00852A74">
        <w:rPr>
          <w:i/>
          <w:iCs/>
        </w:rPr>
        <w:t xml:space="preserve"> </w:t>
      </w:r>
      <w:r w:rsidRPr="00852A74">
        <w:rPr>
          <w:iCs/>
        </w:rPr>
        <w:t>there can be “the rare ‘obvious case,’ where the unlawfulness of the officer’s conduct is sufficiently clear even though existing precedent does not address similar circumstances, [b]ut ‘a body of relevant case law’ is usually necessary” to overcome qualified immunity when probable cause is at issue) (citation omitted</w:t>
      </w:r>
      <w:r w:rsidRPr="00954538">
        <w:rPr>
          <w:iCs/>
        </w:rPr>
        <w:t>)</w:t>
      </w:r>
      <w:r w:rsidR="00D6597B" w:rsidRPr="00954538">
        <w:rPr>
          <w:iCs/>
        </w:rPr>
        <w:t>;</w:t>
      </w:r>
      <w:r w:rsidR="00D6597B" w:rsidRPr="00954538">
        <w:rPr>
          <w:i/>
        </w:rPr>
        <w:t xml:space="preserve"> </w:t>
      </w:r>
      <w:r w:rsidR="006C0891" w:rsidRPr="00C10C0E">
        <w:rPr>
          <w:i/>
        </w:rPr>
        <w:t>E. D. v. Sharkey</w:t>
      </w:r>
      <w:r w:rsidR="006C0891" w:rsidRPr="00C10C0E">
        <w:t xml:space="preserve">, </w:t>
      </w:r>
      <w:r w:rsidR="004F6059" w:rsidRPr="004F6059">
        <w:t>928 F.3d 299, 30</w:t>
      </w:r>
      <w:r w:rsidR="004F6059">
        <w:t xml:space="preserve">8 </w:t>
      </w:r>
      <w:r w:rsidR="004F6059" w:rsidRPr="004F6059">
        <w:t>(3d Cir. 2019)</w:t>
      </w:r>
      <w:r w:rsidR="004F6059">
        <w:t xml:space="preserve"> </w:t>
      </w:r>
      <w:r w:rsidR="006C0891" w:rsidRPr="00C10C0E">
        <w:t xml:space="preserve">(noting that Sharkey “committed institutional sexual assault in violation of” a Pennsylvania statute that “forbids an employee of a residential facility serving children and youth from having sexual intercourse with a detainee, regardless of whether the detainee gave consent,” and stating “[t]hat Sharkey’s conduct was illegal renders E.D.’s right to be free from sexual assault so obvious that it could be deemed clearly established even without materially similar cases”) (citations and internal quotation marks omitted); </w:t>
      </w:r>
      <w:r w:rsidR="00D6597B" w:rsidRPr="00954538">
        <w:rPr>
          <w:i/>
        </w:rPr>
        <w:t>Russell v. Richardson</w:t>
      </w:r>
      <w:r w:rsidR="00D6597B" w:rsidRPr="00954538">
        <w:t xml:space="preserve">, 905 F.3d 239, 252 (3d Cir. 2018) (finding an “obvious case” where marshal </w:t>
      </w:r>
      <w:r w:rsidR="00D6597B" w:rsidRPr="00954538">
        <w:rPr>
          <w:iCs/>
        </w:rPr>
        <w:t>used deadly force against a minor as he exited his bedroom wearing only underwear, and there was no indication the minor “was then engaged in any misconduct beyond disobeying his mother”);</w:t>
      </w:r>
      <w:r w:rsidR="00D6597B" w:rsidRPr="00742BCF">
        <w:t xml:space="preserve"> </w:t>
      </w:r>
      <w:r w:rsidR="00D6597B" w:rsidRPr="00742BCF">
        <w:rPr>
          <w:i/>
          <w:iCs/>
        </w:rPr>
        <w:t>Kane v. Barger</w:t>
      </w:r>
      <w:r w:rsidR="00D6597B" w:rsidRPr="00742BCF">
        <w:rPr>
          <w:iCs/>
        </w:rPr>
        <w:t>, 902 F.3d 185 (3d Cir. 2018)</w:t>
      </w:r>
      <w:r w:rsidR="00D6597B">
        <w:rPr>
          <w:iCs/>
        </w:rPr>
        <w:t xml:space="preserve"> (relying on </w:t>
      </w:r>
      <w:r w:rsidR="00D6597B" w:rsidRPr="00742BCF">
        <w:rPr>
          <w:iCs/>
        </w:rPr>
        <w:t xml:space="preserve">some analogous cases </w:t>
      </w:r>
      <w:r w:rsidR="00D6597B">
        <w:rPr>
          <w:iCs/>
        </w:rPr>
        <w:t xml:space="preserve">in </w:t>
      </w:r>
      <w:r w:rsidR="00D6597B" w:rsidRPr="00742BCF">
        <w:rPr>
          <w:iCs/>
        </w:rPr>
        <w:t>reject</w:t>
      </w:r>
      <w:r w:rsidR="00D6597B">
        <w:rPr>
          <w:iCs/>
        </w:rPr>
        <w:t>ing</w:t>
      </w:r>
      <w:r w:rsidR="00D6597B" w:rsidRPr="00742BCF">
        <w:rPr>
          <w:iCs/>
        </w:rPr>
        <w:t xml:space="preserve"> qualified immunity for a police officer who touched the victim of a sexual assault and photographed her intimate areas with his personal cell phone for personal gratification rather than investigate ends</w:t>
      </w:r>
      <w:r w:rsidR="00D6597B">
        <w:rPr>
          <w:iCs/>
        </w:rPr>
        <w:t xml:space="preserve">, but </w:t>
      </w:r>
      <w:r w:rsidR="00D6597B" w:rsidRPr="00742BCF">
        <w:rPr>
          <w:iCs/>
        </w:rPr>
        <w:t>also stat</w:t>
      </w:r>
      <w:r w:rsidR="00D6597B">
        <w:rPr>
          <w:iCs/>
        </w:rPr>
        <w:t>ing</w:t>
      </w:r>
      <w:r w:rsidR="00D6597B" w:rsidRPr="00742BCF">
        <w:rPr>
          <w:iCs/>
        </w:rPr>
        <w:t>, “given the egregiousness of Barger’s violation of Kane’s personal security and bodily integrity, the right here is so ‘obvious’ that it could be deemed clearly established even without materially similar cases”</w:t>
      </w:r>
      <w:r w:rsidR="00D6597B">
        <w:rPr>
          <w:iCs/>
        </w:rPr>
        <w:t>).</w:t>
      </w:r>
      <w:r w:rsidRPr="00852A74">
        <w:rPr>
          <w:iCs/>
        </w:rPr>
        <w:t xml:space="preserve"> </w:t>
      </w:r>
      <w:r w:rsidRPr="00852A74">
        <w:rPr>
          <w:i/>
          <w:iCs/>
        </w:rPr>
        <w:t xml:space="preserve"> </w:t>
      </w:r>
    </w:p>
    <w:p w14:paraId="0C6A99B5" w14:textId="77777777" w:rsidR="00C9228B" w:rsidRPr="00852A74" w:rsidRDefault="00C9228B" w:rsidP="00C9228B">
      <w:pPr>
        <w:ind w:firstLine="720"/>
        <w:jc w:val="both"/>
      </w:pPr>
    </w:p>
    <w:p w14:paraId="0C9B2372" w14:textId="69B865EB" w:rsidR="00C9228B" w:rsidRPr="00852A74" w:rsidRDefault="00C9228B" w:rsidP="00DD2BEE">
      <w:pPr>
        <w:ind w:firstLine="720"/>
        <w:jc w:val="both"/>
      </w:pPr>
      <w:r w:rsidRPr="00C9228B">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C9228B">
        <w:rPr>
          <w:i/>
          <w:iCs/>
        </w:rPr>
        <w:t>Ashcroft v. Al-Kidd</w:t>
      </w:r>
      <w:r w:rsidRPr="00C9228B">
        <w:t xml:space="preserve">, 131 S. Ct. 2074, 2084-85 (2011); </w:t>
      </w:r>
      <w:r w:rsidRPr="00C9228B">
        <w:rPr>
          <w:i/>
        </w:rPr>
        <w:t>Ziglar v. Abbasi</w:t>
      </w:r>
      <w:r w:rsidRPr="00C9228B">
        <w:t xml:space="preserve">, 137 S. Ct. 1843 (2017) (“When courts are divided on an issue so central to the cause of action alleged, a reasonable official lacks the notice required before imposing liability.”); </w:t>
      </w:r>
      <w:r w:rsidR="00D6597B" w:rsidRPr="006B45E6">
        <w:rPr>
          <w:i/>
        </w:rPr>
        <w:t>Kisela v. Hughes</w:t>
      </w:r>
      <w:r w:rsidR="00D6597B" w:rsidRPr="006B45E6">
        <w:t xml:space="preserve">, 138 S. Ct. 1148 (2018) </w:t>
      </w:r>
      <w:r w:rsidR="00D6597B">
        <w:t xml:space="preserve">(noting that </w:t>
      </w:r>
      <w:r w:rsidR="00D6597B" w:rsidRPr="006B45E6">
        <w:t>even if controlling circuit precedent could constitute clearly established law, the most analogous precedent favored the officer</w:t>
      </w:r>
      <w:r w:rsidR="00D6597B">
        <w:t xml:space="preserve">); </w:t>
      </w:r>
      <w:r w:rsidRPr="00C9228B">
        <w:rPr>
          <w:i/>
          <w:iCs/>
        </w:rPr>
        <w:t>Safford Unified School Dist. No. 1 v. Redding</w:t>
      </w:r>
      <w:r w:rsidRPr="00C9228B">
        <w:t>, 129 S. Ct. 2633, 2644 (2009) (“[T]he cases viewing school strip searches differently from the way we see them are numerous enough, with well</w:t>
      </w:r>
      <w:r w:rsidRPr="00C9228B">
        <w:noBreakHyphen/>
        <w:t xml:space="preserve">reasoned majority and dissenting opinions, to counsel doubt that we were sufficiently clear in the prior statement of law.”); </w:t>
      </w:r>
      <w:r w:rsidRPr="00C9228B">
        <w:rPr>
          <w:i/>
        </w:rPr>
        <w:t>Stanton v. Sims</w:t>
      </w:r>
      <w:r w:rsidRPr="00C9228B">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rsidR="009C40A3">
        <w:t xml:space="preserve"> </w:t>
      </w:r>
      <w:r w:rsidR="00311663" w:rsidRPr="009C40A3">
        <w:rPr>
          <w:i/>
        </w:rPr>
        <w:t>James v. New Jersey State Police</w:t>
      </w:r>
      <w:r w:rsidR="00311663" w:rsidRPr="009C40A3">
        <w:t xml:space="preserve">, 957 F.3d 165 (3d Cir. 2020) (holding that officer was protected by qualified immunity because case was most similar to </w:t>
      </w:r>
      <w:r w:rsidR="00311663" w:rsidRPr="009C40A3">
        <w:rPr>
          <w:i/>
        </w:rPr>
        <w:t>Kisela</w:t>
      </w:r>
      <w:r w:rsidR="00311663" w:rsidRPr="009C40A3">
        <w:t xml:space="preserve">, officer knew that the man he shot (1) had violated a restraining order; (2) possessed a firearm that he had brandished within the last hour; and (3) was reportedly mentally ill and may have been off his medication, and distinguishing </w:t>
      </w:r>
      <w:r w:rsidR="00311663" w:rsidRPr="009C40A3">
        <w:rPr>
          <w:i/>
        </w:rPr>
        <w:t>Bennett v. Murphy</w:t>
      </w:r>
      <w:r w:rsidR="00311663" w:rsidRPr="009C40A3">
        <w:t>, 274 F.3d 133 (3d Cir. 2002), in part because of this knowledge);</w:t>
      </w:r>
      <w:r w:rsidR="009C40A3" w:rsidRPr="009C40A3">
        <w:rPr>
          <w:rFonts w:ascii="Century Schoolbook" w:hAnsi="Century Schoolbook"/>
        </w:rPr>
        <w:t xml:space="preserve"> </w:t>
      </w:r>
      <w:r w:rsidRPr="00C9228B">
        <w:rPr>
          <w:i/>
        </w:rPr>
        <w:t>Davenport v. Borough of Homestead</w:t>
      </w:r>
      <w:r w:rsidRPr="00C9228B">
        <w:t>, 870 F.3d 27</w:t>
      </w:r>
      <w:r w:rsidR="00CB00F3">
        <w:t>3</w:t>
      </w:r>
      <w:r w:rsidRPr="00C9228B">
        <w:t xml:space="preserve">, 282 (3d Cir. 2017) (holding that police officers were protected by qualified immunity because of the “near absence of cases” dealing with the rights of a passenger involved in a dangerous vehicle pursuit); </w:t>
      </w:r>
      <w:r w:rsidRPr="00C9228B">
        <w:rPr>
          <w:i/>
        </w:rPr>
        <w:t>Fields v. City of Philadelphia</w:t>
      </w:r>
      <w:r w:rsidRPr="00C9228B">
        <w:t xml:space="preserve">, 862 F.3d 353, 361-62 (3d Cir. 2017) (because other cases recognizing a first amendment right to photograph the police were arguably distinguishable, they did not establish that right clearly enough to overcome qualified immunity); </w:t>
      </w:r>
      <w:r w:rsidRPr="00C9228B">
        <w:rPr>
          <w:i/>
          <w:iCs/>
        </w:rPr>
        <w:t>Ray v. Township of Warren</w:t>
      </w:r>
      <w:r w:rsidRPr="00C9228B">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C9228B">
        <w:rPr>
          <w:i/>
        </w:rPr>
        <w:t>Marcavage v. National Park Serv.</w:t>
      </w:r>
      <w:r w:rsidRPr="00C9228B">
        <w:t xml:space="preserve">, 666 F.3d 856, 857, 859-60 (3d Cir. 2012) (holding that plaintiff’s conviction for misdemeanors stemming from events at issue supported qualified immunity defense of arresting officer and his supervisor, even though conviction was later reversed). </w:t>
      </w:r>
      <w:r w:rsidRPr="00C9228B">
        <w:rPr>
          <w:i/>
        </w:rPr>
        <w:t>See also</w:t>
      </w:r>
      <w:r w:rsidRPr="00C9228B">
        <w:t xml:space="preserve"> </w:t>
      </w:r>
      <w:r w:rsidR="001B7581" w:rsidRPr="00C10C0E">
        <w:rPr>
          <w:i/>
        </w:rPr>
        <w:t>City of Escondido v. Emmons</w:t>
      </w:r>
      <w:r w:rsidR="001B7581" w:rsidRPr="00C10C0E">
        <w:t>, 139 S. Ct. 500, 502, 504 (2019) (holding that the</w:t>
      </w:r>
      <w:r w:rsidR="005600F0">
        <w:t xml:space="preserve"> </w:t>
      </w:r>
      <w:r w:rsidR="001B7581" w:rsidRPr="00C10C0E">
        <w:t xml:space="preserve">formulation of the clearly established right by the court of appeals—the “right to be free of excessive force”—“was far too general”); </w:t>
      </w:r>
      <w:r w:rsidR="001B7581">
        <w:rPr>
          <w:i/>
        </w:rPr>
        <w:t>Wh</w:t>
      </w:r>
      <w:r w:rsidRPr="00C9228B">
        <w:rPr>
          <w:i/>
        </w:rPr>
        <w:t>ite v. Pauly</w:t>
      </w:r>
      <w:r w:rsidRPr="00C9228B">
        <w:t xml:space="preserve">, 137 S. Ct. 548, 552 (2017) (reiterating the need to avoid a high level of generality and stating that the factual uniqueness of the case “alone should have been an important indication” that the defendant did not violate clearly established law); </w:t>
      </w:r>
      <w:r w:rsidRPr="00C9228B">
        <w:rPr>
          <w:i/>
        </w:rPr>
        <w:t>Mann v. Palmerton Area School District</w:t>
      </w:r>
      <w:r w:rsidRPr="00C9228B">
        <w:t xml:space="preserve">, 872 F.3d 165, 174 (3d Cir. 2017) (holding that “it was not so plainly obvious that requiring a student-athlete, fully clothed in protective gear, to continue to participate in practice after sustaining a violent hit and exhibiting concussion symptoms implicated the student athlete’s constitutional rights”); </w:t>
      </w:r>
      <w:r w:rsidRPr="00852A74">
        <w:rPr>
          <w:i/>
        </w:rPr>
        <w:t>Barna v. Board of School Directors of the Panther Valley School District</w:t>
      </w:r>
      <w:r w:rsidRPr="00852A74">
        <w:t>, 877 F.3d 136, 144 (3d Cir. 2017) (observing that “there was, at best, disagreement in the Courts of Appeals as to the existence of a clearly established right to participate in school board meetings despite engaging in a pattern of threatening and disruptive behavior”).</w:t>
      </w:r>
      <w:r w:rsidR="00D47CE7" w:rsidRPr="00D47CE7">
        <w:t xml:space="preserve"> </w:t>
      </w:r>
      <w:r w:rsidR="00DD2BEE" w:rsidRPr="00DD2BEE">
        <w:rPr>
          <w:i/>
        </w:rPr>
        <w:t>Cf. Williams v. City of York</w:t>
      </w:r>
      <w:r w:rsidR="00DD2BEE" w:rsidRPr="00DD2BEE">
        <w:t xml:space="preserve">, 967 F.3d 252 (3d Cir. 2020) (holding that defendants alleged to have made arrest without probable were protected by qualified immunity because of uncertainty in </w:t>
      </w:r>
      <w:r w:rsidR="00DD2BEE" w:rsidRPr="00DD2BEE">
        <w:rPr>
          <w:i/>
        </w:rPr>
        <w:t>state</w:t>
      </w:r>
      <w:r w:rsidR="00DD2BEE" w:rsidRPr="00DD2BEE">
        <w:t xml:space="preserve"> law).</w:t>
      </w:r>
      <w:r w:rsidR="00D47CE7">
        <w:t xml:space="preserve"> </w:t>
      </w:r>
    </w:p>
    <w:p w14:paraId="5EB5BDB9" w14:textId="77777777" w:rsidR="00C9228B" w:rsidRPr="00C9228B" w:rsidRDefault="00C9228B" w:rsidP="00C9228B">
      <w:pPr>
        <w:ind w:firstLine="720"/>
        <w:jc w:val="both"/>
      </w:pPr>
    </w:p>
    <w:p w14:paraId="48CAF7A5" w14:textId="4DBB528A" w:rsidR="00D6597B" w:rsidRPr="00CE325D" w:rsidRDefault="00C9228B" w:rsidP="00C9228B">
      <w:pPr>
        <w:ind w:firstLine="720"/>
        <w:jc w:val="both"/>
      </w:pPr>
      <w:r w:rsidRPr="00C9228B">
        <w:t xml:space="preserve">Courts should also be cautious about concluding that the law is clearly established based only on one or two opinions from their own circuit. </w:t>
      </w:r>
      <w:r w:rsidRPr="00C9228B">
        <w:rPr>
          <w:i/>
        </w:rPr>
        <w:t>Taylor v. Barkes</w:t>
      </w:r>
      <w:r w:rsidRPr="00C9228B">
        <w:t xml:space="preserve">, 135 S. Ct. 2042 (2015) (summarily reversing Court of Appeals for the Third Circuit); </w:t>
      </w:r>
      <w:r w:rsidRPr="00C9228B">
        <w:rPr>
          <w:i/>
        </w:rPr>
        <w:t>Carroll v. Carman</w:t>
      </w:r>
      <w:r w:rsidRPr="00C9228B">
        <w:t>, 135 S. Ct. 348 (2014) (same</w:t>
      </w:r>
      <w:r w:rsidRPr="00852A74">
        <w:t>).</w:t>
      </w:r>
      <w:r w:rsidRPr="00852A74">
        <w:rPr>
          <w:i/>
        </w:rPr>
        <w:t xml:space="preserve"> See also District of Columbia v. Wesby</w:t>
      </w:r>
      <w:r w:rsidRPr="00852A74">
        <w:t xml:space="preserve">, 138 S. Ct. 577,  591 n.8 (2018) (noting that the Court has not yet decided what precedents, other than its own, qualify as controlling authority for purposes of qualified immunity); </w:t>
      </w:r>
      <w:r w:rsidR="0023723D" w:rsidRPr="00C10C0E">
        <w:rPr>
          <w:i/>
        </w:rPr>
        <w:t>Baloga v. Pittston Area Sch. Dist.</w:t>
      </w:r>
      <w:r w:rsidR="0023723D" w:rsidRPr="00C10C0E">
        <w:t xml:space="preserve">, </w:t>
      </w:r>
      <w:r w:rsidR="005600F0">
        <w:t>92</w:t>
      </w:r>
      <w:r w:rsidR="005B4389">
        <w:t>7</w:t>
      </w:r>
      <w:r w:rsidR="005600F0">
        <w:t xml:space="preserve"> F.3d </w:t>
      </w:r>
      <w:r w:rsidR="00F55504">
        <w:t>742, 763 (</w:t>
      </w:r>
      <w:r w:rsidR="0023723D" w:rsidRPr="00C10C0E">
        <w:t>3d Cir.</w:t>
      </w:r>
      <w:r w:rsidR="005600F0">
        <w:t xml:space="preserve"> </w:t>
      </w:r>
      <w:r w:rsidR="0023723D" w:rsidRPr="00C10C0E">
        <w:t>2019) (concluding, based on a robust consensus in the courts of appeals, that the “right not to face retaliation for [one’s] leadership role in a public union was clearly established at the relevant time”);</w:t>
      </w:r>
      <w:r w:rsidR="0023723D" w:rsidRPr="00A213E7">
        <w:t xml:space="preserve"> </w:t>
      </w:r>
      <w:r w:rsidR="0023723D" w:rsidRPr="00C10C0E">
        <w:rPr>
          <w:i/>
        </w:rPr>
        <w:t>United States v. Baroni</w:t>
      </w:r>
      <w:r w:rsidR="0023723D" w:rsidRPr="00C10C0E">
        <w:t>, 909 F.3d 550, 588 (3d Cir. 2018) (applying qualified immunity precedents in a case arising under 18 U.S.C. §§ 241 and 242, and holding that “although four circuits (including our own) have found some form of a constitutional right to intrastate travel, there is hardly a ‘robust consensus’ that the right exists, let alone clarity as to its contours,</w:t>
      </w:r>
      <w:r w:rsidR="00657FE2" w:rsidRPr="00C10C0E">
        <w:t>”</w:t>
      </w:r>
      <w:r w:rsidR="0023723D" w:rsidRPr="00C10C0E">
        <w:t xml:space="preserve"> and therefore, even though a prior circuit decision “is both clear and binding in our jurisdiction,” that decision did not provide “fair </w:t>
      </w:r>
      <w:r w:rsidR="0023723D" w:rsidRPr="00956658">
        <w:t>warning” that the “conduct was illegal, especially in view of the state of the law in our sister circuits”),</w:t>
      </w:r>
      <w:r w:rsidR="00FB6364" w:rsidRPr="00956658">
        <w:t xml:space="preserve"> </w:t>
      </w:r>
      <w:r w:rsidR="00FB6364" w:rsidRPr="00956658">
        <w:rPr>
          <w:i/>
        </w:rPr>
        <w:t>rev’d on other grounds, Kelly v. United States</w:t>
      </w:r>
      <w:r w:rsidR="00FB6364" w:rsidRPr="00956658">
        <w:t>, 140 S. Ct. 1565 (2020)</w:t>
      </w:r>
      <w:r w:rsidR="0023723D" w:rsidRPr="00956658">
        <w:t xml:space="preserve">; </w:t>
      </w:r>
      <w:r w:rsidRPr="00956658">
        <w:rPr>
          <w:i/>
        </w:rPr>
        <w:t>Barna v. Bd. of</w:t>
      </w:r>
      <w:r w:rsidRPr="00852A74">
        <w:rPr>
          <w:i/>
        </w:rPr>
        <w:t xml:space="preserve"> Sch. Directors of Panther Valley Sch. Dist</w:t>
      </w:r>
      <w:r w:rsidRPr="00852A74">
        <w:t xml:space="preserve">., 877 F.3d 136, 144–45 (3d Cir. 2017) (“Even if a right can be clearly established by circuit precedent despite disagreement in the courts of appeals, there does not appear to be any such consensus—much less the robust consensus—that we require”) (internal quotation marks and citation omitted); </w:t>
      </w:r>
      <w:r w:rsidRPr="00C9228B">
        <w:rPr>
          <w:i/>
        </w:rPr>
        <w:t>Mammaro v. New Jersey Div. of Child Prot. &amp; Permanency</w:t>
      </w:r>
      <w:r w:rsidRPr="00C9228B">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w:t>
      </w:r>
      <w:r w:rsidR="00D6597B" w:rsidRPr="00CE325D">
        <w:rPr>
          <w:i/>
        </w:rPr>
        <w:t>But see</w:t>
      </w:r>
      <w:r w:rsidR="00D6597B" w:rsidRPr="00CE325D">
        <w:t xml:space="preserve"> </w:t>
      </w:r>
      <w:r w:rsidR="00D6597B" w:rsidRPr="00CE325D">
        <w:rPr>
          <w:i/>
        </w:rPr>
        <w:t>Sauers v. Borough of Nesquehoning</w:t>
      </w:r>
      <w:r w:rsidR="00D6597B" w:rsidRPr="00CE325D">
        <w:t xml:space="preserve">, </w:t>
      </w:r>
      <w:r w:rsidR="00CE325D" w:rsidRPr="00CE325D">
        <w:t>905 F.3d 711, 715</w:t>
      </w:r>
      <w:r w:rsidR="00D6597B" w:rsidRPr="00CE325D">
        <w:t xml:space="preserve">, </w:t>
      </w:r>
      <w:r w:rsidR="00CE325D" w:rsidRPr="00CE325D">
        <w:t>723</w:t>
      </w:r>
      <w:r w:rsidR="00D6597B" w:rsidRPr="00CE325D">
        <w:t xml:space="preserve"> (3d Cir. Oct. 2, 2018) (acknowledging circuit split, while stating, “We hope . . . to establish the law clearly now,” and “our opinion today should resolve any ambiguity . . . . within this Circuit.”).</w:t>
      </w:r>
      <w:r w:rsidR="0023723D" w:rsidRPr="00C10C0E">
        <w:rPr>
          <w:i/>
        </w:rPr>
        <w:t xml:space="preserve"> Cf.</w:t>
      </w:r>
      <w:r w:rsidR="0023723D" w:rsidRPr="00C10C0E">
        <w:t xml:space="preserve"> </w:t>
      </w:r>
      <w:r w:rsidR="0023723D" w:rsidRPr="00C10C0E">
        <w:rPr>
          <w:i/>
        </w:rPr>
        <w:t>Bryan v. United States</w:t>
      </w:r>
      <w:r w:rsidR="0023723D" w:rsidRPr="00C10C0E">
        <w:t>, 913 F.3d 356, 363 (3d Cir. 2019) (“For purposes of qualified immunity, a legal principle does not become ‘clearly established’ the day we announce a decision, or even one or two days later.”).</w:t>
      </w:r>
    </w:p>
    <w:p w14:paraId="579225B0" w14:textId="77777777" w:rsidR="00D6597B" w:rsidRPr="00CE325D" w:rsidRDefault="00D6597B" w:rsidP="00C9228B">
      <w:pPr>
        <w:ind w:firstLine="720"/>
        <w:jc w:val="both"/>
      </w:pPr>
    </w:p>
    <w:p w14:paraId="36AB9240" w14:textId="7556E366" w:rsidR="00C9228B" w:rsidRDefault="00C9228B" w:rsidP="00C9228B">
      <w:pPr>
        <w:ind w:firstLine="720"/>
        <w:jc w:val="both"/>
      </w:pPr>
      <w:r w:rsidRPr="00C9228B">
        <w:t xml:space="preserve">It is nonetheless possible for a principle of law to be clearly established, even if a member of the court does not believe that principle to be a correct statement of the law at all. In </w:t>
      </w:r>
      <w:r w:rsidRPr="00C9228B">
        <w:rPr>
          <w:i/>
        </w:rPr>
        <w:t>Mack v. Warden Loretto FCI</w:t>
      </w:r>
      <w:r w:rsidRPr="00C9228B">
        <w:t>, 839 F.3d 286 (3d Cir. 2016),</w:t>
      </w:r>
      <w:r w:rsidR="0023723D" w:rsidRPr="0023723D">
        <w:t xml:space="preserve"> </w:t>
      </w:r>
      <w:bookmarkStart w:id="2" w:name="_Hlk12529246"/>
      <w:bookmarkStart w:id="3" w:name="_Hlk14090173"/>
      <w:r w:rsidR="0023723D" w:rsidRPr="00C10C0E">
        <w:rPr>
          <w:i/>
        </w:rPr>
        <w:t>overruled on other grounds</w:t>
      </w:r>
      <w:r w:rsidR="0023723D" w:rsidRPr="00C10C0E">
        <w:t xml:space="preserve">, </w:t>
      </w:r>
      <w:r w:rsidR="00017E4E">
        <w:rPr>
          <w:i/>
        </w:rPr>
        <w:t xml:space="preserve">Mack </w:t>
      </w:r>
      <w:r w:rsidR="0023723D" w:rsidRPr="00C10C0E">
        <w:rPr>
          <w:i/>
        </w:rPr>
        <w:t xml:space="preserve">v. </w:t>
      </w:r>
      <w:r w:rsidR="00017E4E">
        <w:rPr>
          <w:i/>
        </w:rPr>
        <w:t>Yost</w:t>
      </w:r>
      <w:r w:rsidR="0023723D" w:rsidRPr="00C10C0E">
        <w:t>, 9</w:t>
      </w:r>
      <w:r w:rsidR="000258DC">
        <w:t xml:space="preserve">86 F.3d 311 </w:t>
      </w:r>
      <w:r w:rsidR="0023723D" w:rsidRPr="00C10C0E">
        <w:t>(3d Cir. 20</w:t>
      </w:r>
      <w:r w:rsidR="000258DC">
        <w:t>20</w:t>
      </w:r>
      <w:r w:rsidR="0023723D" w:rsidRPr="00C10C0E">
        <w:t>),</w:t>
      </w:r>
      <w:bookmarkEnd w:id="2"/>
      <w:r w:rsidR="0023723D">
        <w:t xml:space="preserve"> </w:t>
      </w:r>
      <w:r w:rsidRPr="00C9228B">
        <w:t xml:space="preserve">while </w:t>
      </w:r>
      <w:bookmarkEnd w:id="3"/>
      <w:r w:rsidRPr="00C9228B">
        <w:t xml:space="preserve">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C9228B">
        <w:rPr>
          <w:i/>
        </w:rPr>
        <w:t>Id</w:t>
      </w:r>
      <w:r w:rsidRPr="00C9228B">
        <w:t xml:space="preserve">. at 306. </w:t>
      </w:r>
      <w:r w:rsidRPr="00C9228B">
        <w:rPr>
          <w:i/>
        </w:rPr>
        <w:t>See also Groh v. Ramirez</w:t>
      </w:r>
      <w:r w:rsidRPr="00C9228B">
        <w:t>, 540 U.S. 551 (2004) (denying qualified immunity in a Fourth Amendment search case, over a dissent that found no constitutional violation).</w:t>
      </w:r>
    </w:p>
    <w:p w14:paraId="327C1957" w14:textId="77777777" w:rsidR="00C9228B" w:rsidRPr="00C9228B" w:rsidRDefault="00C9228B" w:rsidP="00C9228B">
      <w:pPr>
        <w:ind w:firstLine="720"/>
        <w:jc w:val="both"/>
      </w:pPr>
    </w:p>
    <w:p w14:paraId="6F165FD0" w14:textId="6E456A69" w:rsidR="00C9228B" w:rsidRPr="00C9228B" w:rsidRDefault="00C9228B" w:rsidP="00C9228B">
      <w:pPr>
        <w:ind w:firstLine="720"/>
        <w:jc w:val="both"/>
      </w:pPr>
      <w:r w:rsidRPr="00C9228B">
        <w:t xml:space="preserve">Explaining its focus on reasonableness under the circumstances, the Court stated in </w:t>
      </w:r>
      <w:r w:rsidRPr="00C9228B">
        <w:rPr>
          <w:i/>
        </w:rPr>
        <w:t>Saucier</w:t>
      </w:r>
      <w:r w:rsidRPr="00C9228B">
        <w:t xml:space="preserve"> that “[b]ecause ‘police officers are often forced to make split</w:t>
      </w:r>
      <w:r w:rsidRPr="00C9228B">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C9228B">
        <w:noBreakHyphen/>
        <w:t xml:space="preserve">scene perspective.”  </w:t>
      </w:r>
      <w:r w:rsidRPr="00C9228B">
        <w:rPr>
          <w:i/>
        </w:rPr>
        <w:t>Saucier</w:t>
      </w:r>
      <w:r w:rsidRPr="00C9228B">
        <w:t xml:space="preserve">, 533 U.S. at 205 (quoting </w:t>
      </w:r>
      <w:r w:rsidRPr="00C9228B">
        <w:rPr>
          <w:i/>
        </w:rPr>
        <w:t>Graham v. Connor</w:t>
      </w:r>
      <w:r w:rsidRPr="00C9228B">
        <w:t xml:space="preserve">, 490 U.S. 386, 397 (1989)). </w:t>
      </w:r>
      <w:r w:rsidRPr="00C9228B">
        <w:rPr>
          <w:i/>
        </w:rPr>
        <w:t xml:space="preserve">See </w:t>
      </w:r>
      <w:r w:rsidRPr="00CE325D">
        <w:rPr>
          <w:i/>
        </w:rPr>
        <w:t>also</w:t>
      </w:r>
      <w:r w:rsidR="00EC6584" w:rsidRPr="00CE325D">
        <w:rPr>
          <w:i/>
        </w:rPr>
        <w:t xml:space="preserve"> Bland v. City of Newark</w:t>
      </w:r>
      <w:r w:rsidR="00EC6584" w:rsidRPr="00CE325D">
        <w:t xml:space="preserve">, 900 F.3d 77 (3d Cir. 2018) (upholding qualified immunity for officers who shot driver of car after it crashed and was entangled in scaffolding because Bland threatened to kill the officers, the officers had reason to believe Bland was armed, and the officers had seen Bland extricate the car he was driving from an earlier crash and continue to flee); </w:t>
      </w:r>
      <w:r w:rsidRPr="00C9228B">
        <w:rPr>
          <w:i/>
        </w:rPr>
        <w:t>Mammaro v. New Jersey Div. of Child Prot. &amp; Permanency</w:t>
      </w:r>
      <w:r w:rsidRPr="00C9228B">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w:t>
      </w:r>
      <w:r w:rsidRPr="00A55758">
        <w:rPr>
          <w:i/>
        </w:rPr>
        <w:t>See</w:t>
      </w:r>
      <w:r w:rsidRPr="00C9228B">
        <w:t xml:space="preserve"> </w:t>
      </w:r>
      <w:r w:rsidRPr="00C9228B">
        <w:rPr>
          <w:i/>
        </w:rPr>
        <w:t>Reedy v. Evanson</w:t>
      </w:r>
      <w:r w:rsidRPr="00C9228B">
        <w:t>, 615 F.3d 197, 224 n.37 (3d Cir. 2010) (in the course of holding that summary judgment on qualified-immunity grounds was inappropriate, noting that “[t]here were no ‘split</w:t>
      </w:r>
      <w:r w:rsidRPr="00C9228B">
        <w:noBreakHyphen/>
        <w:t>second’ decisions made in this case”).</w:t>
      </w:r>
    </w:p>
    <w:p w14:paraId="78E5CF49" w14:textId="77777777" w:rsidR="00C9228B" w:rsidRDefault="00C9228B">
      <w:pPr>
        <w:ind w:firstLine="720"/>
        <w:jc w:val="both"/>
      </w:pPr>
    </w:p>
    <w:p w14:paraId="229F2148" w14:textId="378EB5EB"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rPr>
        <w:footnoteReference w:id="102"/>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rPr>
        <w:footnoteReference w:id="103"/>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rPr>
        <w:footnoteReference w:id="104"/>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rPr>
        <w:footnoteReference w:id="105"/>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rPr>
        <w:footnoteReference w:id="106"/>
      </w:r>
      <w:r>
        <w:t xml:space="preserve">  Rather, the court 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rPr>
        <w:footnoteReference w:id="10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rPr>
        <w:footnoteReference w:id="108"/>
      </w:r>
      <w:r>
        <w:t xml:space="preserve">  Admittedly, 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rPr>
        <w:footnoteReference w:id="109"/>
      </w:r>
      <w:r>
        <w:t xml:space="preserve"> raises the possibility 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1F3250BE"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8B1545">
        <w:t>’ ”</w:t>
      </w:r>
      <w:r w:rsidR="00AC6A18">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rPr>
        <w:footnoteReference w:id="110"/>
      </w:r>
      <w:r>
        <w:t xml:space="preserve">    In those cases, the jury</w:t>
      </w:r>
      <w:r w:rsidR="000D09A4">
        <w:t>’</w:t>
      </w:r>
      <w:r>
        <w:t>s decision on the defendant</w:t>
      </w:r>
      <w:r w:rsidR="000D09A4">
        <w:t>’</w:t>
      </w:r>
      <w:r>
        <w:t>s state of mind will also determine the qualified immunity question.</w:t>
      </w:r>
      <w:r>
        <w:rPr>
          <w:rStyle w:val="FootnoteReference"/>
        </w:rPr>
        <w:footnoteReference w:id="111"/>
      </w:r>
      <w:r>
        <w:t xml:space="preserve"> </w:t>
      </w:r>
    </w:p>
    <w:p w14:paraId="6C3CE25D" w14:textId="77777777" w:rsidR="00A610BD" w:rsidRDefault="00A610BD">
      <w:pPr>
        <w:ind w:firstLine="720"/>
        <w:jc w:val="both"/>
      </w:pPr>
      <w:r>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68503B00" w:rsidR="00A610BD" w:rsidRDefault="00A610BD">
      <w:pPr>
        <w:tabs>
          <w:tab w:val="center" w:pos="4680"/>
        </w:tabs>
        <w:jc w:val="both"/>
        <w:rPr>
          <w:b/>
          <w:bCs/>
          <w:sz w:val="28"/>
          <w:szCs w:val="28"/>
        </w:rPr>
      </w:pPr>
      <w:r>
        <w:rPr>
          <w:b/>
          <w:bCs/>
          <w:sz w:val="28"/>
          <w:szCs w:val="28"/>
        </w:rPr>
        <w:t>4.7.3</w:t>
      </w:r>
      <w:r>
        <w:rPr>
          <w:b/>
          <w:bCs/>
          <w:sz w:val="28"/>
          <w:szCs w:val="28"/>
        </w:rPr>
        <w:tab/>
        <w:t>Section 1983</w:t>
      </w:r>
      <w:r w:rsidR="00640B5E">
        <w:rPr>
          <w:b/>
          <w:bCs/>
          <w:sz w:val="28"/>
          <w:szCs w:val="28"/>
        </w:rPr>
        <w:t xml:space="preserve"> – </w:t>
      </w:r>
      <w:r>
        <w:rPr>
          <w:b/>
          <w:bCs/>
          <w:sz w:val="28"/>
          <w:szCs w:val="28"/>
        </w:rPr>
        <w:t xml:space="preserve">Affirmative Defenses </w:t>
      </w:r>
      <w:r w:rsidR="0077488E">
        <w:rPr>
          <w:b/>
          <w:bCs/>
          <w:sz w:val="28"/>
          <w:szCs w:val="28"/>
        </w:rPr>
        <w:t>–</w:t>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35"/>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rPr>
        <w:footnoteReference w:id="112"/>
      </w:r>
      <w:r>
        <w:t xml:space="preserve"> [by a preponderance of the evidence]</w:t>
      </w:r>
      <w:r>
        <w:rPr>
          <w:rStyle w:val="FootnoteReference"/>
        </w:rPr>
        <w:footnoteReference w:id="113"/>
      </w:r>
      <w:r>
        <w:t xml:space="preserve"> that [plaintiff] agreed to the release and that [plaintiff</w:t>
      </w:r>
      <w:r w:rsidR="000D09A4">
        <w:t>’</w:t>
      </w:r>
      <w:r>
        <w:t>s] decision to agree to the release was deliberate, informed and voluntary.</w:t>
      </w:r>
      <w:r>
        <w:rPr>
          <w:rStyle w:val="FootnoteReference"/>
        </w:rPr>
        <w:footnoteReference w:id="11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rPr>
        <w:footnoteReference w:id="11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rPr>
        <w:footnoteReference w:id="11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rPr>
        <w:footnoteReference w:id="11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rPr>
        <w:footnoteReference w:id="118"/>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rPr>
        <w:footnoteReference w:id="11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t>The objective inquiry (whether there existed a valid public interest in the release) is for the court,</w:t>
      </w:r>
      <w:r>
        <w:rPr>
          <w:rStyle w:val="FootnoteReference"/>
        </w:rPr>
        <w:footnoteReference w:id="120"/>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36"/>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Emotional and mental harm to [plaintiff] during and after the events at issue, including fear, humiliation, and mental anguish, and any such emotional and mental harm that [plaintiff] is reasonably certain to experience in the future.</w:t>
      </w:r>
      <w:r>
        <w:rPr>
          <w:rStyle w:val="FootnoteReference"/>
        </w:rPr>
        <w:footnoteReference w:id="121"/>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rPr>
        <w:footnoteReference w:id="122"/>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rPr>
        <w:footnoteReference w:id="123"/>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rPr>
        <w:footnoteReference w:id="124"/>
      </w:r>
    </w:p>
    <w:p w14:paraId="58B4EDFD" w14:textId="77777777" w:rsidR="00A610BD" w:rsidRPr="00BD7231" w:rsidRDefault="00A610BD">
      <w:pPr>
        <w:ind w:firstLine="720"/>
        <w:jc w:val="both"/>
      </w:pPr>
      <w:r w:rsidRPr="00BD7231">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rPr>
        <w:footnoteReference w:id="125"/>
      </w:r>
    </w:p>
    <w:p w14:paraId="5E4409B8" w14:textId="68F44EC2" w:rsidR="00A610BD" w:rsidRDefault="004C58B3">
      <w:pPr>
        <w:ind w:firstLine="720"/>
        <w:jc w:val="both"/>
      </w:pPr>
      <w:r>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8B1545">
        <w:t>’ ”</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w:t>
      </w:r>
      <w:r w:rsidR="001B783C">
        <w:t xml:space="preserve"> </w:t>
      </w:r>
      <w:r>
        <w:t>Supp.</w:t>
      </w:r>
      <w:r w:rsidR="001B783C">
        <w:t xml:space="preserve"> </w:t>
      </w:r>
      <w:r>
        <w:t>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F7E478F"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8B1545">
        <w:t>’ ”</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3DC30A6" w:rsidR="00A610BD" w:rsidRDefault="00A610BD">
      <w:pPr>
        <w:jc w:val="both"/>
      </w:pP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rPr>
        <w:footnoteReference w:id="126"/>
      </w:r>
      <w:r>
        <w:t xml:space="preserve">  The </w:t>
      </w:r>
      <w:r>
        <w:rPr>
          <w:i/>
          <w:iCs/>
        </w:rPr>
        <w:t>Carey</w:t>
      </w:r>
      <w:r>
        <w:t xml:space="preserve"> Court also noted, however, that </w:t>
      </w:r>
      <w:r w:rsidR="00733FCD">
        <w:t>“the</w:t>
      </w:r>
      <w:r>
        <w:t xml:space="preserve"> rules governing 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16DA7453"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8B1545">
        <w:t>’ ”</w:t>
      </w:r>
      <w:r>
        <w:t xml:space="preserve"> within the meaning of Section 1997e(e)).</w:t>
      </w:r>
      <w:r>
        <w:rPr>
          <w:rStyle w:val="FootnoteReference"/>
        </w:rPr>
        <w:footnoteReference w:id="127"/>
      </w:r>
      <w:r>
        <w:t xml:space="preserve">  At least one district court has interpreted Section 1997e(e) to preclude the award of damages for emotional injury absent a finding of physical injury.  </w:t>
      </w:r>
      <w:r>
        <w:rPr>
          <w:i/>
          <w:iCs/>
        </w:rPr>
        <w:t>See Tate v. Dragovich</w:t>
      </w:r>
      <w:r>
        <w:t>, 2003 WL 21978141, at *9 (E</w:t>
      </w:r>
      <w:r w:rsidR="0077488E">
        <w:t>.D. Pa.</w:t>
      </w:r>
      <w:r>
        <w:t xml:space="preserve">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rPr>
        <w:footnoteReference w:id="128"/>
      </w:r>
      <w:r>
        <w:t xml:space="preserve"> the court should incorporate this consideration into the instructions.</w:t>
      </w:r>
      <w:r>
        <w:rPr>
          <w:rStyle w:val="FootnoteReference"/>
        </w:rPr>
        <w:footnoteReference w:id="129"/>
      </w:r>
    </w:p>
    <w:p w14:paraId="55AD5F01" w14:textId="77777777" w:rsidR="00E73FD6" w:rsidRDefault="00E73FD6">
      <w:pPr>
        <w:ind w:firstLine="720"/>
        <w:jc w:val="both"/>
      </w:pPr>
    </w:p>
    <w:p w14:paraId="6553C457" w14:textId="77777777" w:rsidR="00A610BD" w:rsidRDefault="00A610BD">
      <w:pPr>
        <w:ind w:firstLine="720"/>
        <w:jc w:val="both"/>
      </w:pPr>
      <w:r>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37"/>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C10C0E" w:rsidRDefault="00A610BD" w:rsidP="000111B7">
      <w:pPr>
        <w:ind w:firstLine="720"/>
        <w:jc w:val="both"/>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An instruction on nominal damages is proper when the plaintiff has failed to present evidence of actual injury.  However, when the plaintiff has presented evidence of actual injury and that evidence is undisputed,</w:t>
      </w:r>
      <w:r>
        <w:rPr>
          <w:rStyle w:val="FootnoteReference"/>
        </w:rPr>
        <w:footnoteReference w:id="130"/>
      </w:r>
      <w:r>
        <w:t xml:space="preserve"> it is error to instruct the jury on nominal damages, at least if the nominal damages instruction is emphasized to the exclusion of appropriate instructions on compensatory damages.</w:t>
      </w:r>
      <w:r>
        <w:rPr>
          <w:rStyle w:val="FootnoteReference"/>
        </w:rPr>
        <w:footnoteReference w:id="13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5314BD60" w:rsidR="00A610BD" w:rsidRDefault="00A610BD">
      <w:pPr>
        <w:tabs>
          <w:tab w:val="center" w:pos="4680"/>
        </w:tabs>
        <w:jc w:val="both"/>
        <w:rPr>
          <w:b/>
          <w:bCs/>
          <w:sz w:val="28"/>
          <w:szCs w:val="28"/>
        </w:rPr>
      </w:pPr>
      <w:r>
        <w:rPr>
          <w:b/>
          <w:bCs/>
          <w:sz w:val="28"/>
          <w:szCs w:val="28"/>
        </w:rPr>
        <w:t>4.8.3</w:t>
      </w:r>
      <w:r>
        <w:rPr>
          <w:b/>
          <w:bCs/>
          <w:sz w:val="28"/>
          <w:szCs w:val="28"/>
        </w:rPr>
        <w:tab/>
        <w:t>Section 1983</w:t>
      </w:r>
      <w:r w:rsidR="00640B5E">
        <w:rPr>
          <w:b/>
          <w:bCs/>
          <w:sz w:val="28"/>
          <w:szCs w:val="28"/>
        </w:rPr>
        <w:t xml:space="preserve"> – </w:t>
      </w:r>
      <w:r>
        <w:rPr>
          <w:b/>
          <w:bCs/>
          <w:sz w:val="28"/>
          <w:szCs w:val="28"/>
        </w:rPr>
        <w:t xml:space="preserve">Damages </w:t>
      </w:r>
      <w:r w:rsidR="0077488E">
        <w:rPr>
          <w:b/>
          <w:bCs/>
          <w:sz w:val="28"/>
          <w:szCs w:val="28"/>
        </w:rPr>
        <w:t>–</w:t>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38"/>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t xml:space="preserve">Model </w:t>
      </w:r>
      <w:r>
        <w:rPr>
          <w:rStyle w:val="FootnoteReference"/>
        </w:rPr>
        <w:footnoteReference w:id="132"/>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0DF72172" w:rsidR="00A610BD" w:rsidRDefault="00A610BD" w:rsidP="00A55758">
      <w:pPr>
        <w:pStyle w:val="ListParagraph"/>
        <w:numPr>
          <w:ilvl w:val="0"/>
          <w:numId w:val="18"/>
        </w:numPr>
        <w:jc w:val="both"/>
      </w:pP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6D8BE5AA" w:rsidR="00A610BD" w:rsidRDefault="00A610BD" w:rsidP="00A55758">
      <w:pPr>
        <w:pStyle w:val="ListParagraph"/>
        <w:numPr>
          <w:ilvl w:val="0"/>
          <w:numId w:val="18"/>
        </w:numPr>
        <w:jc w:val="both"/>
      </w:pPr>
      <w:r>
        <w:t>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rPr>
        <w:footnoteReference w:id="133"/>
      </w:r>
      <w:r>
        <w:t xml:space="preserve"> that [defendant] [a particular defendant] acted maliciously or wantonly in violating [plaintiff</w:t>
      </w:r>
      <w:r w:rsidR="000D09A4">
        <w:t>’</w:t>
      </w:r>
      <w:r>
        <w:t>s] federal rights, then you may award punitive damages [against that defendant].</w:t>
      </w:r>
      <w:r>
        <w:rPr>
          <w:rStyle w:val="FootnoteReference"/>
        </w:rPr>
        <w:footnoteReference w:id="13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s act, [as well as the harm the defendant</w:t>
      </w:r>
      <w:r w:rsidR="000D09A4">
        <w:t>’</w:t>
      </w:r>
      <w:r>
        <w:t>s act could have caused]</w:t>
      </w:r>
      <w:r>
        <w:rPr>
          <w:rStyle w:val="FootnoteReference"/>
        </w:rPr>
        <w:footnoteReference w:id="135"/>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rPr>
        <w:footnoteReference w:id="136"/>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2AF6A73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rPr>
        <w:footnoteReference w:id="13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8B1545">
        <w:t xml:space="preserve"> </w:t>
      </w:r>
      <w:r w:rsidR="00B558F3">
        <w:t>“</w:t>
      </w:r>
      <w:r w:rsidR="00A610BD">
        <w:t>criminal indifference to civil obligations.</w:t>
      </w:r>
      <w:r w:rsidR="008B1545" w:rsidRPr="008B1545">
        <w:t xml:space="preserve"> </w:t>
      </w:r>
      <w:r w:rsidR="008B1545">
        <w:t>” ’ ”</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rPr>
        <w:footnoteReference w:id="138"/>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rPr>
        <w:footnoteReference w:id="13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rPr>
        <w:footnoteReference w:id="14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rPr>
        <w:footnoteReference w:id="141"/>
      </w:r>
      <w:r>
        <w:t xml:space="preserve">  However, given the 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rPr>
        <w:footnoteReference w:id="14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rPr>
        <w:footnoteReference w:id="143"/>
      </w:r>
      <w:r>
        <w:t xml:space="preserve">  The jury can also take into 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rPr>
        <w:footnoteReference w:id="144"/>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rPr>
        <w:footnoteReference w:id="145"/>
      </w:r>
      <w:r>
        <w:t xml:space="preserve">  However, the Court</w:t>
      </w:r>
      <w:r w:rsidR="000D09A4">
        <w:t>’</w:t>
      </w:r>
      <w:r>
        <w:t xml:space="preserve">s decision in </w:t>
      </w:r>
      <w:r>
        <w:rPr>
          <w:i/>
          <w:iCs/>
        </w:rPr>
        <w:t>Philip Morris USA v. Williams</w:t>
      </w:r>
      <w:r>
        <w:t>, 127 S.</w:t>
      </w:r>
      <w:r w:rsidR="001B783C">
        <w:t xml:space="preserve"> </w:t>
      </w:r>
      <w:r>
        <w:t>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rPr>
        <w:footnoteReference w:id="14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rPr>
        <w:footnoteReference w:id="147"/>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rPr>
        <w:footnoteReference w:id="14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rPr>
        <w:footnoteReference w:id="149"/>
      </w:r>
      <w:r>
        <w:t xml:space="preserve">  </w:t>
      </w:r>
      <w:r>
        <w:rPr>
          <w:i/>
          <w:iCs/>
        </w:rPr>
        <w:t>See id.</w:t>
      </w:r>
      <w:r>
        <w:t xml:space="preserve"> (stating </w:t>
      </w:r>
      <w:r w:rsidR="001D2816">
        <w:t>that “</w:t>
      </w:r>
      <w:r>
        <w:t>ratios greater than those we have previously upheld may 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rPr>
        <w:footnoteReference w:id="15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rPr>
        <w:footnoteReference w:id="151"/>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rPr>
        <w:footnoteReference w:id="152"/>
      </w:r>
      <w:r>
        <w:t xml:space="preserve">  Elsewhere, the Court has noted its concern that evidence of 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rPr>
        <w:footnoteReference w:id="15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5379B794"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w:t>
      </w:r>
      <w:r w:rsidR="0077488E">
        <w:t>.D. Pa.</w:t>
      </w:r>
      <w:r>
        <w:t xml:space="preserve">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rPr>
        <w:footnoteReference w:id="154"/>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9"/>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r>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F84975B"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8B1545">
        <w:t>’ ”</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Because the excessive force standards differ depending on the source of the constitutional protection, it will be necessary to determine which standard ought to apply.  The Fourth 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49A273C8" w:rsidR="00A610BD" w:rsidRPr="001C0EF0" w:rsidRDefault="00A610BD" w:rsidP="001C0EF0">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8B1545">
        <w:t>’ ”</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rPr>
        <w:footnoteReference w:id="155"/>
      </w:r>
      <w:r>
        <w:t xml:space="preserve">  Determining reasonableness</w:t>
      </w:r>
      <w:r w:rsidR="007514A3">
        <w:t xml:space="preserve"> “</w:t>
      </w:r>
      <w:r>
        <w:t xml:space="preserve">requires careful attention to the facts and circumstances of each particular case, including the severity of the crime at issue, whether the suspect poses an immediate threat to the safety of the officers or others, and whether he is actively </w:t>
      </w:r>
      <w:r w:rsidRPr="001C0EF0">
        <w:t>resisting arrest or attempting to evade arrest by flight.</w:t>
      </w:r>
      <w:r w:rsidR="001C7410" w:rsidRPr="001C0EF0">
        <w:t>”</w:t>
      </w:r>
      <w:r w:rsidRPr="001C0EF0">
        <w:t xml:space="preserve">  </w:t>
      </w:r>
      <w:r w:rsidRPr="001C0EF0">
        <w:rPr>
          <w:i/>
          <w:iCs/>
        </w:rPr>
        <w:t>Graham</w:t>
      </w:r>
      <w:r w:rsidRPr="001C0EF0">
        <w:t>, 490 U.S. at 396.</w:t>
      </w:r>
      <w:r w:rsidRPr="001C0EF0">
        <w:footnoteReference w:id="156"/>
      </w:r>
      <w:r w:rsidRPr="001C0EF0">
        <w:t xml:space="preserve">  Other relevant factors may include </w:t>
      </w:r>
      <w:r w:rsidR="00733FCD" w:rsidRPr="001C0EF0">
        <w:t>“the</w:t>
      </w:r>
      <w:r w:rsidRPr="001C0EF0">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rsidRPr="001C0EF0">
        <w:t>”</w:t>
      </w:r>
      <w:r w:rsidRPr="001C0EF0">
        <w:t xml:space="preserve">  </w:t>
      </w:r>
      <w:r w:rsidRPr="001C0EF0">
        <w:rPr>
          <w:i/>
          <w:iCs/>
        </w:rPr>
        <w:t>Kopec v. Tate</w:t>
      </w:r>
      <w:r w:rsidRPr="001C0EF0">
        <w:t>, 361 F.3d 772, 777 (3d Cir. 2004).</w:t>
      </w:r>
      <w:r w:rsidR="00BE7BA2" w:rsidRPr="001C0EF0">
        <w:t xml:space="preserve"> </w:t>
      </w:r>
      <w:r w:rsidR="00BE7BA2" w:rsidRPr="001C0EF0">
        <w:rPr>
          <w:i/>
          <w:iCs/>
        </w:rPr>
        <w:t xml:space="preserve">See also </w:t>
      </w:r>
      <w:r w:rsidR="008D7D0D" w:rsidRPr="001C0EF0">
        <w:rPr>
          <w:i/>
          <w:iCs/>
        </w:rPr>
        <w:t>Williams v. City of York</w:t>
      </w:r>
      <w:r w:rsidR="008D7D0D" w:rsidRPr="001C0EF0">
        <w:t xml:space="preserve">, </w:t>
      </w:r>
      <w:r w:rsidR="002F3A26" w:rsidRPr="001C0EF0">
        <w:t xml:space="preserve">967 F.3d 252 </w:t>
      </w:r>
      <w:r w:rsidR="008D7D0D" w:rsidRPr="001C0EF0">
        <w:t>(3d Cir.</w:t>
      </w:r>
      <w:r w:rsidR="002F3A26" w:rsidRPr="001C0EF0">
        <w:t xml:space="preserve"> </w:t>
      </w:r>
      <w:r w:rsidR="008D7D0D" w:rsidRPr="001C0EF0">
        <w:t>2020) (holding that it was reasonable for officers responding to a shots-fired call to (1) throw the plaintiff to the ground because she ran and pounded on the door of a house rather than comply with an order to get on the ground and (2) fail to loosen her handcuffs because the defendants were not notified she was in pain);</w:t>
      </w:r>
      <w:r w:rsidR="00B24443" w:rsidRPr="001C0EF0">
        <w:t xml:space="preserve"> </w:t>
      </w:r>
      <w:r w:rsidR="00BE7BA2" w:rsidRPr="001C0EF0">
        <w:rPr>
          <w:i/>
          <w:iCs/>
        </w:rPr>
        <w:t>Davenport v. Borough of Homestead</w:t>
      </w:r>
      <w:r w:rsidR="00BE7BA2" w:rsidRPr="001C0EF0">
        <w:t xml:space="preserve">, </w:t>
      </w:r>
      <w:r w:rsidR="00FC585C" w:rsidRPr="001C0EF0">
        <w:t xml:space="preserve">870 F.3d 273, 280 </w:t>
      </w:r>
      <w:r w:rsidR="00BE7BA2" w:rsidRPr="001C0EF0">
        <w:t>(3d Cir.</w:t>
      </w:r>
      <w:r w:rsidR="00FC585C" w:rsidRPr="001C0EF0">
        <w:t xml:space="preserve"> </w:t>
      </w:r>
      <w:r w:rsidR="00BE7BA2" w:rsidRPr="001C0EF0">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p>
    <w:p w14:paraId="2E359FBF" w14:textId="77777777" w:rsidR="00A610BD" w:rsidRPr="001C0EF0" w:rsidRDefault="00A610BD" w:rsidP="001C0EF0"/>
    <w:p w14:paraId="5A3E1FD4" w14:textId="77777777"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See also Cty. of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xml:space="preserve">.”) (emphasis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rPr>
        <w:footnoteReference w:id="157"/>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6157A6CB" w14:textId="35E82A6E" w:rsidR="00EC6584" w:rsidRPr="00EC6584" w:rsidRDefault="00C73B9C" w:rsidP="00EC6584">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Cty. of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7AA6B30D" w14:textId="77777777" w:rsidR="00EC6584" w:rsidRPr="00EC6584" w:rsidRDefault="00EC6584" w:rsidP="00EC6584">
      <w:pPr>
        <w:ind w:firstLine="720"/>
        <w:jc w:val="both"/>
      </w:pPr>
    </w:p>
    <w:p w14:paraId="19E0797F" w14:textId="75453D28" w:rsidR="00C73B9C" w:rsidRPr="00C73B9C" w:rsidRDefault="00EC6584" w:rsidP="00EC6584">
      <w:pPr>
        <w:ind w:firstLine="720"/>
        <w:jc w:val="both"/>
      </w:pPr>
      <w:r w:rsidRPr="00EC6584">
        <w:t xml:space="preserve">Even when it is undisputed that some one of a group of officers committed a constitutional violation, a plaintiff must prove that a particular defendant used excessive force; if there is no evidence identifying the particular actor, the excessive force claim fails. </w:t>
      </w:r>
      <w:r w:rsidRPr="00EC6584">
        <w:rPr>
          <w:i/>
        </w:rPr>
        <w:t>Jutrowski v. Twp. of Riverdale</w:t>
      </w:r>
      <w:r w:rsidRPr="00EC6584">
        <w:t xml:space="preserve">, </w:t>
      </w:r>
      <w:r w:rsidR="00B71E1F">
        <w:t xml:space="preserve">904 F.3d 280 </w:t>
      </w:r>
      <w:r w:rsidRPr="00EC6584">
        <w:t>(3d Cir.</w:t>
      </w:r>
      <w:r w:rsidR="00B71E1F">
        <w:t xml:space="preserve"> </w:t>
      </w:r>
      <w:r w:rsidRPr="00EC6584">
        <w:t xml:space="preserve">2018). </w:t>
      </w:r>
      <w:r w:rsidR="00F2684F" w:rsidRPr="00A745D1">
        <w:rPr>
          <w:i/>
          <w:iCs/>
        </w:rPr>
        <w:t>See also Williams v. City of York</w:t>
      </w:r>
      <w:r w:rsidR="00F2684F" w:rsidRPr="00A745D1">
        <w:t xml:space="preserve">, 967 F.3d 252 (3d Cir. 2020) (applying </w:t>
      </w:r>
      <w:r w:rsidR="00F2684F" w:rsidRPr="00A745D1">
        <w:rPr>
          <w:i/>
          <w:iCs/>
        </w:rPr>
        <w:t>Jutrowski</w:t>
      </w:r>
      <w:r w:rsidR="00F2684F" w:rsidRPr="00A745D1">
        <w:t>).</w:t>
      </w:r>
      <w:r w:rsidR="00A745D1">
        <w:t xml:space="preserve"> </w:t>
      </w:r>
      <w:r w:rsidRPr="00EC6584">
        <w:t>In such cases, however, there may be a viable claim for an after-the-fact conspiracy to deny the plaintiff his constitutional right of access to the courts.</w:t>
      </w:r>
    </w:p>
    <w:p w14:paraId="14C173ED" w14:textId="0424441A" w:rsidR="00C73B9C" w:rsidRDefault="00C73B9C">
      <w:pPr>
        <w:ind w:firstLine="720"/>
        <w:jc w:val="both"/>
      </w:pPr>
    </w:p>
    <w:p w14:paraId="1DD50774" w14:textId="77777777"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rPr>
        <w:footnoteReference w:id="158"/>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40"/>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rPr>
        <w:footnoteReference w:id="159"/>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7EA23BAA" w14:textId="77777777"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rPr>
        <w:footnoteReference w:id="16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rPr>
        <w:footnoteReference w:id="161"/>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552388AA"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rPr>
        <w:footnoteReference w:id="162"/>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rPr>
        <w:footnoteReference w:id="163"/>
      </w:r>
      <w:r>
        <w:t xml:space="preserve">  The extraordinary facts of that case, coupled with the fact that none of the opinions handed down clearly commanded a majority of the panel on the definitional question,</w:t>
      </w:r>
      <w:r>
        <w:rPr>
          <w:rStyle w:val="FootnoteReference"/>
        </w:rPr>
        <w:footnoteReference w:id="16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8B1545">
        <w:t>’ ”</w:t>
      </w:r>
      <w:r>
        <w:rPr>
          <w:rStyle w:val="FootnoteReference"/>
        </w:rPr>
        <w:footnoteReference w:id="165"/>
      </w:r>
      <w:r>
        <w:t xml:space="preserve"> and one district court has since followed the MPC definition, </w:t>
      </w:r>
      <w:r>
        <w:rPr>
          <w:i/>
          <w:iCs/>
        </w:rPr>
        <w:t>see</w:t>
      </w:r>
      <w:r>
        <w:t xml:space="preserve"> </w:t>
      </w:r>
      <w:r>
        <w:rPr>
          <w:i/>
          <w:iCs/>
        </w:rPr>
        <w:t>Schall v. Vazquez</w:t>
      </w:r>
      <w:r>
        <w:t>, 322 F.</w:t>
      </w:r>
      <w:r w:rsidR="001B783C">
        <w:t xml:space="preserve"> </w:t>
      </w:r>
      <w:r>
        <w:t>Supp.</w:t>
      </w:r>
      <w:r w:rsidR="001B783C">
        <w:t xml:space="preserve"> </w:t>
      </w:r>
      <w:r>
        <w:t>2d 594, 600 (E</w:t>
      </w:r>
      <w:r w:rsidR="0077488E">
        <w:t>.D. Pa.</w:t>
      </w:r>
      <w:r>
        <w:t xml:space="preserve">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4F3EBF58"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8B1545">
        <w:t>’ ”</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rPr>
        <w:footnoteReference w:id="166"/>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rPr>
        <w:footnoteReference w:id="167"/>
      </w:r>
      <w:r>
        <w:t xml:space="preserve"> or to a third person.</w:t>
      </w:r>
      <w:r>
        <w:rPr>
          <w:rStyle w:val="FootnoteReference"/>
        </w:rPr>
        <w:footnoteReference w:id="168"/>
      </w:r>
      <w:r>
        <w:t xml:space="preserve">  The jury should</w:t>
      </w:r>
      <w:r w:rsidR="00941010">
        <w:t xml:space="preserve"> “</w:t>
      </w:r>
      <w:r>
        <w:t>determine, after deciding what the real risk .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rPr>
        <w:footnoteReference w:id="169"/>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rPr>
        <w:footnoteReference w:id="170"/>
      </w:r>
      <w:r>
        <w:t xml:space="preserve">  The </w:t>
      </w:r>
      <w:r>
        <w:rPr>
          <w:i/>
          <w:iCs/>
        </w:rPr>
        <w:t>Grazier</w:t>
      </w:r>
      <w:r>
        <w:t xml:space="preserve"> majority, noting that the plaintiffs had not requested 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41"/>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rPr>
        <w:footnoteReference w:id="171"/>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54F917BA" w:rsidR="00A610BD" w:rsidRDefault="00A610BD">
      <w:pPr>
        <w:ind w:firstLine="720"/>
        <w:jc w:val="both"/>
      </w:pPr>
      <w:r>
        <w:rPr>
          <w:u w:val="single"/>
        </w:rPr>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8B1545">
        <w:t>’ ”</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w:t>
      </w:r>
      <w:r w:rsidR="0077488E">
        <w:t>127</w:t>
      </w:r>
      <w:r>
        <w:t>40</w:t>
      </w:r>
      <w:r w:rsidR="00E70106">
        <w:t>[?]</w:t>
      </w:r>
      <w:r>
        <w:t xml:space="preserve">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503 U.S. 1, 6-7 (1992).</w:t>
      </w:r>
      <w:r>
        <w:rPr>
          <w:rStyle w:val="FootnoteReference"/>
        </w:rPr>
        <w:footnoteReference w:id="172"/>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3298040E"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293 F.3d 641, 648-49 (3d Cir. 2002).</w:t>
      </w:r>
      <w:r w:rsidR="00EE7050" w:rsidRPr="00A55758">
        <w:rPr>
          <w:rStyle w:val="FootnoteReference"/>
        </w:rPr>
        <w:footnoteReference w:id="173"/>
      </w:r>
      <w:r>
        <w:t xml:space="preserve">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59B855E0"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w:t>
      </w:r>
      <w:r w:rsidR="0077488E">
        <w:t xml:space="preserve"> Fifth</w:t>
      </w:r>
      <w:r>
        <w:t xml:space="preserve"> Circuit (Civil) Instruction 10.5;</w:t>
      </w:r>
      <w:r w:rsidR="0077488E">
        <w:t xml:space="preserve"> Eighth </w:t>
      </w:r>
      <w:r>
        <w:t xml:space="preserve">Circuit (Civil) Instruction 4.30; </w:t>
      </w:r>
      <w:r w:rsidR="0077488E">
        <w:t xml:space="preserve">Ninth </w:t>
      </w:r>
      <w:r>
        <w:t xml:space="preserve">Circuit (Civil) Instruction 11.9; </w:t>
      </w:r>
      <w:r w:rsidR="0077488E">
        <w:t xml:space="preserve">Eleventh </w:t>
      </w:r>
      <w:r>
        <w:t>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rPr>
        <w:footnoteReference w:id="174"/>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rPr>
        <w:footnoteReference w:id="175"/>
      </w:r>
    </w:p>
    <w:p w14:paraId="12E4C280" w14:textId="77777777" w:rsidR="009853FF" w:rsidRDefault="009853FF">
      <w:pPr>
        <w:ind w:firstLine="720"/>
        <w:jc w:val="both"/>
      </w:pPr>
    </w:p>
    <w:p w14:paraId="6D065501" w14:textId="4192F12F"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rsidR="00691ADE">
        <w:t>—</w:t>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693470E0"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w:t>
      </w:r>
      <w:r w:rsidR="0077488E">
        <w:t xml:space="preserve">Fifth </w:t>
      </w:r>
      <w:r>
        <w:t xml:space="preserve">Circuit (Civil) Instruction 10.5; </w:t>
      </w:r>
      <w:r w:rsidR="0077488E">
        <w:t xml:space="preserve">Ninth </w:t>
      </w:r>
      <w:r>
        <w:t>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rPr>
        <w:footnoteReference w:id="176"/>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rPr>
        <w:footnoteReference w:id="177"/>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78"/>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rPr>
        <w:footnoteReference w:id="179"/>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rPr>
        <w:footnoteReference w:id="180"/>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1BDB264E"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n.22.</w:t>
      </w:r>
      <w:r>
        <w:rPr>
          <w:rStyle w:val="FootnoteReference"/>
        </w:rPr>
        <w:footnoteReference w:id="181"/>
      </w:r>
    </w:p>
    <w:p w14:paraId="2620114F" w14:textId="77777777" w:rsidR="00A610BD" w:rsidRDefault="00A610BD">
      <w:pPr>
        <w:ind w:firstLine="720"/>
        <w:jc w:val="both"/>
      </w:pPr>
      <w:r>
        <w:rPr>
          <w:u w:val="single"/>
        </w:rPr>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96FF302"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479 F.</w:t>
      </w:r>
      <w:r w:rsidR="001B783C">
        <w:t xml:space="preserve"> </w:t>
      </w:r>
      <w:r>
        <w:t xml:space="preserve">Supp. 456, 458 (D.N.J.1979), </w:t>
      </w:r>
      <w:r>
        <w:rPr>
          <w:i/>
          <w:iCs/>
        </w:rPr>
        <w:t>aff</w:t>
      </w:r>
      <w:r w:rsidR="009A502A">
        <w:rPr>
          <w:i/>
          <w:iCs/>
        </w:rPr>
        <w:t>’</w:t>
      </w:r>
      <w:r>
        <w:rPr>
          <w:i/>
          <w:iCs/>
        </w:rPr>
        <w:t>d</w:t>
      </w:r>
      <w:r>
        <w:t>, 649 F.2d 860 (3d Cir. 1981</w:t>
      </w:r>
      <w:r w:rsidRPr="00BE79AE">
        <w:t>))</w:t>
      </w:r>
      <w:r w:rsidR="009A502A" w:rsidRPr="00BE79AE">
        <w:t xml:space="preserve">; </w:t>
      </w:r>
      <w:r w:rsidR="009A502A" w:rsidRPr="00BE79AE">
        <w:rPr>
          <w:i/>
        </w:rPr>
        <w:t>Dooley v. Wetzel</w:t>
      </w:r>
      <w:r w:rsidR="009A502A" w:rsidRPr="00BE79AE">
        <w:t>, 957 F.3d 366, 375 (3d Cir. 2020) (stating that claimed “depression, pain, trauma, lack of sleep, nightmares, paranoia, and related mental health issues could constitute the requisite serious medical need if diagnosed or if the need for greater treatment would be obvious to a lay person” and that guilty but mentally ill jury verdict and comments by sentencing judge may show that mental health problems at one point were obvious to lay people).</w:t>
      </w:r>
      <w:r w:rsidR="009A502A">
        <w:rPr>
          <w:rFonts w:ascii="Century Schoolbook" w:hAnsi="Century Schoolbook"/>
        </w:rPr>
        <w:t xml:space="preserve"> </w:t>
      </w:r>
      <w:r>
        <w:t xml:space="preserve">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14:paraId="476D60CE" w14:textId="77777777"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rPr>
        <w:footnoteReference w:id="182"/>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rPr>
        <w:footnoteReference w:id="183"/>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330AC52D"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rPr>
        <w:footnoteReference w:id="184"/>
      </w:r>
    </w:p>
    <w:p w14:paraId="3F3B2D16" w14:textId="77777777" w:rsidR="00245CC6" w:rsidRDefault="00245CC6">
      <w:pPr>
        <w:ind w:firstLine="720"/>
        <w:jc w:val="both"/>
      </w:pP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41594B83"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8B1545">
        <w:t>’ ”</w:t>
      </w:r>
      <w:r w:rsidR="00A610BD">
        <w:t>;</w:t>
      </w:r>
      <w:r w:rsidR="00A610BD">
        <w:rPr>
          <w:rStyle w:val="FootnoteReference"/>
        </w:rPr>
        <w:footnoteReference w:id="185"/>
      </w:r>
    </w:p>
    <w:p w14:paraId="21B3D102" w14:textId="77777777" w:rsidR="00D95514" w:rsidRDefault="00D95514" w:rsidP="00D95514">
      <w:pPr>
        <w:pStyle w:val="ListParagraph"/>
        <w:jc w:val="both"/>
      </w:pPr>
    </w:p>
    <w:p w14:paraId="0A6605C8" w14:textId="19B2BDE1"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8B1545">
        <w:t>’ ”</w:t>
      </w:r>
      <w:r w:rsidR="00A610BD">
        <w:t>;</w:t>
      </w:r>
      <w:r w:rsidR="00A610BD">
        <w:rPr>
          <w:rStyle w:val="FootnoteReference"/>
        </w:rPr>
        <w:footnoteReference w:id="186"/>
      </w:r>
    </w:p>
    <w:p w14:paraId="06F88B26" w14:textId="77777777" w:rsidR="00D95514" w:rsidRDefault="00D95514" w:rsidP="00D95514">
      <w:pPr>
        <w:pStyle w:val="ListParagraph"/>
        <w:jc w:val="both"/>
      </w:pPr>
    </w:p>
    <w:p w14:paraId="07FEDAD8" w14:textId="73242A59"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rPr>
        <w:footnoteReference w:id="187"/>
      </w:r>
    </w:p>
    <w:p w14:paraId="25754AE9" w14:textId="77777777" w:rsidR="00245CC6" w:rsidRDefault="00245CC6" w:rsidP="00245CC6">
      <w:pPr>
        <w:pStyle w:val="ListParagraph"/>
      </w:pPr>
    </w:p>
    <w:p w14:paraId="3E8ED32F" w14:textId="792B19AE"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8B1545">
        <w:t>’ ”</w:t>
      </w:r>
      <w:r w:rsidR="00A610BD">
        <w:t>;</w:t>
      </w:r>
      <w:r w:rsidR="00A610BD">
        <w:rPr>
          <w:rStyle w:val="FootnoteReference"/>
        </w:rPr>
        <w:footnoteReference w:id="188"/>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rPr>
        <w:footnoteReference w:id="189"/>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rPr>
        <w:footnoteReference w:id="190"/>
      </w:r>
    </w:p>
    <w:p w14:paraId="64940300" w14:textId="05852A3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8B1545">
        <w:t>’ ”</w:t>
      </w:r>
      <w:r w:rsidR="00A610BD">
        <w:rPr>
          <w:rStyle w:val="FootnoteReference"/>
        </w:rPr>
        <w:footnoteReference w:id="191"/>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431F398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xml:space="preserve">, </w:t>
      </w:r>
      <w:r w:rsidR="0077488E">
        <w:t xml:space="preserve">Fifth </w:t>
      </w:r>
      <w:r>
        <w:t>Circuit (Civil) Instruction 10.6;</w:t>
      </w:r>
      <w:r w:rsidR="0077488E">
        <w:t xml:space="preserve"> Eighth</w:t>
      </w:r>
      <w:r>
        <w:t xml:space="preserve"> Circuit (Civil) Instruction 4.31; </w:t>
      </w:r>
      <w:r w:rsidR="0077488E">
        <w:t xml:space="preserve">Ninth </w:t>
      </w:r>
      <w:r>
        <w:t>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rPr>
        <w:footnoteReference w:id="192"/>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1FEEC5EA" w14:textId="77777777" w:rsidR="00245CC6" w:rsidRDefault="00245CC6">
      <w:pPr>
        <w:ind w:firstLine="720"/>
        <w:jc w:val="both"/>
      </w:pPr>
    </w:p>
    <w:p w14:paraId="3B2E66F3" w14:textId="67B4E56C"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8B1545">
        <w:t>’ ”</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rsidP="00245CC6">
      <w:pPr>
        <w:ind w:left="720" w:righ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rPr>
        <w:footnoteReference w:id="193"/>
      </w:r>
    </w:p>
    <w:p w14:paraId="7BD9D4E0" w14:textId="15C2A213" w:rsidR="00A610BD" w:rsidRDefault="00A610BD">
      <w:pPr>
        <w:ind w:firstLine="720"/>
        <w:jc w:val="both"/>
      </w:pPr>
      <w:r>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rPr>
        <w:footnoteReference w:id="194"/>
      </w:r>
    </w:p>
    <w:p w14:paraId="66D069BF" w14:textId="77777777" w:rsidR="006C47CF" w:rsidRDefault="006C47CF">
      <w:pPr>
        <w:ind w:firstLine="720"/>
        <w:jc w:val="both"/>
      </w:pPr>
    </w:p>
    <w:p w14:paraId="21A8EEB9"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95"/>
      </w:r>
      <w:r w:rsidR="00D226C8" w:rsidRPr="00D226C8">
        <w:t xml:space="preserve">  </w:t>
      </w:r>
      <w:r>
        <w:t xml:space="preserve">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6"/>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21D24158" w:rsid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8B1545">
        <w:t>’ ”</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854 F.3d 209, 230 (3d Cir. 2017) (noting that the detainee’s “suicidal propensities were so readily apparent that his fellow inmates nicknamed him ‘Suicide.’ ”).</w:t>
      </w:r>
    </w:p>
    <w:p w14:paraId="13B90941" w14:textId="267C6806" w:rsidR="0099484E" w:rsidRPr="0099484E" w:rsidRDefault="00A610BD" w:rsidP="0099484E">
      <w:pPr>
        <w:ind w:firstLine="720"/>
        <w:jc w:val="both"/>
      </w:pPr>
      <w:r>
        <w:rPr>
          <w:u w:val="single"/>
        </w:rPr>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an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1A219008" w:rsidR="00A610BD" w:rsidRDefault="0099484E" w:rsidP="0099484E">
      <w:pPr>
        <w:ind w:firstLine="720"/>
        <w:jc w:val="both"/>
      </w:pPr>
      <w:r w:rsidRPr="0099484E">
        <w:t xml:space="preserve">In  </w:t>
      </w:r>
      <w:r w:rsidRPr="0099484E">
        <w:rPr>
          <w:i/>
          <w:iCs/>
        </w:rPr>
        <w:t>Woloszyn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see also Owens v. City of Philadelphia</w:t>
      </w:r>
      <w:r w:rsidR="00A610BD">
        <w:t>, 6 F. Supp. 2d 373, 380 n.6 (E</w:t>
      </w:r>
      <w:r w:rsidR="0077488E">
        <w:t>.D. Pa.</w:t>
      </w:r>
      <w:r w:rsidR="00A610BD">
        <w:t xml:space="preserve">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seems rather remote from the values appropriate for determining 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 ‘deliberate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6130B5EE" w:rsidR="0099484E" w:rsidRPr="00460B22"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perhaps because the defendants took the position that </w:t>
      </w:r>
      <w:r w:rsidRPr="007F1BA7">
        <w:rPr>
          <w:i/>
          <w:iCs/>
        </w:rPr>
        <w:t>Colburn</w:t>
      </w:r>
      <w:r w:rsidRPr="007F1BA7">
        <w:t xml:space="preserve"> governed. </w:t>
      </w:r>
      <w:r w:rsidRPr="00A55758">
        <w:rPr>
          <w:i/>
        </w:rPr>
        <w:t>See</w:t>
      </w:r>
      <w:r w:rsidRPr="007F1BA7">
        <w:t xml:space="preserve"> Brief for Correction Officers, 2016 WL 5846656, at </w:t>
      </w:r>
      <w:r w:rsidR="00B215A9">
        <w:t>*</w:t>
      </w:r>
      <w:r w:rsidRPr="007F1BA7">
        <w:t xml:space="preserve">23 (quoting </w:t>
      </w:r>
      <w:r w:rsidRPr="007F1BA7">
        <w:rPr>
          <w:i/>
        </w:rPr>
        <w:t>Colburn</w:t>
      </w:r>
      <w:r w:rsidRPr="007F1BA7">
        <w:t xml:space="preserve"> as “set[ting] forth a clear standard for establishing liability in prison suicide cases”); Brief for Dr. Rathore, Dr. Eidsvoog, and MHM, Inc., 2016 WL 5845936, at </w:t>
      </w:r>
      <w:r w:rsidR="00B215A9">
        <w:t>*</w:t>
      </w:r>
      <w:r w:rsidRPr="007F1BA7">
        <w:t xml:space="preserve">14 &amp; n.5 (relying on </w:t>
      </w:r>
      <w:r w:rsidRPr="007F1BA7">
        <w:rPr>
          <w:i/>
        </w:rPr>
        <w:t>Colburn</w:t>
      </w:r>
      <w:r w:rsidRPr="007F1BA7">
        <w:t xml:space="preserve"> and noting that while it was a pre-trial detainee case, it “still applies to a convicted prisoner whose Eighth Amendment protections have attached”).</w:t>
      </w:r>
      <w:r w:rsidR="00AA5858">
        <w:t xml:space="preserve"> </w:t>
      </w:r>
      <w:r w:rsidR="00AA5858" w:rsidRPr="00460B22">
        <w:rPr>
          <w:i/>
        </w:rPr>
        <w:t>See also</w:t>
      </w:r>
      <w:r w:rsidR="00AA5858" w:rsidRPr="00460B22">
        <w:t xml:space="preserve"> </w:t>
      </w:r>
      <w:r w:rsidR="00AA5858" w:rsidRPr="00460B22">
        <w:rPr>
          <w:i/>
        </w:rPr>
        <w:t>Mullin v. Balicki</w:t>
      </w:r>
      <w:r w:rsidR="00AA5858" w:rsidRPr="00460B22">
        <w:t xml:space="preserve">, 875 F.3d 140, 149, 158-59 (3d Cir. 2017) (describing </w:t>
      </w:r>
      <w:r w:rsidR="00AA5858" w:rsidRPr="00460B22">
        <w:rPr>
          <w:i/>
        </w:rPr>
        <w:t xml:space="preserve">Palakovic </w:t>
      </w:r>
      <w:r w:rsidR="00AA5858" w:rsidRPr="00460B22">
        <w:t xml:space="preserve">as “clarify[ying] our vulnerability-to-suicide precedent,” and explaining that a “vulnerability-to-suicide claim, which is simply a more specific articulation of the Eighth Amendment rule that prison officials must not be deliberately indifferent to a prisoner's serious medical needs, requires showing (1) the existence of a particular vulnerability to suicide, (2) that a prison official knew or should have known of the individual's particularly vulnerability, and (3) that the official acted with reckless or deliberate indifference to the particular vulnerability.”); </w:t>
      </w:r>
      <w:r w:rsidR="00AA5858" w:rsidRPr="00460B22">
        <w:rPr>
          <w:i/>
        </w:rPr>
        <w:t>Kedra v. Schroeter</w:t>
      </w:r>
      <w:r w:rsidR="00AA5858" w:rsidRPr="00460B22">
        <w:t xml:space="preserve">, 876 F.3d 424, 440 (3d Cir. 2017) (describing </w:t>
      </w:r>
      <w:r w:rsidR="00AA5858" w:rsidRPr="00460B22">
        <w:rPr>
          <w:i/>
        </w:rPr>
        <w:t>Palakovic</w:t>
      </w:r>
      <w:r w:rsidR="00AA5858" w:rsidRPr="00460B22">
        <w:t xml:space="preserve"> as holding that the deliberate indifference standard in the prison suicide context is objective and that “the relevant inquiry for both substantive due process claims and Eighth Amendment claims [is] whether the prison official knew or should have known of the individual's particular vulnerability.</w:t>
      </w:r>
      <w:r w:rsidR="00AC6A18">
        <w:t>”)</w:t>
      </w:r>
    </w:p>
    <w:p w14:paraId="7D98FD74" w14:textId="076169BB" w:rsidR="00AA5858" w:rsidRPr="00460B22" w:rsidRDefault="00AA5858" w:rsidP="0099484E">
      <w:pPr>
        <w:ind w:firstLine="720"/>
        <w:jc w:val="both"/>
      </w:pPr>
    </w:p>
    <w:p w14:paraId="53B5124E" w14:textId="146AE111" w:rsidR="0099484E" w:rsidRPr="00460B22" w:rsidRDefault="00AA5858" w:rsidP="0099484E">
      <w:pPr>
        <w:ind w:firstLine="720"/>
        <w:jc w:val="both"/>
      </w:pPr>
      <w:r w:rsidRPr="00460B22">
        <w:t xml:space="preserve">In light of the apparent tension between the decision in </w:t>
      </w:r>
      <w:r w:rsidRPr="00460B22">
        <w:rPr>
          <w:i/>
        </w:rPr>
        <w:t>Farmer</w:t>
      </w:r>
      <w:r w:rsidRPr="00460B22">
        <w:t xml:space="preserve"> and the decisions in </w:t>
      </w:r>
      <w:r w:rsidRPr="00460B22">
        <w:rPr>
          <w:i/>
        </w:rPr>
        <w:t>Palakovic</w:t>
      </w:r>
      <w:r w:rsidRPr="00460B22">
        <w:t xml:space="preserve">, </w:t>
      </w:r>
      <w:r w:rsidRPr="00460B22">
        <w:rPr>
          <w:i/>
        </w:rPr>
        <w:t>Mullin</w:t>
      </w:r>
      <w:r w:rsidRPr="00460B22">
        <w:t xml:space="preserve">, and </w:t>
      </w:r>
      <w:r w:rsidRPr="00460B22">
        <w:rPr>
          <w:i/>
        </w:rPr>
        <w:t>Kedra</w:t>
      </w:r>
      <w:r w:rsidRPr="00460B22">
        <w:t xml:space="preserve">, </w:t>
      </w:r>
      <w:r w:rsidR="0099484E" w:rsidRPr="00460B22">
        <w:t>the committee has decided to re</w:t>
      </w:r>
      <w:r w:rsidRPr="00460B22">
        <w:t xml:space="preserve">tain </w:t>
      </w:r>
      <w:r w:rsidR="0099484E" w:rsidRPr="00460B22">
        <w:t xml:space="preserve">the Instruction’s actual knowledge requirement, </w:t>
      </w:r>
      <w:r w:rsidRPr="00460B22">
        <w:t xml:space="preserve">and to offer an alternative in the relevant footnote to the Instruction. </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149F4C30"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2004 WL 225041, at *7 (E</w:t>
      </w:r>
      <w:r w:rsidR="0077488E">
        <w:t>.D. Pa.</w:t>
      </w:r>
      <w:r>
        <w:t xml:space="preserve">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rPr>
        <w:footnoteReference w:id="197"/>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rPr>
        <w:footnoteReference w:id="198"/>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rPr>
        <w:footnoteReference w:id="199"/>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rPr>
        <w:footnoteReference w:id="200"/>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6924F800"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8B1545">
        <w:t>’ ”</w:t>
      </w:r>
      <w:r>
        <w:t xml:space="preserve"> </w:t>
      </w:r>
      <w:r>
        <w:rPr>
          <w:i/>
          <w:iCs/>
        </w:rPr>
        <w:t>Farmer v. Brennan</w:t>
      </w:r>
      <w:r>
        <w:t xml:space="preserve">, 511 U.S. 825, 833 (1994) (quoting </w:t>
      </w:r>
      <w:r>
        <w:rPr>
          <w:i/>
          <w:iCs/>
        </w:rPr>
        <w:t>Cortes</w:t>
      </w:r>
      <w:r>
        <w:rPr>
          <w:i/>
          <w:iCs/>
        </w:rPr>
        <w:noBreakHyphen/>
        <w:t>Quinones v. Jimenez</w:t>
      </w:r>
      <w:r>
        <w:rPr>
          <w:i/>
          <w:iCs/>
        </w:rPr>
        <w:noBreakHyphen/>
        <w:t>Nettleship</w:t>
      </w:r>
      <w:r>
        <w:t>, 842 F.2d 556, 558 (1st Cir. 1988)).</w:t>
      </w:r>
      <w:r>
        <w:rPr>
          <w:rStyle w:val="FootnoteReference"/>
        </w:rPr>
        <w:footnoteReference w:id="201"/>
      </w:r>
      <w:r>
        <w:t xml:space="preserve"> </w:t>
      </w:r>
      <w:r w:rsidR="003E6E50">
        <w:t>“</w:t>
      </w:r>
      <w:r>
        <w:t xml:space="preserve">Being violently assaulted in prison is simply not </w:t>
      </w:r>
      <w:r w:rsidR="009510BB">
        <w:t>‘</w:t>
      </w:r>
      <w:r>
        <w:t>part of the penalty that criminal offenders pay for their offenses against society.</w:t>
      </w:r>
      <w:r w:rsidR="008B1545">
        <w:t>’ ”</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rPr>
        <w:footnoteReference w:id="20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4A4B0685"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rPr>
        <w:footnoteReference w:id="203"/>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8B1545">
        <w:t>’ ”</w:t>
      </w:r>
      <w:r>
        <w:t xml:space="preserve"> </w:t>
      </w:r>
      <w:r>
        <w:rPr>
          <w:i/>
          <w:iCs/>
        </w:rPr>
        <w:t>Id.</w:t>
      </w:r>
      <w:r>
        <w:t xml:space="preserve"> at 842-43 (quoting respondents</w:t>
      </w:r>
      <w:r w:rsidR="000D09A4">
        <w:t>’</w:t>
      </w:r>
      <w:r>
        <w:t xml:space="preserve"> brief).</w:t>
      </w:r>
      <w:r>
        <w:rPr>
          <w:rStyle w:val="FootnoteReference"/>
        </w:rPr>
        <w:footnoteReference w:id="204"/>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rPr>
        <w:footnoteReference w:id="205"/>
      </w:r>
    </w:p>
    <w:p w14:paraId="40518DD4" w14:textId="77777777" w:rsidR="00A610BD" w:rsidRDefault="00A610BD">
      <w:pPr>
        <w:ind w:firstLine="720"/>
        <w:jc w:val="both"/>
      </w:pPr>
      <w:r>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rPr>
        <w:footnoteReference w:id="206"/>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rPr>
        <w:footnoteReference w:id="207"/>
      </w:r>
    </w:p>
    <w:p w14:paraId="0097C56D" w14:textId="77777777" w:rsidR="00A610BD" w:rsidRDefault="00A610BD">
      <w:pPr>
        <w:jc w:val="both"/>
      </w:pPr>
    </w:p>
    <w:p w14:paraId="597D97E6" w14:textId="58A72943"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rPr>
        <w:footnoteReference w:id="208"/>
      </w:r>
      <w:r>
        <w:t xml:space="preserve">  For 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rPr>
        <w:footnoteReference w:id="209"/>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8B1545">
        <w:t>’ ”</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8B1545">
        <w:t>’ ”</w:t>
      </w:r>
      <w:r>
        <w:t xml:space="preserve"> (quoting </w:t>
      </w:r>
      <w:r>
        <w:rPr>
          <w:i/>
          <w:iCs/>
        </w:rPr>
        <w:t>Bostick</w:t>
      </w:r>
      <w:r>
        <w:t>, 501 U.S. at 438))</w:t>
      </w:r>
      <w:r w:rsidR="00CC2B9A">
        <w:t>;</w:t>
      </w:r>
      <w:r w:rsidR="00CC2B9A" w:rsidRPr="00CC2B9A">
        <w:rPr>
          <w:i/>
        </w:rPr>
        <w:t xml:space="preserve"> </w:t>
      </w:r>
      <w:bookmarkStart w:id="4" w:name="_Hlk11940910"/>
      <w:r w:rsidR="00605F80" w:rsidRPr="00C10C0E">
        <w:rPr>
          <w:i/>
        </w:rPr>
        <w:t>United States v. Hester</w:t>
      </w:r>
      <w:r w:rsidR="00605F80" w:rsidRPr="00C10C0E">
        <w:t xml:space="preserve">, 910 F.3d 78, 85–86 (3d Cir. 2018) (holding that a reasonable person would not feel free to ignore police officers who placed a marked police cruiser at the driver’s side of a parked car and an unmarked car behind, positioned </w:t>
      </w:r>
      <w:bookmarkEnd w:id="4"/>
      <w:r w:rsidR="00605F80" w:rsidRPr="00C10C0E">
        <w:t>themselves around the vehicle, near any potential exit points, and told the driver to turn off the engine);</w:t>
      </w:r>
      <w:r w:rsidR="00605F80" w:rsidRPr="004C37FE">
        <w:rPr>
          <w:i/>
        </w:rPr>
        <w:t xml:space="preserve"> </w:t>
      </w:r>
      <w:r w:rsidR="00CC2B9A" w:rsidRPr="00811DD2">
        <w:rPr>
          <w:i/>
        </w:rPr>
        <w:t>United States v. De Castro</w:t>
      </w:r>
      <w:r w:rsidR="006C47CF">
        <w:t xml:space="preserve">, 905 F.3d 676 </w:t>
      </w:r>
      <w:r w:rsidR="00CC2B9A" w:rsidRPr="00811DD2">
        <w:t>(3d Cir. 2018)</w:t>
      </w:r>
      <w:r w:rsidR="00CC2B9A">
        <w:t xml:space="preserve"> (holding that </w:t>
      </w:r>
      <w:r w:rsidR="00CC2B9A" w:rsidRPr="00811DD2">
        <w:t>a police officer’s request that De Castro remove his hands from his pockets did not constitute a seizure</w:t>
      </w:r>
      <w:r w:rsidR="00CC2B9A">
        <w:t xml:space="preserve"> because t</w:t>
      </w:r>
      <w:r w:rsidR="00CC2B9A" w:rsidRPr="00811DD2">
        <w:t>he request was made once, in a polite conversational tone, and no threats were made or weapons drawn</w:t>
      </w:r>
      <w:r w:rsidR="00CC2B9A">
        <w:t xml:space="preserve">); </w:t>
      </w:r>
      <w:r w:rsidR="00CC2B9A" w:rsidRPr="00811DD2">
        <w:rPr>
          <w:i/>
        </w:rPr>
        <w:t>Haberle v. Troxell</w:t>
      </w:r>
      <w:r w:rsidR="00CC2B9A" w:rsidRPr="00811DD2">
        <w:t>, 885 F.3d 170 (3d Cir. 2018)</w:t>
      </w:r>
      <w:r w:rsidR="00CC2B9A">
        <w:t xml:space="preserve"> (holding </w:t>
      </w:r>
      <w:r w:rsidR="00CC2B9A" w:rsidRPr="00811DD2">
        <w:t>that an officer who merely knocked on the door of an apartment and announced his presence did not seize the person in the apartment —even if the action was unwise, crude, and had tragic consequences</w:t>
      </w:r>
      <w:r w:rsidR="00CC2B9A">
        <w:t>).</w:t>
      </w:r>
      <w:r>
        <w:rPr>
          <w:rStyle w:val="FootnoteReference"/>
        </w:rPr>
        <w:footnoteReference w:id="210"/>
      </w:r>
      <w:r w:rsidR="008D05CB">
        <w:t xml:space="preserve"> </w:t>
      </w:r>
      <w:r w:rsidR="008B5850" w:rsidRPr="008B5850">
        <w:t>When a police 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rPr>
        <w:footnoteReference w:id="211"/>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rPr>
        <w:footnoteReference w:id="212"/>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w:t>
      </w:r>
      <w:r w:rsidR="001B783C">
        <w:t xml:space="preserve"> </w:t>
      </w:r>
      <w:r>
        <w:t>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w:t>
      </w:r>
      <w:r w:rsidR="001B783C">
        <w:t xml:space="preserve"> </w:t>
      </w:r>
      <w:r>
        <w:t>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rPr>
        <w:footnoteReference w:id="213"/>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33B9DF3A"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rPr>
        <w:footnoteReference w:id="214"/>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rPr>
        <w:footnoteReference w:id="215"/>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127 S.</w:t>
      </w:r>
      <w:r w:rsidR="001B783C">
        <w:t xml:space="preserve"> </w:t>
      </w:r>
      <w:r>
        <w:t xml:space="preserve">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8B1545">
        <w:t>’ ”</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47"/>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rPr>
        <w:footnoteReference w:id="216"/>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rPr>
        <w:footnoteReference w:id="217"/>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rPr>
        <w:footnoteReference w:id="218"/>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CB580DE"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8B1545">
        <w:t>’ ”</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rPr>
        <w:footnoteReference w:id="219"/>
      </w:r>
    </w:p>
    <w:p w14:paraId="46DFFE2A" w14:textId="77777777" w:rsidR="00A365EE" w:rsidRDefault="00A610BD">
      <w:pPr>
        <w:ind w:firstLine="720"/>
        <w:jc w:val="both"/>
      </w:pPr>
      <w:r>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rPr>
        <w:footnoteReference w:id="220"/>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rPr>
        <w:footnoteReference w:id="221"/>
      </w:r>
      <w:r>
        <w:t xml:space="preserve">  </w:t>
      </w:r>
      <w:r w:rsidR="00DA74E6">
        <w:t>“</w:t>
      </w:r>
      <w:r>
        <w:t>Based upon that 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rPr>
        <w:footnoteReference w:id="222"/>
      </w:r>
      <w:r>
        <w:t xml:space="preserve">  </w:t>
      </w:r>
    </w:p>
    <w:p w14:paraId="0794C07F" w14:textId="45C51995" w:rsidR="00E40275" w:rsidRPr="00C10C0E" w:rsidRDefault="007B1B25">
      <w:pPr>
        <w:ind w:firstLine="720"/>
        <w:jc w:val="both"/>
      </w:pPr>
      <w:r w:rsidRPr="007B1B25">
        <w:t xml:space="preserve">The “reasonable suspicion inquiry falls considerably short of 51% accuracy.” </w:t>
      </w:r>
      <w:r w:rsidRPr="007B1B25">
        <w:rPr>
          <w:i/>
        </w:rPr>
        <w:t>Kansas v. Glover</w:t>
      </w:r>
      <w:r w:rsidRPr="007B1B25">
        <w:t xml:space="preserve">, 140 S. Ct. 1183, 1188 (2020) (holding that common sense supports inference that the driver of a car is likely its owner, even if the owner’s license has been revoked) (internal quotation marks and citation omitted). </w:t>
      </w:r>
      <w:r w:rsidR="00A610BD">
        <w:t xml:space="preserve">Reasonable suspicion can arise from </w:t>
      </w:r>
      <w:r w:rsidR="003A4828">
        <w:t>“a</w:t>
      </w:r>
      <w:r w:rsidR="00A610BD">
        <w:t>n officer's observation of entirely legal acts, where the acts, when viewed through the lens of a police officer's experience and combined with other circumstances, [lead] to an articulable belief that a crime [is] about to be committed.</w:t>
      </w:r>
      <w:r w:rsidR="00FD4B4D">
        <w:t>”</w:t>
      </w:r>
      <w:r w:rsidR="00A610BD">
        <w:t xml:space="preserve">  </w:t>
      </w:r>
      <w:r w:rsidR="00A610BD">
        <w:rPr>
          <w:i/>
          <w:iCs/>
        </w:rPr>
        <w:t>Johnson</w:t>
      </w:r>
      <w:r w:rsidR="00A610BD">
        <w:t>, 332 F.3d at 207.</w:t>
      </w:r>
      <w:r w:rsidR="00A610BD">
        <w:rPr>
          <w:rStyle w:val="FootnoteReference"/>
        </w:rPr>
        <w:footnoteReference w:id="223"/>
      </w:r>
      <w:r w:rsidR="003645E2">
        <w:t xml:space="preserve"> </w:t>
      </w:r>
      <w:r w:rsidR="003645E2" w:rsidRPr="00C44B83">
        <w:rPr>
          <w:i/>
        </w:rPr>
        <w:t>United States v. Graves</w:t>
      </w:r>
      <w:r w:rsidR="003645E2" w:rsidRPr="00C44B83">
        <w:t>, 877 F.3d 494, 499 (3d Cir. 2017) (finding reasonable suspicion because the events occurred in a high crime area, the defendant and his companion were dressed in clothing similar to suspects described as walking away from the location of gunshots, and the defendant was walking in a manner that the officer viewed as indicating he was armed, even though “these factors standing in isolation may not have been sufficient”)</w:t>
      </w:r>
      <w:r w:rsidR="00DD1E61">
        <w:t>;</w:t>
      </w:r>
      <w:r w:rsidR="003645E2" w:rsidRPr="00C44B83">
        <w:t xml:space="preserve"> </w:t>
      </w:r>
      <w:r w:rsidR="00290198" w:rsidRPr="00603329">
        <w:rPr>
          <w:i/>
        </w:rPr>
        <w:t>United States v. Foster</w:t>
      </w:r>
      <w:r w:rsidR="00290198" w:rsidRPr="00603329">
        <w:t>, 891 F.3d 93</w:t>
      </w:r>
      <w:r w:rsidR="00290198">
        <w:t>, 105</w:t>
      </w:r>
      <w:r w:rsidR="00290198" w:rsidRPr="00603329">
        <w:t xml:space="preserve"> (3d Cir. 2018)</w:t>
      </w:r>
      <w:r w:rsidR="00290198">
        <w:t xml:space="preserve"> (finding reasonable suspicion even </w:t>
      </w:r>
      <w:r w:rsidR="00290198" w:rsidRPr="00603329">
        <w:t>though the only description that the officer had of the suspect was that he was a black male</w:t>
      </w:r>
      <w:r w:rsidR="00290198">
        <w:t>, because the “</w:t>
      </w:r>
      <w:r w:rsidR="00290198" w:rsidRPr="00603329">
        <w:t xml:space="preserve">geographic and temporal proximity of </w:t>
      </w:r>
      <w:r w:rsidR="00290198">
        <w:t>[the defendant]</w:t>
      </w:r>
      <w:r w:rsidR="00290198" w:rsidRPr="00603329">
        <w:t xml:space="preserve"> to the stolen car and the lack of any other suspect matching the general description of the suspect, along with </w:t>
      </w:r>
      <w:r w:rsidR="00290198">
        <w:t>[the officer’s]</w:t>
      </w:r>
      <w:r w:rsidR="00290198" w:rsidRPr="00603329">
        <w:t xml:space="preserve"> long experience and familiarity with the area</w:t>
      </w:r>
      <w:r w:rsidR="00290198">
        <w:t>,” which included his knowledge “</w:t>
      </w:r>
      <w:r w:rsidR="00290198" w:rsidRPr="00603329">
        <w:t xml:space="preserve">that it was rare to see anybody other than two white special needs adults walking along the stretch of road where </w:t>
      </w:r>
      <w:r w:rsidR="00290198">
        <w:t xml:space="preserve">[the defendant] </w:t>
      </w:r>
      <w:r w:rsidR="00290198" w:rsidRPr="00603329">
        <w:t>was stopped</w:t>
      </w:r>
      <w:r w:rsidR="00290198">
        <w:t xml:space="preserve">”); </w:t>
      </w:r>
      <w:r w:rsidR="00290198" w:rsidRPr="008141C3">
        <w:rPr>
          <w:i/>
        </w:rPr>
        <w:t>United States v. Green</w:t>
      </w:r>
      <w:r w:rsidR="00290198" w:rsidRPr="008141C3">
        <w:t>, 897 F.3d 173</w:t>
      </w:r>
      <w:r w:rsidR="00290198">
        <w:t>, 183-85</w:t>
      </w:r>
      <w:r w:rsidR="00290198" w:rsidRPr="008141C3">
        <w:t xml:space="preserve"> (3d Cir. 2018)</w:t>
      </w:r>
      <w:r w:rsidR="00290198">
        <w:t xml:space="preserve"> (</w:t>
      </w:r>
      <w:r w:rsidR="00290198" w:rsidRPr="008141C3">
        <w:t>emphasiz</w:t>
      </w:r>
      <w:r w:rsidR="00290198">
        <w:t xml:space="preserve">ing that </w:t>
      </w:r>
      <w:r w:rsidR="00290198" w:rsidRPr="008141C3">
        <w:t xml:space="preserve">the totality of the circumstances included a prior stop (and consensual search that found no contraband) of the same driver in the same car by the same officer the </w:t>
      </w:r>
      <w:r w:rsidR="00290198">
        <w:t xml:space="preserve">previous </w:t>
      </w:r>
      <w:r w:rsidR="00290198" w:rsidRPr="008141C3">
        <w:t>day</w:t>
      </w:r>
      <w:r w:rsidR="00290198">
        <w:t>).</w:t>
      </w:r>
      <w:r w:rsidR="00290198" w:rsidRPr="00603329">
        <w:t xml:space="preserve"> </w:t>
      </w:r>
      <w:r w:rsidR="00E40275" w:rsidRPr="00C10C0E">
        <w:rPr>
          <w:i/>
        </w:rPr>
        <w:t>See also</w:t>
      </w:r>
      <w:r w:rsidR="00E40275" w:rsidRPr="00C10C0E">
        <w:t xml:space="preserve"> </w:t>
      </w:r>
      <w:r w:rsidR="00E40275" w:rsidRPr="00C10C0E">
        <w:rPr>
          <w:i/>
        </w:rPr>
        <w:t>United States v. Hester</w:t>
      </w:r>
      <w:r w:rsidR="00E40275" w:rsidRPr="00C10C0E">
        <w:t>, 910 F.3d 78, 87–88 (3d Cir. 2018) (holding that police officers had reasonable suspicion where they “observed a vehicle illegally idling near a crosswalk, in front of a store with a known history of narcotics-related activity, close to midnight, in a high-crime area of Newark”);</w:t>
      </w:r>
      <w:r w:rsidR="00E40275" w:rsidRPr="00C10C0E">
        <w:rPr>
          <w:i/>
        </w:rPr>
        <w:t xml:space="preserve"> United States v. Bey</w:t>
      </w:r>
      <w:r w:rsidR="00E40275" w:rsidRPr="00C10C0E">
        <w:t>, 911 F.3d 139 (3d Cir. 2018) (holding that police officers had reasonable suspicion when they approached a person of the same race and gender as the fleeing suspect who was “wearing clothing similar to that worn by the fleeing suspect and . . . where police expected to find that suspect”).</w:t>
      </w:r>
    </w:p>
    <w:p w14:paraId="42B05BF4" w14:textId="77777777" w:rsidR="00E40275" w:rsidRDefault="00E40275">
      <w:pPr>
        <w:ind w:firstLine="720"/>
        <w:jc w:val="both"/>
      </w:pPr>
    </w:p>
    <w:p w14:paraId="37EB6389" w14:textId="552334E0" w:rsidR="00A610BD" w:rsidRDefault="00A610BD">
      <w:pPr>
        <w:ind w:firstLine="720"/>
        <w:jc w:val="both"/>
      </w:pPr>
      <w:r>
        <w:t>The test is an objective one;</w:t>
      </w:r>
      <w:r w:rsidR="00802411">
        <w:t xml:space="preserve"> “</w:t>
      </w:r>
      <w:r>
        <w:t>subjective good faith</w:t>
      </w:r>
      <w:r w:rsidR="00FD4B4D">
        <w:t>”</w:t>
      </w:r>
      <w:r>
        <w:t xml:space="preserve"> does not suffice to justify 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rPr>
        <w:footnoteReference w:id="224"/>
      </w:r>
    </w:p>
    <w:p w14:paraId="4D9CDA80" w14:textId="77777777" w:rsidR="00290198" w:rsidRPr="00826EFF" w:rsidRDefault="00290198">
      <w:pPr>
        <w:ind w:firstLine="720"/>
        <w:jc w:val="both"/>
      </w:pPr>
    </w:p>
    <w:p w14:paraId="0833A382" w14:textId="1C1C1055" w:rsidR="00D3719F" w:rsidRPr="00852EA2" w:rsidRDefault="00A610BD" w:rsidP="002868AD">
      <w:pPr>
        <w:shd w:val="clear" w:color="auto" w:fill="FFFFFF" w:themeFill="background1"/>
        <w:spacing w:after="120"/>
        <w:ind w:firstLine="720"/>
        <w:jc w:val="both"/>
      </w:pPr>
      <w:r>
        <w:t>The scope of the ensuing stop</w:t>
      </w:r>
      <w:r>
        <w:rPr>
          <w:rStyle w:val="FootnoteReference"/>
        </w:rPr>
        <w:footnoteReference w:id="225"/>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rPr>
        <w:footnoteReference w:id="226"/>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w:t>
      </w:r>
      <w:r w:rsidR="001B7B2F">
        <w:rPr>
          <w:i/>
          <w:iCs/>
        </w:rPr>
        <w:t xml:space="preserve">nited </w:t>
      </w:r>
      <w:r>
        <w:rPr>
          <w:i/>
          <w:iCs/>
        </w:rPr>
        <w:t>S</w:t>
      </w:r>
      <w:r w:rsidR="001B7B2F">
        <w:rPr>
          <w:i/>
          <w:iCs/>
        </w:rPr>
        <w:t>tates</w:t>
      </w:r>
      <w:r>
        <w:rPr>
          <w:i/>
          <w:iCs/>
        </w:rPr>
        <w:t xml:space="preserve"> v. Place</w:t>
      </w:r>
      <w:r>
        <w:t>, 462 U.S. 696, 709 (1983)</w:t>
      </w:r>
      <w:r w:rsidR="009D7FE9">
        <w:t>;</w:t>
      </w:r>
      <w:r w:rsidR="00CF402C">
        <w:t xml:space="preserve"> </w:t>
      </w:r>
      <w:r w:rsidR="00A462E1" w:rsidRPr="00A462E1">
        <w:rPr>
          <w:i/>
        </w:rPr>
        <w:t>United States v. Garner</w:t>
      </w:r>
      <w:r w:rsidR="00A462E1" w:rsidRPr="00A462E1">
        <w:t>, 961 F.3d 264, 272 (3d Cir. 2020) (holding that waiting for backup before seeking consent to search or calling for a K-9 unit was permissible because “it was starting to get dark,” the driver “had a previous firearms offense,” and the trooper was smaller than both the driver and the passenger);</w:t>
      </w:r>
      <w:r w:rsidR="00A462E1">
        <w:t xml:space="preserve"> </w:t>
      </w:r>
      <w:r w:rsidR="009D7FE9" w:rsidRPr="002540E4">
        <w:rPr>
          <w:i/>
        </w:rPr>
        <w:t>United States v. Foster</w:t>
      </w:r>
      <w:r w:rsidR="009D7FE9" w:rsidRPr="002540E4">
        <w:t>, 891 F.3d 93</w:t>
      </w:r>
      <w:r w:rsidR="009D7FE9">
        <w:t>,</w:t>
      </w:r>
      <w:r w:rsidR="009D7FE9" w:rsidRPr="002540E4">
        <w:t xml:space="preserve"> 106-07 (3d Cir. 2018)</w:t>
      </w:r>
      <w:r w:rsidR="009D7FE9">
        <w:t xml:space="preserve"> (holding </w:t>
      </w:r>
      <w:r w:rsidR="009D7FE9" w:rsidRPr="002540E4">
        <w:t xml:space="preserve">that the scope of a permissible </w:t>
      </w:r>
      <w:r w:rsidR="009D7FE9" w:rsidRPr="002540E4">
        <w:rPr>
          <w:i/>
        </w:rPr>
        <w:t>Terry</w:t>
      </w:r>
      <w:r w:rsidR="009D7FE9" w:rsidRPr="002540E4">
        <w:t xml:space="preserve"> stop was not exceeded even though the suspect was put in handcuffs and transported a short distance for identification</w:t>
      </w:r>
      <w:r w:rsidR="009D7FE9">
        <w:t>)</w:t>
      </w:r>
      <w:r w:rsidR="009D7FE9" w:rsidRPr="002540E4">
        <w:t>.</w:t>
      </w:r>
      <w:r w:rsidR="00D3719F" w:rsidRPr="00D3719F">
        <w:t xml:space="preserve"> </w:t>
      </w:r>
    </w:p>
    <w:p w14:paraId="40145D89" w14:textId="7C56F67D" w:rsidR="00D3719F" w:rsidRPr="00C10C0E" w:rsidRDefault="00D3719F" w:rsidP="002868AD">
      <w:pPr>
        <w:shd w:val="clear" w:color="auto" w:fill="FFFFFF" w:themeFill="background1"/>
        <w:spacing w:after="120"/>
        <w:ind w:firstLine="720"/>
        <w:jc w:val="both"/>
      </w:pPr>
      <w:r w:rsidRPr="00C10C0E">
        <w:t xml:space="preserve">In </w:t>
      </w:r>
      <w:r w:rsidRPr="00C10C0E">
        <w:rPr>
          <w:i/>
        </w:rPr>
        <w:t>United States v. Bey</w:t>
      </w:r>
      <w:r w:rsidRPr="00C10C0E">
        <w:t xml:space="preserve">, 911 F.3d 139 (3d Cir. 2018), the court of appeals held that the “police were justified in drawing their guns and ordering Bey to raise his hands and turn around,” but that “once Bey turned around, officers should have noticed the clear differences in appearance and age between” Bey and the fleeing suspect they were seeking. At that point, the “seizure should have terminated,” because the suspicion was no longer reasonable. </w:t>
      </w:r>
      <w:r w:rsidRPr="00C10C0E">
        <w:rPr>
          <w:i/>
        </w:rPr>
        <w:t>Id</w:t>
      </w:r>
      <w:r w:rsidRPr="00C10C0E">
        <w:t xml:space="preserve">. at 146-47. </w:t>
      </w:r>
      <w:r w:rsidRPr="00C10C0E">
        <w:rPr>
          <w:i/>
        </w:rPr>
        <w:t>Cf</w:t>
      </w:r>
      <w:r w:rsidRPr="00C10C0E">
        <w:t xml:space="preserve">. </w:t>
      </w:r>
      <w:r w:rsidRPr="00C10C0E">
        <w:rPr>
          <w:i/>
        </w:rPr>
        <w:t>United States v. McCants</w:t>
      </w:r>
      <w:r w:rsidRPr="00C10C0E">
        <w:t>, 920 F.3d 169 (3d Cir.</w:t>
      </w:r>
      <w:r w:rsidR="001A6178" w:rsidRPr="005A3223">
        <w:rPr>
          <w:rFonts w:ascii="Century Schoolbook" w:hAnsi="Century Schoolbook"/>
          <w:iCs/>
        </w:rPr>
        <w:t xml:space="preserve">), </w:t>
      </w:r>
      <w:r w:rsidR="001A6178" w:rsidRPr="004B6CE9">
        <w:rPr>
          <w:i/>
          <w:iCs/>
        </w:rPr>
        <w:t>vacated and remanded for further consideration based on an intervening decision</w:t>
      </w:r>
      <w:r w:rsidR="001A6178" w:rsidRPr="004B6CE9">
        <w:rPr>
          <w:iCs/>
        </w:rPr>
        <w:t xml:space="preserve">, 140 S. Ct. 375 (2019), </w:t>
      </w:r>
      <w:r w:rsidR="001A6178" w:rsidRPr="004B6CE9">
        <w:rPr>
          <w:i/>
          <w:iCs/>
        </w:rPr>
        <w:t>original opinion reissued after defendant abandoned challenge based on that decision</w:t>
      </w:r>
      <w:r w:rsidR="001A6178" w:rsidRPr="004B6CE9">
        <w:rPr>
          <w:iCs/>
        </w:rPr>
        <w:t>, 952 F.3d 416 (3d Cir. 2020)</w:t>
      </w:r>
      <w:r w:rsidR="001A6178" w:rsidRPr="005A3223">
        <w:rPr>
          <w:rFonts w:ascii="Century Schoolbook" w:hAnsi="Century Schoolbook"/>
        </w:rPr>
        <w:t xml:space="preserve"> </w:t>
      </w:r>
      <w:r w:rsidRPr="00C10C0E">
        <w:t>(rejecting the argument that “no officer could have reasonable suspicion of ongoing domestic violence after</w:t>
      </w:r>
      <w:r w:rsidR="00887C2F" w:rsidRPr="00C10C0E">
        <w:t xml:space="preserve">” </w:t>
      </w:r>
      <w:r w:rsidRPr="00C10C0E">
        <w:t>seeing that the alleged victim “was composed and unscathed,” and noting the risk that an armed man might threaten a woman with future violence if she does not remain calm when police arrive).</w:t>
      </w:r>
    </w:p>
    <w:p w14:paraId="5C563D7C" w14:textId="6C95FE9B" w:rsidR="003070B2" w:rsidRDefault="003070B2" w:rsidP="009D7FE9">
      <w:pPr>
        <w:ind w:firstLine="720"/>
        <w:jc w:val="both"/>
      </w:pPr>
    </w:p>
    <w:p w14:paraId="4DDD8EF0" w14:textId="142F8A75"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135 S. Ct. 1609 (2015)</w:t>
      </w:r>
      <w:r w:rsidR="009D7FE9">
        <w:t>;</w:t>
      </w:r>
      <w:r w:rsidR="009D7FE9" w:rsidRPr="009D7FE9">
        <w:t xml:space="preserve"> </w:t>
      </w:r>
      <w:r w:rsidR="009D7FE9">
        <w:t xml:space="preserve">see </w:t>
      </w:r>
      <w:r w:rsidR="009D7FE9" w:rsidRPr="00141D4B">
        <w:rPr>
          <w:i/>
        </w:rPr>
        <w:t>United States v. Green</w:t>
      </w:r>
      <w:r w:rsidR="009D7FE9" w:rsidRPr="00141D4B">
        <w:t>, 897 F.3d 173</w:t>
      </w:r>
      <w:r w:rsidR="009D7FE9">
        <w:t>, 179-82</w:t>
      </w:r>
      <w:r w:rsidR="009D7FE9" w:rsidRPr="00141D4B">
        <w:t xml:space="preserve"> (3d Cir. 2018)</w:t>
      </w:r>
      <w:r w:rsidR="009D7FE9">
        <w:t xml:space="preserve"> (d</w:t>
      </w:r>
      <w:r w:rsidR="009D7FE9" w:rsidRPr="00141D4B">
        <w:t>iscuss</w:t>
      </w:r>
      <w:r w:rsidR="009D7FE9">
        <w:t>ing</w:t>
      </w:r>
      <w:r w:rsidR="009D7FE9" w:rsidRPr="00141D4B">
        <w:t xml:space="preserve"> the difficulty in determining the moment—the “</w:t>
      </w:r>
      <w:r w:rsidR="009D7FE9" w:rsidRPr="00141D4B">
        <w:rPr>
          <w:i/>
        </w:rPr>
        <w:t>Rodriguez</w:t>
      </w:r>
      <w:r w:rsidR="009D7FE9" w:rsidRPr="00141D4B">
        <w:t xml:space="preserve"> moment”—when a valid </w:t>
      </w:r>
      <w:r w:rsidR="009D7FE9" w:rsidRPr="00141D4B">
        <w:rPr>
          <w:i/>
        </w:rPr>
        <w:t>Terry</w:t>
      </w:r>
      <w:r w:rsidR="009D7FE9" w:rsidRPr="00141D4B">
        <w:t xml:space="preserve"> stop for a traffic violation is unreasonably extended to investigate other crime</w:t>
      </w:r>
      <w:r w:rsidR="009D7FE9">
        <w:t xml:space="preserve">); </w:t>
      </w:r>
      <w:r w:rsidR="009D7FE9" w:rsidRPr="00B216DD">
        <w:rPr>
          <w:i/>
        </w:rPr>
        <w:t>United States v. Clark</w:t>
      </w:r>
      <w:r w:rsidR="009D7FE9" w:rsidRPr="00B216DD">
        <w:t>, 902 F.3d 404</w:t>
      </w:r>
      <w:r w:rsidR="009D7FE9">
        <w:t>, 411</w:t>
      </w:r>
      <w:r w:rsidR="009D7FE9" w:rsidRPr="00B216DD">
        <w:t xml:space="preserve"> (3d Cir. 2018)</w:t>
      </w:r>
      <w:r w:rsidR="009D7FE9">
        <w:t xml:space="preserve"> (holding that </w:t>
      </w:r>
      <w:r w:rsidR="009D7FE9" w:rsidRPr="00B216DD">
        <w:t>once the officer had confirmed that the vehicle belonged to the driver’s mother</w:t>
      </w:r>
      <w:r w:rsidR="009D7FE9">
        <w:t xml:space="preserve">, </w:t>
      </w:r>
      <w:r w:rsidR="009D7FE9" w:rsidRPr="00B216DD">
        <w:t>the officer could no longer have reasonably questioned the driver’s authority to operate the vehicle</w:t>
      </w:r>
      <w:r w:rsidR="009D7FE9">
        <w:t xml:space="preserve">; therefore, </w:t>
      </w:r>
      <w:r w:rsidR="009D7FE9" w:rsidRPr="00B216DD">
        <w:t>questions about the driver’s criminal history were not tied to the mission of the traffic stop and impermissibly extended the stop</w:t>
      </w:r>
      <w:r w:rsidR="009D7FE9">
        <w:t>)</w:t>
      </w:r>
      <w:r w:rsidR="009D7FE9" w:rsidRPr="00B216DD">
        <w:t>.</w:t>
      </w:r>
      <w:r w:rsidR="009D7FE9">
        <w:t xml:space="preserve"> </w:t>
      </w:r>
      <w:r w:rsidR="00F00A26" w:rsidRPr="008D5CD8">
        <w:rPr>
          <w:rFonts w:ascii="Century Schoolbook" w:hAnsi="Century Schoolbook"/>
          <w:i/>
        </w:rPr>
        <w:t xml:space="preserve">See also </w:t>
      </w:r>
      <w:r w:rsidR="00F00A26" w:rsidRPr="00F00A26">
        <w:rPr>
          <w:i/>
        </w:rPr>
        <w:t>United States v. Garner</w:t>
      </w:r>
      <w:r w:rsidR="00F00A26" w:rsidRPr="00F00A26">
        <w:t>, 961 F.3d 264, 271-72 (3d Cir. 2020) (holding that the earliest the “</w:t>
      </w:r>
      <w:r w:rsidR="00F00A26" w:rsidRPr="00F00A26">
        <w:rPr>
          <w:i/>
        </w:rPr>
        <w:t>Rodriguez</w:t>
      </w:r>
      <w:r w:rsidR="00F00A26" w:rsidRPr="00F00A26">
        <w:t xml:space="preserve"> moment” happened was when the trooper began asking the stopped driver “about his employment, family, criminal history, and other conduct unrelated to the traffic stop,” and that, by this time, the trooper had reasonable suspicion of criminal activity beyond the traffic offense because the rental car did not have the typical bar code, had air fresheners clipped on every vent, and was traveling along a drug trafficking corridor; the rental agreement had expired two weeks earlier; and the driver seemed extremely nervous); </w:t>
      </w:r>
      <w:r w:rsidR="00F00A26" w:rsidRPr="00F00A26">
        <w:rPr>
          <w:i/>
        </w:rPr>
        <w:t>United States v. Wilson</w:t>
      </w:r>
      <w:r w:rsidR="00F00A26" w:rsidRPr="00F00A26">
        <w:t>, 960 F.3d 136, 145-46 (3d Cir. 2020) (holding that “less than ten minutes” after the car was pulled over and while waiting to hear from dispatch, the stop was still justified for traffic enforcement, and by then the officer had reasonable suspicion because the three men “were driving through North Carolina in a rental car they had picked up the day before in Philadelphia, but the person named in the rental agreement was not in the car,” the men “said they were going to Georgia for a week, but the car was rented for a month and they had no luggage,” and “gave conflicting stories about their trip’s purpose,” and one “confessed to having a lot of cash in the car”);</w:t>
      </w:r>
      <w:r w:rsidR="00F00A26">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3ED3E769" w14:textId="31FE3C83" w:rsidR="00F95913" w:rsidRPr="002C7456" w:rsidRDefault="00A610BD" w:rsidP="000E0259">
      <w:pPr>
        <w:ind w:firstLine="720"/>
        <w:jc w:val="both"/>
        <w:rPr>
          <w:b/>
          <w:bCs/>
          <w:sz w:val="28"/>
          <w:szCs w:val="28"/>
        </w:rPr>
        <w:sectPr w:rsidR="00F95913" w:rsidRPr="002C7456" w:rsidSect="002E3699">
          <w:type w:val="continuous"/>
          <w:pgSz w:w="12240" w:h="15840"/>
          <w:pgMar w:top="1440" w:right="1440" w:bottom="1440" w:left="1440" w:header="1440" w:footer="1440" w:gutter="0"/>
          <w:lnNumType w:countBy="1"/>
          <w:cols w:space="720"/>
          <w:noEndnote/>
        </w:sectPr>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w:t>
      </w:r>
      <w:r w:rsidR="0077488E">
        <w:t>.D. Pa.</w:t>
      </w:r>
      <w:r>
        <w:t>)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r w:rsidR="000E0259">
        <w:t xml:space="preserve"> </w:t>
      </w:r>
      <w:r w:rsidR="009D4C2D" w:rsidRPr="002C7456">
        <w:t xml:space="preserve">In </w:t>
      </w:r>
      <w:r w:rsidR="009D4C2D" w:rsidRPr="002C7456">
        <w:rPr>
          <w:i/>
        </w:rPr>
        <w:t>Kansas v. Glover</w:t>
      </w:r>
      <w:r w:rsidR="009D4C2D" w:rsidRPr="002C7456">
        <w:t xml:space="preserve">, 140 S. Ct. 1183 (2020), Justice Sotomayor argued in dissent that the majority “flips the burden of proof.” </w:t>
      </w:r>
      <w:r w:rsidR="009D4C2D" w:rsidRPr="002C7456">
        <w:rPr>
          <w:i/>
        </w:rPr>
        <w:t>Id</w:t>
      </w:r>
      <w:r w:rsidR="009D4C2D" w:rsidRPr="002C7456">
        <w:t xml:space="preserve">. at 1195 (Sotomayor, J., dissenting). The majority denied that its “approach impermissibly places the burden of proof on the individual to negate the inference of reasonable suspicion,” stating that “it is the information possessed by the officer at the time of the stop, not any information offered by the individual after the fact, that can negate the inference.” </w:t>
      </w:r>
      <w:r w:rsidR="009D4C2D" w:rsidRPr="002C7456">
        <w:rPr>
          <w:i/>
        </w:rPr>
        <w:t>Glover</w:t>
      </w:r>
      <w:r w:rsidR="009D4C2D" w:rsidRPr="002C7456">
        <w:t xml:space="preserve">, 140 S. Ct. at 1191, n.2 (citation omitted). Although the Court did not explicitly say the government bears the burden of proof on the issue of reasonable suspicion, this response to the dissent seems to assume that it does. </w:t>
      </w:r>
      <w:r w:rsidR="009D4C2D" w:rsidRPr="002C7456">
        <w:rPr>
          <w:i/>
        </w:rPr>
        <w:t>Glover</w:t>
      </w:r>
      <w:r w:rsidR="009D4C2D" w:rsidRPr="002C7456">
        <w:t xml:space="preserve">, however, was a criminal case in which the government was offering evidence seized without a warrant. Simply because the government bears the burden of proof in that situation does not mean that the defending officer in a civil case would similarly bear the burden of proof. </w:t>
      </w:r>
      <w:r w:rsidR="009D4C2D" w:rsidRPr="002C7456">
        <w:rPr>
          <w:i/>
        </w:rPr>
        <w:t>United States v. Johnson</w:t>
      </w:r>
      <w:r w:rsidR="009D4C2D" w:rsidRPr="002C7456">
        <w:t>, 63 F.3d 242, 245 (3d Cir. 1995) (stating while the general rule puts the burden of proof on the defendant who seeks to suppress evidence, “once the defendant has established a basis for his motion, i.e., the search or seizure was conducted without a warrant, the burden shifts to the government to show that the search or seizure was reasonable”). For that reason, the Committee has not changed the Instruction imposing the burden on the plaintiff to prove that the defendant lacked reasonable suspicion for the stop.</w:t>
      </w:r>
    </w:p>
    <w:p w14:paraId="62616EA0" w14:textId="77777777" w:rsidR="00A610BD" w:rsidRDefault="00A610BD">
      <w:pPr>
        <w:tabs>
          <w:tab w:val="center" w:pos="4680"/>
        </w:tabs>
        <w:jc w:val="both"/>
        <w:rPr>
          <w:b/>
          <w:bCs/>
          <w:sz w:val="28"/>
          <w:szCs w:val="28"/>
        </w:rPr>
      </w:pPr>
      <w:r>
        <w:rPr>
          <w:b/>
          <w:bCs/>
          <w:sz w:val="28"/>
          <w:szCs w:val="28"/>
        </w:rPr>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48"/>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rPr>
        <w:footnoteReference w:id="227"/>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rPr>
        <w:footnoteReference w:id="228"/>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rPr>
        <w:footnoteReference w:id="229"/>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[Define the relevant crime[s].]  [Under [the relevant] law, the offense of [name offense] is 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rPr>
        <w:footnoteReference w:id="230"/>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rPr>
        <w:footnoteReference w:id="231"/>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rPr>
        <w:footnoteReference w:id="232"/>
      </w:r>
    </w:p>
    <w:p w14:paraId="43EC945A" w14:textId="77777777" w:rsidR="003A37F4" w:rsidRDefault="003A37F4">
      <w:pPr>
        <w:ind w:firstLine="720"/>
        <w:jc w:val="both"/>
      </w:pPr>
    </w:p>
    <w:p w14:paraId="55E97BDF" w14:textId="0D83F7FF"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rPr>
        <w:footnoteReference w:id="233"/>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8B1545">
        <w:t>’ ”</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w:t>
      </w:r>
      <w:r w:rsidR="00031580">
        <w:t xml:space="preserve"> </w:t>
      </w:r>
      <w:r w:rsidR="00031580" w:rsidRPr="003E40B5">
        <w:t xml:space="preserve">Nor does it require an officer to rule out innocent explanations, </w:t>
      </w:r>
      <w:r w:rsidR="00031580" w:rsidRPr="003E40B5">
        <w:rPr>
          <w:i/>
        </w:rPr>
        <w:t>District of Columbia v. Wesby</w:t>
      </w:r>
      <w:r w:rsidR="00031580" w:rsidRPr="003E40B5">
        <w:t xml:space="preserve">, 138 S. Ct. 577, 588 (2018), or to believe claims of innocence. </w:t>
      </w:r>
      <w:r w:rsidR="00031580" w:rsidRPr="003E40B5">
        <w:rPr>
          <w:i/>
        </w:rPr>
        <w:t>Id</w:t>
      </w:r>
      <w:r w:rsidR="00031580" w:rsidRPr="003E40B5">
        <w:t xml:space="preserve">. at 587-88; </w:t>
      </w:r>
      <w:r w:rsidR="00031580" w:rsidRPr="003E40B5">
        <w:rPr>
          <w:i/>
        </w:rPr>
        <w:t>Karns v. Shanahan</w:t>
      </w:r>
      <w:r w:rsidR="00031580" w:rsidRPr="003E40B5">
        <w:t xml:space="preserve">, 879 F.3d 504, 523 (3d Cir. 2018). A court should not view each fact in isolation, but rather as part of the totality of the circumstances. For example, in </w:t>
      </w:r>
      <w:r w:rsidR="00031580" w:rsidRPr="003E40B5">
        <w:rPr>
          <w:i/>
        </w:rPr>
        <w:t>Wesby</w:t>
      </w:r>
      <w:r w:rsidR="00031580" w:rsidRPr="003E40B5">
        <w:t xml:space="preserve">, the Supreme Court held that there was probable cause to arrest for unlawful entry where “the officers found a group of people who claimed to be having a bachelor party with no bachelor, in a near-empty house, with strippers in the living room and sexual activity in the bedroom, and who fled at the first sign of police,” even though the court of appeals had “identified innocent explanations for most of these circumstances in isolation,” because  “this kind of divide-and-conquer approach is improper.” </w:t>
      </w:r>
      <w:r w:rsidR="00031580" w:rsidRPr="003E40B5">
        <w:rPr>
          <w:i/>
        </w:rPr>
        <w:t>Wesby</w:t>
      </w:r>
      <w:r w:rsidR="00031580" w:rsidRPr="003E40B5">
        <w:t>, 138 S. Ct. at 589.</w:t>
      </w:r>
      <w:r w:rsidR="00031580">
        <w:t xml:space="preserve"> </w:t>
      </w:r>
      <w:r w:rsidR="00A610BD">
        <w:t>The analysis is a pragmatic one and should be based upon common sense.</w:t>
      </w:r>
      <w:r w:rsidR="00A610BD">
        <w:rPr>
          <w:rStyle w:val="FootnoteReference"/>
        </w:rPr>
        <w:footnoteReference w:id="234"/>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rPr>
        <w:footnoteReference w:id="235"/>
      </w:r>
    </w:p>
    <w:p w14:paraId="1A5FB2C3" w14:textId="77777777"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rPr>
        <w:footnoteReference w:id="236"/>
      </w:r>
    </w:p>
    <w:p w14:paraId="645995B7" w14:textId="77777777" w:rsidR="00A610BD" w:rsidRDefault="00A610BD">
      <w:pPr>
        <w:jc w:val="both"/>
      </w:pPr>
    </w:p>
    <w:p w14:paraId="5BD17421" w14:textId="1ACD9920"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rPr>
        <w:footnoteReference w:id="237"/>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rPr>
        <w:footnoteReference w:id="238"/>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1989 WL 14062 (E</w:t>
      </w:r>
      <w:r w:rsidR="0077488E">
        <w:t>.D. Pa.</w:t>
      </w:r>
      <w:r>
        <w:t xml:space="preserve">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14:paraId="33218956" w14:textId="77777777" w:rsidR="00031580" w:rsidRDefault="00031580">
      <w:pPr>
        <w:ind w:firstLine="720"/>
        <w:jc w:val="both"/>
      </w:pP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rPr>
        <w:footnoteReference w:id="239"/>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5C782FE6"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rsidR="00AC6A18">
        <w:t>“</w:t>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rPr>
        <w:footnoteReference w:id="240"/>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135 S. Ct. 530, 539 (2014).</w:t>
      </w:r>
    </w:p>
    <w:p w14:paraId="3A2260C2" w14:textId="77777777" w:rsidR="003070B2" w:rsidRDefault="003070B2" w:rsidP="003070B2">
      <w:pPr>
        <w:ind w:firstLine="720"/>
        <w:jc w:val="both"/>
      </w:pPr>
    </w:p>
    <w:p w14:paraId="53E6CAD8" w14:textId="3F045DE4"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rPr>
        <w:footnoteReference w:id="241"/>
      </w:r>
      <w:r w:rsidR="00031580">
        <w:t xml:space="preserve"> </w:t>
      </w:r>
      <w:r w:rsidR="00031580" w:rsidRPr="003E40B5">
        <w:t xml:space="preserve">“Because probable cause is an objective standard, an arrest is lawful if the officer had probable cause to arrest for any offense, not just the offense cited at the time of arrest or booking.” </w:t>
      </w:r>
      <w:r w:rsidR="00031580" w:rsidRPr="003E40B5">
        <w:rPr>
          <w:i/>
        </w:rPr>
        <w:t>Wesby</w:t>
      </w:r>
      <w:r w:rsidR="00031580" w:rsidRPr="003E40B5">
        <w:t xml:space="preserve">, 138 S. Ct. at 584, n.2 (2018); </w:t>
      </w:r>
      <w:r w:rsidR="00031580" w:rsidRPr="003E40B5">
        <w:rPr>
          <w:i/>
        </w:rPr>
        <w:t>Karns</w:t>
      </w:r>
      <w:r w:rsidR="00031580" w:rsidRPr="003E40B5">
        <w:t xml:space="preserve">, 879 F.3d at 523, n.11 (“Probable cause need only exist as to </w:t>
      </w:r>
      <w:r w:rsidR="00031580" w:rsidRPr="003E40B5">
        <w:rPr>
          <w:i/>
        </w:rPr>
        <w:t>any</w:t>
      </w:r>
      <w:r w:rsidR="00031580" w:rsidRPr="003E40B5">
        <w:t xml:space="preserve"> offense that could be charged under the circumstances”) (internal quotation marks and citation omitted). </w:t>
      </w:r>
      <w:r w:rsidR="00A610BD">
        <w:t>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031580">
        <w:rPr>
          <w:i/>
          <w:iCs/>
        </w:rPr>
        <w:t>Devenpeck</w:t>
      </w:r>
      <w:r w:rsidR="00031580">
        <w:t xml:space="preserve">, 543 U.S. </w:t>
      </w:r>
      <w:r w:rsidR="00A610BD">
        <w:t>at 153.</w:t>
      </w:r>
      <w:r w:rsidR="00A610BD">
        <w:rPr>
          <w:rStyle w:val="FootnoteReference"/>
        </w:rPr>
        <w:footnoteReference w:id="242"/>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rPr>
        <w:footnoteReference w:id="243"/>
      </w:r>
      <w:r>
        <w:t xml:space="preserve">  </w:t>
      </w:r>
      <w:r w:rsidR="00137266">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09D26B24"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8B1545">
        <w:t>’ ”</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rPr>
        <w:footnoteReference w:id="244"/>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rPr>
        <w:footnoteReference w:id="245"/>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9"/>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127 S.</w:t>
      </w:r>
      <w:r w:rsidR="001B783C">
        <w:t xml:space="preserve"> </w:t>
      </w:r>
      <w:r>
        <w:t xml:space="preserve">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6864FCB9"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rPr>
        <w:footnoteReference w:id="246"/>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8B1545">
        <w:t>’ ”</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rPr>
        <w:footnoteReference w:id="247"/>
      </w:r>
    </w:p>
    <w:p w14:paraId="30C3DDB5" w14:textId="77777777" w:rsidR="00A610BD" w:rsidRDefault="00430018">
      <w:pPr>
        <w:ind w:firstLine="720"/>
        <w:jc w:val="both"/>
      </w:pPr>
      <w:r>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rPr>
        <w:footnoteReference w:id="248"/>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rPr>
        <w:footnoteReference w:id="249"/>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05402B57"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8B1545">
        <w:t>’ ”</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70E620B9" w:rsidR="00477609" w:rsidRPr="00477609" w:rsidRDefault="002D1D62" w:rsidP="004871B4">
      <w:pPr>
        <w:ind w:firstLine="720"/>
        <w:jc w:val="both"/>
      </w:pPr>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615 F.3d 197, 211-23 (3d 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rPr>
        <w:footnoteReference w:id="250"/>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rPr>
        <w:footnoteReference w:id="251"/>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rPr>
        <w:footnoteReference w:id="252"/>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09CB4BD3"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8B1545">
        <w:t>’ ”</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rPr>
        <w:footnoteReference w:id="253"/>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rPr>
        <w:footnoteReference w:id="254"/>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rPr>
        <w:footnoteReference w:id="255"/>
      </w:r>
    </w:p>
    <w:p w14:paraId="78BDEFD2" w14:textId="77777777" w:rsidR="00A610BD" w:rsidRDefault="00A610BD">
      <w:pPr>
        <w:jc w:val="both"/>
      </w:pPr>
    </w:p>
    <w:p w14:paraId="29A639CF" w14:textId="77777777" w:rsidR="00A610BD" w:rsidRDefault="00A610BD">
      <w:pPr>
        <w:ind w:firstLine="720"/>
        <w:jc w:val="both"/>
      </w:pPr>
      <w:r>
        <w:t>As to the second element of [plaintiff</w:t>
      </w:r>
      <w:r w:rsidR="000D09A4">
        <w:t>’</w:t>
      </w:r>
      <w:r>
        <w:t>s] malicious prosecution claim, [plaintiff] must prove that [defendant] lacked probable cause to initiate the proceeding.  To determine whether probable 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w:t>
      </w:r>
      <w:r w:rsidRPr="00A55758">
        <w:rPr>
          <w:i/>
          <w:u w:val="single"/>
        </w:rPr>
        <w:t>Albright</w:t>
      </w:r>
      <w:r>
        <w:rPr>
          <w:u w:val="single"/>
        </w:rPr>
        <w:t xml:space="preserve">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57289F5D" w:rsidR="00A610BD" w:rsidRDefault="00A610BD">
      <w:pPr>
        <w:ind w:firstLine="720"/>
        <w:jc w:val="both"/>
      </w:pPr>
      <w:r w:rsidRPr="00A55758">
        <w:rPr>
          <w:i/>
          <w:u w:val="single"/>
        </w:rPr>
        <w:t>Albright v. Oliver</w:t>
      </w:r>
      <w:r>
        <w:rPr>
          <w:u w:val="single"/>
        </w:rPr>
        <w:t>.</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8B1545">
        <w:t>’ ”</w:t>
      </w:r>
      <w:r>
        <w:t xml:space="preserve"> </w:t>
      </w:r>
      <w:r>
        <w:rPr>
          <w:i/>
          <w:iCs/>
        </w:rPr>
        <w:t>Id.</w:t>
      </w:r>
      <w:r>
        <w:t xml:space="preserve"> at 273 (quoting </w:t>
      </w:r>
      <w:r>
        <w:rPr>
          <w:i/>
          <w:iCs/>
        </w:rPr>
        <w:t>Graham v. Connor</w:t>
      </w:r>
      <w:r>
        <w:t>, 490 U.S. 386, 395 (1989)).</w:t>
      </w:r>
      <w:r>
        <w:rPr>
          <w:rStyle w:val="FootnoteReference"/>
        </w:rPr>
        <w:footnoteReference w:id="256"/>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14:paraId="5F55676A" w14:textId="77777777" w:rsidR="00A610BD" w:rsidRDefault="00A610BD">
      <w:pPr>
        <w:jc w:val="both"/>
      </w:pPr>
    </w:p>
    <w:p w14:paraId="6A6D24CC" w14:textId="77777777"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7A8529B1" w14:textId="77777777" w:rsidR="00672C74" w:rsidRDefault="00A610BD">
      <w:pPr>
        <w:ind w:firstLine="720"/>
        <w:jc w:val="both"/>
      </w:pPr>
      <w:r>
        <w:rPr>
          <w:u w:val="single"/>
        </w:rPr>
        <w:t>Post-</w:t>
      </w:r>
      <w:r w:rsidRPr="00A55758">
        <w:rPr>
          <w:i/>
          <w:u w:val="single"/>
        </w:rPr>
        <w:t>Albright</w:t>
      </w:r>
      <w:r>
        <w:rPr>
          <w:u w:val="single"/>
        </w:rPr>
        <w:t xml:space="preserve"> cases.</w:t>
      </w:r>
      <w:r>
        <w:t xml:space="preserve">  </w:t>
      </w:r>
    </w:p>
    <w:p w14:paraId="0D24F702" w14:textId="77777777" w:rsidR="00672C74" w:rsidRDefault="00672C74">
      <w:pPr>
        <w:ind w:firstLine="720"/>
        <w:jc w:val="both"/>
      </w:pPr>
    </w:p>
    <w:p w14:paraId="25B4458F" w14:textId="77777777" w:rsidR="00672C74" w:rsidRPr="00672C74" w:rsidRDefault="00672C74" w:rsidP="00672C74">
      <w:pPr>
        <w:ind w:firstLine="720"/>
        <w:jc w:val="both"/>
      </w:pPr>
      <w:r w:rsidRPr="00672C74">
        <w:t xml:space="preserve">In </w:t>
      </w:r>
      <w:r w:rsidRPr="00672C74">
        <w:rPr>
          <w:i/>
        </w:rPr>
        <w:t>Manuel v. City of Joliet, Ill.</w:t>
      </w:r>
      <w:r w:rsidRPr="00672C74">
        <w:t xml:space="preserve">, 137 S. Ct. 911 (2017), the Court granted certiorari to decide “whether an individual’s Fourth Amendment right to be free from unreasonable seizure continues beyond legal process so as to allow a malicious prosecution claim based upon the Fourth Amendment.” The Court, however, decided only that “the Fourth Amendment governs a claim for unlawful pretrial detention even beyond the start of legal process,” </w:t>
      </w:r>
      <w:r w:rsidRPr="00672C74">
        <w:rPr>
          <w:i/>
        </w:rPr>
        <w:t>id</w:t>
      </w:r>
      <w:r w:rsidRPr="00672C74">
        <w:t xml:space="preserve">. at 920, and that “once a trial has occurred, the Fourth Amendment drops out,” so that a challenge to the sufficiency of the evidence to support a conviction and ensuing incarceration is brought under the Due Process Clause. </w:t>
      </w:r>
      <w:r w:rsidRPr="00672C74">
        <w:rPr>
          <w:i/>
        </w:rPr>
        <w:t>Id</w:t>
      </w:r>
      <w:r w:rsidRPr="00672C74">
        <w:t xml:space="preserve">. at 920 n.8. It left for the court of appeals on remand to decide the accrual date for such a Fourth Amendment claim, and whether malicious prosecution (with its favorable termination requirement) or false arrest is the better tort analogy. </w:t>
      </w:r>
      <w:r w:rsidRPr="00672C74">
        <w:rPr>
          <w:i/>
        </w:rPr>
        <w:t>Id</w:t>
      </w:r>
      <w:r w:rsidRPr="00672C74">
        <w:t xml:space="preserve">. at 920-22. </w:t>
      </w:r>
    </w:p>
    <w:p w14:paraId="342E5223" w14:textId="77777777" w:rsidR="00672C74" w:rsidRDefault="00672C74">
      <w:pPr>
        <w:ind w:firstLine="720"/>
        <w:jc w:val="both"/>
      </w:pPr>
    </w:p>
    <w:p w14:paraId="35812558" w14:textId="2BFA1618" w:rsidR="00A610BD" w:rsidRDefault="00A610BD">
      <w:pPr>
        <w:ind w:firstLine="720"/>
        <w:jc w:val="both"/>
      </w:pPr>
      <w:r>
        <w:t xml:space="preserve">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rPr>
        <w:footnoteReference w:id="257"/>
      </w:r>
      <w:r>
        <w:t xml:space="preserve">  Instruction 4.13 is designed for use in 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4C769816"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8B1545" w:rsidRPr="008B1545">
        <w:t xml:space="preserve"> </w:t>
      </w:r>
      <w:r w:rsidR="008B1545">
        <w:t>” ’ ”</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rPr>
        <w:footnoteReference w:id="258"/>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rPr>
        <w:footnoteReference w:id="259"/>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rPr>
        <w:footnoteReference w:id="260"/>
      </w:r>
    </w:p>
    <w:p w14:paraId="65E1B4FD" w14:textId="77777777" w:rsidR="00A610BD" w:rsidRDefault="00A610BD">
      <w:pPr>
        <w:ind w:left="720" w:right="720"/>
        <w:jc w:val="both"/>
      </w:pPr>
      <w:r>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63751501"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 xml:space="preserve">see </w:t>
      </w:r>
      <w:r w:rsidRPr="00CD3984">
        <w:rPr>
          <w:i/>
          <w:iCs/>
        </w:rPr>
        <w:t xml:space="preserve">also </w:t>
      </w:r>
      <w:r w:rsidR="00971216" w:rsidRPr="00CD3984">
        <w:rPr>
          <w:i/>
          <w:iCs/>
        </w:rPr>
        <w:t xml:space="preserve">Zimmerman v. Corbett, </w:t>
      </w:r>
      <w:r w:rsidR="00971216" w:rsidRPr="00CD3984">
        <w:rPr>
          <w:iCs/>
        </w:rPr>
        <w:t>873 F.3d 414, 418 (3d Cir. 2017)</w:t>
      </w:r>
      <w:r w:rsidR="00971216" w:rsidRPr="00CD3984">
        <w:t>;</w:t>
      </w:r>
      <w:r w:rsidR="00971216">
        <w:rPr>
          <w:i/>
          <w:iCs/>
        </w:rPr>
        <w:t xml:space="preserve"> </w:t>
      </w:r>
      <w:r>
        <w:rPr>
          <w:i/>
          <w:iCs/>
        </w:rPr>
        <w:t>DiBella v. Borough of Beachwood</w:t>
      </w:r>
      <w:r>
        <w:t>, 407 F.3d 599, 601 (3d Cir. 2005).</w:t>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14:paraId="5D6C5A00" w14:textId="77777777" w:rsidR="00A610BD" w:rsidRDefault="00A610BD">
      <w:pPr>
        <w:jc w:val="both"/>
      </w:pPr>
    </w:p>
    <w:p w14:paraId="20C59821" w14:textId="7CB57402"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8B1545">
        <w:t>’ ”</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41A025BB"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w:t>
      </w:r>
      <w:r w:rsidR="00D44B69">
        <w:rPr>
          <w:i/>
          <w:iCs/>
        </w:rPr>
        <w:t xml:space="preserve"> </w:t>
      </w:r>
      <w:r w:rsidR="00D44B69" w:rsidRPr="00121C30">
        <w:rPr>
          <w:i/>
          <w:iCs/>
        </w:rPr>
        <w:t>Geness v. Cox</w:t>
      </w:r>
      <w:r w:rsidR="00D44B69" w:rsidRPr="00D6488F">
        <w:rPr>
          <w:iCs/>
        </w:rPr>
        <w:t>, 902 F.3d 344</w:t>
      </w:r>
      <w:r w:rsidR="00D44B69">
        <w:rPr>
          <w:iCs/>
        </w:rPr>
        <w:t>, 356</w:t>
      </w:r>
      <w:r w:rsidR="00D44B69" w:rsidRPr="00D6488F">
        <w:rPr>
          <w:iCs/>
        </w:rPr>
        <w:t xml:space="preserve"> (3d Cir. 2018)</w:t>
      </w:r>
      <w:r w:rsidR="00D44B69">
        <w:rPr>
          <w:iCs/>
        </w:rPr>
        <w:t xml:space="preserve"> (holding that </w:t>
      </w:r>
      <w:r w:rsidR="00D44B69" w:rsidRPr="00D6488F">
        <w:rPr>
          <w:iCs/>
        </w:rPr>
        <w:t>to determine whether a nolle prosequi order indicates innocence requires consideration of the underlying facts and particular circumstances</w:t>
      </w:r>
      <w:r w:rsidR="00D44B69">
        <w:rPr>
          <w:iCs/>
        </w:rPr>
        <w:t xml:space="preserve"> and that where </w:t>
      </w:r>
      <w:r w:rsidR="00D44B69" w:rsidRPr="00D6488F">
        <w:rPr>
          <w:iCs/>
        </w:rPr>
        <w:t>prosecutor anticipated that it would not be possible to prove the case beyond a reasonable doubt</w:t>
      </w:r>
      <w:r w:rsidR="00D44B69">
        <w:rPr>
          <w:iCs/>
        </w:rPr>
        <w:t xml:space="preserve">, the order </w:t>
      </w:r>
      <w:r w:rsidR="00D44B69" w:rsidRPr="00D6488F">
        <w:rPr>
          <w:iCs/>
        </w:rPr>
        <w:t>indicate</w:t>
      </w:r>
      <w:r w:rsidR="00D44B69">
        <w:rPr>
          <w:iCs/>
        </w:rPr>
        <w:t>d</w:t>
      </w:r>
      <w:r w:rsidR="00D44B69" w:rsidRPr="00D6488F">
        <w:rPr>
          <w:iCs/>
        </w:rPr>
        <w:t xml:space="preserve"> innocence and </w:t>
      </w:r>
      <w:r w:rsidR="00D44B69">
        <w:rPr>
          <w:iCs/>
        </w:rPr>
        <w:t xml:space="preserve">constituted </w:t>
      </w:r>
      <w:r w:rsidR="00D44B69" w:rsidRPr="00D6488F">
        <w:rPr>
          <w:iCs/>
        </w:rPr>
        <w:t>a favorable termination</w:t>
      </w:r>
      <w:r w:rsidR="00D44B69">
        <w:rPr>
          <w:iCs/>
        </w:rPr>
        <w:t>);</w:t>
      </w:r>
      <w:r>
        <w:rPr>
          <w:i/>
          <w:iCs/>
        </w:rPr>
        <w:t xml:space="preserve">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rPr>
        <w:footnoteReference w:id="261"/>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50"/>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rPr>
        <w:footnoteReference w:id="262"/>
      </w:r>
      <w:r>
        <w:t xml:space="preserve"> it apparently is still open 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w:t>
      </w:r>
      <w:r w:rsidR="00A610BD" w:rsidRPr="00A55758">
        <w:rPr>
          <w:i/>
        </w:rPr>
        <w:t>See</w:t>
      </w:r>
      <w:r w:rsidR="00A610BD">
        <w:t xml:space="preserv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w:t>
      </w:r>
      <w:r w:rsidR="001B783C">
        <w:t xml:space="preserve"> </w:t>
      </w:r>
      <w:r w:rsidR="00A610BD">
        <w:t>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rPr>
        <w:footnoteReference w:id="263"/>
      </w:r>
      <w:r w:rsidR="008F1869" w:rsidRPr="008F1869">
        <w:t xml:space="preserve"> In </w:t>
      </w:r>
      <w:r w:rsidR="008F1869" w:rsidRPr="008F1869">
        <w:rPr>
          <w:i/>
        </w:rPr>
        <w:t>Halsey v. Pfeiffer</w:t>
      </w:r>
      <w:r w:rsidR="008F1869" w:rsidRPr="008F1869">
        <w:t>, 750 F.3d 273 (3d Cir. 2014), a case 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rPr>
        <w:footnoteReference w:id="264"/>
      </w:r>
    </w:p>
    <w:p w14:paraId="1FD15240" w14:textId="77777777" w:rsidR="008D5EE0" w:rsidRDefault="008D5EE0">
      <w:pPr>
        <w:ind w:firstLine="720"/>
        <w:jc w:val="both"/>
      </w:pPr>
    </w:p>
    <w:p w14:paraId="3C4D26B6" w14:textId="699601AC"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3ACB1B38" w14:textId="77777777" w:rsidR="00096CAF" w:rsidRDefault="00096CAF">
      <w:pPr>
        <w:ind w:firstLine="720"/>
        <w:jc w:val="both"/>
      </w:pPr>
    </w:p>
    <w:p w14:paraId="11706AAD" w14:textId="225F1A8B"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rPr>
        <w:footnoteReference w:id="265"/>
      </w:r>
      <w:r w:rsidR="00613629">
        <w:t xml:space="preserve"> </w:t>
      </w:r>
      <w:r>
        <w:rPr>
          <w:i/>
          <w:iCs/>
        </w:rPr>
        <w:t>See</w:t>
      </w:r>
      <w:r>
        <w:t xml:space="preserve"> </w:t>
      </w:r>
      <w:r>
        <w:rPr>
          <w:i/>
          <w:iCs/>
        </w:rPr>
        <w:t>Heck v. Humphrey</w:t>
      </w:r>
      <w:r>
        <w:t>, 512 U.S. 477, 486-87 (1994).</w:t>
      </w:r>
      <w:r>
        <w:rPr>
          <w:rStyle w:val="FootnoteReference"/>
        </w:rPr>
        <w:footnoteReference w:id="266"/>
      </w:r>
      <w:r>
        <w:t xml:space="preserve">  Four Justices, concurring in the judgment, argued that 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rPr>
        <w:footnoteReference w:id="267"/>
      </w:r>
      <w:r>
        <w:t xml:space="preserve">  The Court of Appeals, however, has indicated that it is not at liberty to follow the suggestion made by those Justices.</w:t>
      </w:r>
      <w:r>
        <w:rPr>
          <w:rStyle w:val="FootnoteReference"/>
        </w:rPr>
        <w:footnoteReference w:id="268"/>
      </w:r>
    </w:p>
    <w:p w14:paraId="20B923F9" w14:textId="77777777"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rPr>
        <w:footnoteReference w:id="269"/>
      </w:r>
    </w:p>
    <w:p w14:paraId="79A5D8FA" w14:textId="77777777" w:rsidR="00A610BD" w:rsidRDefault="00A610BD">
      <w:pPr>
        <w:jc w:val="both"/>
      </w:pPr>
    </w:p>
    <w:p w14:paraId="6A81E0A2" w14:textId="58305FC5"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8B1545">
        <w:t>’ ”</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52D6E9E6"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8B1545">
        <w:t>’ ”</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255F11B7"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rPr>
        <w:footnoteReference w:id="270"/>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r w:rsidR="00317FFE" w:rsidRPr="003A6A6F">
        <w:t xml:space="preserve">Such a claim is available even if the criminal defendant is acquitted, “if there 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51"/>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52"/>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rPr>
        <w:footnoteReference w:id="271"/>
      </w:r>
      <w:r>
        <w:t xml:space="preserve"> [that the government did not cause]</w:t>
      </w:r>
      <w:r>
        <w:rPr>
          <w:rStyle w:val="FootnoteReference"/>
        </w:rPr>
        <w:footnoteReference w:id="272"/>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rPr>
        <w:footnoteReference w:id="273"/>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2D9E839" w:rsidR="00A610BD" w:rsidRDefault="00A610BD">
      <w:pPr>
        <w:ind w:left="720"/>
        <w:jc w:val="both"/>
      </w:pPr>
      <w:r>
        <w:t>Fourth:  [Defendant</w:t>
      </w:r>
      <w:r w:rsidR="000D09A4">
        <w:t>’</w:t>
      </w:r>
      <w:r>
        <w:t xml:space="preserve">s] action </w:t>
      </w:r>
      <w:r w:rsidR="00AC407E">
        <w:t>[[created a danger to [plaintiff]] [</w:t>
      </w:r>
      <w:r>
        <w:t>made [plaintiff] more vulnerable to [describe the harm]</w:t>
      </w:r>
      <w:r w:rsidR="00AC407E">
        <w:t>]</w:t>
      </w:r>
      <w:r>
        <w:t>.</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s] conduct.  This element includes two related concepts:  foreseeability and directness.  Foreseeability concerns whether [defendant] should have foreseen [the harm at issue] [that [describe harm]].  Directness 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29645AEC" w:rsidR="00A610BD" w:rsidRDefault="00A610BD">
      <w:pPr>
        <w:ind w:firstLine="720"/>
        <w:jc w:val="both"/>
      </w:pPr>
      <w:r>
        <w:rPr>
          <w:b/>
          <w:bCs/>
        </w:rPr>
        <w:t>[[For cases in which the requisite level of culpability is subjective deliberate indifference:]</w:t>
      </w:r>
      <w:r>
        <w:rPr>
          <w:rStyle w:val="FootnoteReference"/>
        </w:rPr>
        <w:footnoteReference w:id="274"/>
      </w:r>
      <w:r>
        <w:t xml:space="preserve">  The second of these four elements requires [plaintiff] to show that [defendant] acted with deliberate indifference.  To show that [defendant] was deliberately indifferent, [plaintiff] must show that [defendant] knew that there was a </w:t>
      </w:r>
      <w:r w:rsidR="0052168C" w:rsidRPr="00CD3984">
        <w:t>substantial risk of a serious harm</w:t>
      </w:r>
      <w:r w:rsidR="0052168C" w:rsidRPr="0052168C">
        <w:t xml:space="preserve"> </w:t>
      </w:r>
      <w:r>
        <w:t>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75"/>
      </w:r>
      <w:r>
        <w:t xml:space="preserve"> then you must find that [he/she] was not deliberately indifferent.]]</w:t>
      </w:r>
    </w:p>
    <w:p w14:paraId="245B8665" w14:textId="77777777" w:rsidR="00A610BD" w:rsidRDefault="00A610BD">
      <w:pPr>
        <w:jc w:val="both"/>
      </w:pPr>
    </w:p>
    <w:p w14:paraId="663FA2BC" w14:textId="11884F38" w:rsidR="00A610BD" w:rsidRPr="00CD3984" w:rsidRDefault="00A610BD" w:rsidP="0052168C">
      <w:pPr>
        <w:ind w:firstLine="720"/>
        <w:jc w:val="both"/>
        <w:rPr>
          <w:b/>
          <w:bCs/>
        </w:rPr>
      </w:pPr>
      <w:r>
        <w:rPr>
          <w:b/>
          <w:bCs/>
        </w:rPr>
        <w:t>[For cases in which the requisite level of culpability is objective deliberate indifference</w:t>
      </w:r>
      <w:r w:rsidR="0052168C" w:rsidRPr="00CD3984">
        <w:rPr>
          <w:b/>
          <w:bCs/>
        </w:rPr>
        <w:t>:</w:t>
      </w:r>
      <w:r w:rsidRPr="00CD3984">
        <w:rPr>
          <w:b/>
          <w:bCs/>
        </w:rPr>
        <w:t>]</w:t>
      </w:r>
      <w:r w:rsidR="0052168C" w:rsidRPr="00CD3984">
        <w:rPr>
          <w:bCs/>
          <w:vertAlign w:val="superscript"/>
        </w:rPr>
        <w:footnoteReference w:id="276"/>
      </w:r>
      <w:r w:rsidR="0052168C" w:rsidRPr="00CD3984">
        <w:t xml:space="preserve"> The second of these four elements requires [plaintiff] to show that [defendant] acted with deliberate indifference. To show that [defendant] was deliberately indifferent, [plaintiff] must show that [defendant] knew or should have known that there was a substantial risk of a serious harm to [plaintiff], and that [defendant] disregarded that risk by failing to take reasonable measures to address it.</w:t>
      </w:r>
    </w:p>
    <w:p w14:paraId="32530287" w14:textId="77777777" w:rsidR="00A610BD" w:rsidRDefault="00A610BD">
      <w:pPr>
        <w:jc w:val="both"/>
      </w:pPr>
    </w:p>
    <w:p w14:paraId="3594D507" w14:textId="0CCC759A" w:rsidR="00A610BD" w:rsidRDefault="00A610BD">
      <w:pPr>
        <w:ind w:firstLine="720"/>
        <w:jc w:val="both"/>
      </w:pPr>
      <w:r>
        <w:rPr>
          <w:b/>
          <w:bCs/>
        </w:rPr>
        <w:t xml:space="preserve">[[For cases in which the requisite level of culpability is </w:t>
      </w:r>
      <w:r w:rsidR="00AC407E">
        <w:rPr>
          <w:b/>
          <w:bCs/>
        </w:rPr>
        <w:t>conscious disregard of a great risk of serious harm</w:t>
      </w:r>
      <w:r>
        <w:rPr>
          <w:b/>
          <w:bCs/>
        </w:rPr>
        <w:t>:]</w:t>
      </w:r>
      <w:r>
        <w:rPr>
          <w:rStyle w:val="FootnoteReference"/>
        </w:rPr>
        <w:footnoteReference w:id="277"/>
      </w:r>
      <w:r>
        <w:t xml:space="preserve">  The second of these four elements requires [plaintiff] to show that [defendant] acted with conscious disregard of a great risk of serious harm.  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rPr>
        <w:footnoteReference w:id="278"/>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rPr>
        <w:footnoteReference w:id="27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rPr>
        <w:footnoteReference w:id="280"/>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 xml:space="preserve">(same, and holding that a “coach may be held liable where the coach requires a player, showing signs of a concussion, to continue to be exposed to violent hits”); </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757067FD" w14:textId="238E6453" w:rsidR="00AC407E" w:rsidRDefault="00A610BD" w:rsidP="00A55758">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613629">
        <w:t>).</w:t>
      </w:r>
      <w:r w:rsidR="00AC407E" w:rsidRPr="00AC407E">
        <w:t xml:space="preserve"> </w:t>
      </w:r>
    </w:p>
    <w:p w14:paraId="374A5484" w14:textId="77777777" w:rsidR="00CB1C32" w:rsidRPr="007B4BAD" w:rsidRDefault="00CB1C32" w:rsidP="00A55758">
      <w:pPr>
        <w:ind w:firstLine="720"/>
        <w:jc w:val="both"/>
      </w:pPr>
    </w:p>
    <w:p w14:paraId="745249C2" w14:textId="77777777" w:rsidR="00AC407E" w:rsidRPr="007B4BAD" w:rsidRDefault="00AC407E" w:rsidP="00AC407E">
      <w:pPr>
        <w:ind w:firstLine="720"/>
        <w:jc w:val="both"/>
      </w:pPr>
      <w:r w:rsidRPr="007B4BAD">
        <w:t xml:space="preserve">As the court explained in </w:t>
      </w:r>
      <w:r w:rsidRPr="007B4BAD">
        <w:rPr>
          <w:i/>
        </w:rPr>
        <w:t>Haberle v. Troxell</w:t>
      </w:r>
      <w:r w:rsidRPr="007B4BAD">
        <w:t>, 885 F.3d 170 (3d Cir. 2018):</w:t>
      </w:r>
    </w:p>
    <w:p w14:paraId="42488F38" w14:textId="77777777" w:rsidR="00AC407E" w:rsidRPr="007B4BAD" w:rsidRDefault="00AC407E" w:rsidP="00A55758">
      <w:pPr>
        <w:ind w:left="720" w:right="720" w:firstLine="720"/>
        <w:jc w:val="both"/>
      </w:pPr>
      <w:r w:rsidRPr="007B4BAD">
        <w:t xml:space="preserve">The required degree of culpability varies based on the “the circumstances of each case,” and, in particular, on the time pressure under “which the government actor[ ] had to respond . . . .” </w:t>
      </w:r>
      <w:r w:rsidRPr="007B4BAD">
        <w:rPr>
          <w:i/>
        </w:rPr>
        <w:t>Phillips v. Cty. of Allegheny</w:t>
      </w:r>
      <w:r w:rsidRPr="007B4BAD">
        <w:t xml:space="preserve">, 515 F.3d 224, 240 (3d Cir. 2008). Split-second decisions taking place in a “hyperpressurized environment,” usually do not shock the conscience unless they are done with “an intent to cause harm.” </w:t>
      </w:r>
      <w:r w:rsidRPr="007B4BAD">
        <w:rPr>
          <w:i/>
        </w:rPr>
        <w:t>Sanford</w:t>
      </w:r>
      <w:r w:rsidRPr="007B4BAD">
        <w:t xml:space="preserve">, 456 F.3d at 309. At the other end of the continuum, actions taken after time for “unhurried judgments” and careful deliberation may shock the conscience if done with deliberate indifference. </w:t>
      </w:r>
      <w:r w:rsidRPr="007B4BAD">
        <w:rPr>
          <w:i/>
        </w:rPr>
        <w:t>Id</w:t>
      </w:r>
      <w:r w:rsidRPr="007B4BAD">
        <w:t xml:space="preserve">. (quoting </w:t>
      </w:r>
      <w:r w:rsidRPr="007B4BAD">
        <w:rPr>
          <w:i/>
        </w:rPr>
        <w:t>Lewis</w:t>
      </w:r>
      <w:r w:rsidRPr="007B4BAD">
        <w:t xml:space="preserve">, 523 U.S. at 853, 118 S. Ct. 1708). In the middle are actions taken under “hurried deliberation.” </w:t>
      </w:r>
      <w:r w:rsidRPr="007B4BAD">
        <w:rPr>
          <w:i/>
        </w:rPr>
        <w:t>Id</w:t>
      </w:r>
      <w:r w:rsidRPr="007B4BAD">
        <w:t xml:space="preserve">. at 310. Such situations involve decisions that need to be made “in a matter of hours or minutes.” </w:t>
      </w:r>
      <w:r w:rsidRPr="007B4BAD">
        <w:rPr>
          <w:i/>
        </w:rPr>
        <w:t>Ziccardi v. City of Philadelphia</w:t>
      </w:r>
      <w:r w:rsidRPr="007B4BAD">
        <w:t xml:space="preserve">, 288 F.3d 57, 65 (3d Cir. 2002). If that standard applies, then an officer’s actions may shock the conscience if they reveal a conscious disregard of “a great risk of serious harm rather than a substantial risk.” </w:t>
      </w:r>
      <w:r w:rsidRPr="007B4BAD">
        <w:rPr>
          <w:i/>
        </w:rPr>
        <w:t>Sanford</w:t>
      </w:r>
      <w:r w:rsidRPr="007B4BAD">
        <w:t>, 456 F.3d at 310.</w:t>
      </w:r>
    </w:p>
    <w:p w14:paraId="74AB2B43" w14:textId="77777777" w:rsidR="00AC407E" w:rsidRPr="007B4BAD" w:rsidRDefault="00AC407E" w:rsidP="00AC407E">
      <w:pPr>
        <w:ind w:firstLine="720"/>
        <w:jc w:val="both"/>
      </w:pPr>
    </w:p>
    <w:p w14:paraId="65A793F6" w14:textId="7E1B6F77" w:rsidR="00AC407E" w:rsidRPr="007B4BAD" w:rsidRDefault="00AC407E" w:rsidP="00A55758">
      <w:pPr>
        <w:jc w:val="both"/>
      </w:pPr>
      <w:r w:rsidRPr="007B4BAD">
        <w:rPr>
          <w:i/>
        </w:rPr>
        <w:t>Haberle</w:t>
      </w:r>
      <w:r w:rsidRPr="007B4BAD">
        <w:t xml:space="preserve">, 885 F.3d at 177. </w:t>
      </w:r>
      <w:r w:rsidRPr="007B4BAD">
        <w:rPr>
          <w:i/>
        </w:rPr>
        <w:t>See also</w:t>
      </w:r>
      <w:r w:rsidRPr="007B4BAD">
        <w:t xml:space="preserve"> </w:t>
      </w:r>
      <w:r w:rsidRPr="007B4BAD">
        <w:rPr>
          <w:i/>
        </w:rPr>
        <w:t>Sauers v. Borough of Nesquehoning</w:t>
      </w:r>
      <w:r w:rsidRPr="007B4BAD">
        <w:t xml:space="preserve">, </w:t>
      </w:r>
      <w:r w:rsidR="007B4BAD" w:rsidRPr="007B4BAD">
        <w:t>905 F.3d 711</w:t>
      </w:r>
      <w:r w:rsidRPr="007B4BAD">
        <w:t>,</w:t>
      </w:r>
      <w:r w:rsidR="007B4BAD">
        <w:t xml:space="preserve"> 717 </w:t>
      </w:r>
      <w:r w:rsidRPr="007B4BAD">
        <w:t>(3d Cir.  2018) (“Our case law establishes three distinct categories of culpability depending on how much time a police officer has to make a decision.”).</w:t>
      </w:r>
    </w:p>
    <w:p w14:paraId="68E4307D" w14:textId="77777777" w:rsidR="00AC407E" w:rsidRPr="007B4BAD" w:rsidRDefault="00AC407E" w:rsidP="00AC407E">
      <w:pPr>
        <w:ind w:firstLine="720"/>
        <w:jc w:val="both"/>
      </w:pPr>
    </w:p>
    <w:p w14:paraId="15250960" w14:textId="77777777" w:rsidR="00AC407E" w:rsidRPr="007B4BAD" w:rsidRDefault="00AC407E" w:rsidP="00AC407E">
      <w:pPr>
        <w:ind w:firstLine="720"/>
        <w:jc w:val="both"/>
      </w:pPr>
      <w:r w:rsidRPr="007B4BAD">
        <w:t>The classic example of a hyperpressurized situation is the high-speed car chase of a fleeing suspect, addressed in section 4.15. If other cases arise in this category, it might be useful to draw on Instruction 4.15.</w:t>
      </w:r>
    </w:p>
    <w:p w14:paraId="48E552CF" w14:textId="77777777" w:rsidR="00AC407E" w:rsidRPr="007B4BAD" w:rsidRDefault="00AC407E" w:rsidP="00AC407E">
      <w:pPr>
        <w:ind w:firstLine="720"/>
        <w:jc w:val="both"/>
      </w:pPr>
    </w:p>
    <w:p w14:paraId="20A6AC1D" w14:textId="049755F4" w:rsidR="00AC407E" w:rsidRPr="007B4BAD" w:rsidRDefault="00AC407E" w:rsidP="00AC407E">
      <w:pPr>
        <w:ind w:firstLine="720"/>
        <w:jc w:val="both"/>
      </w:pPr>
      <w:r w:rsidRPr="007B4BAD">
        <w:t xml:space="preserve">For examples at the other end of the continuum, where there is time for unhurried judgments, </w:t>
      </w:r>
      <w:r w:rsidRPr="007B4BAD">
        <w:rPr>
          <w:i/>
        </w:rPr>
        <w:t>see</w:t>
      </w:r>
      <w:r w:rsidRPr="007B4BAD">
        <w:t>,</w:t>
      </w:r>
      <w:r w:rsidRPr="007B4BAD">
        <w:rPr>
          <w:i/>
        </w:rPr>
        <w:t xml:space="preserve"> e.g.</w:t>
      </w:r>
      <w:r w:rsidRPr="007B4BAD">
        <w:t xml:space="preserve">,  </w:t>
      </w:r>
      <w:r w:rsidRPr="007B4BAD">
        <w:rPr>
          <w:i/>
        </w:rPr>
        <w:t>L.R. v. School District of Philadelphia</w:t>
      </w:r>
      <w:r w:rsidRPr="007B4BAD">
        <w:t>, 836 F.3d 235, 246 (3d Cir. 2016) (holding that “the appropriate culpability standard here is deliberate indifference, since there is nothing to indicate that [defendant] faced circumstances requiring him to make a quick decision”);</w:t>
      </w:r>
      <w:r w:rsidRPr="007B4BAD">
        <w:rPr>
          <w:i/>
          <w:iCs/>
        </w:rPr>
        <w:t xml:space="preserve"> Marasco</w:t>
      </w:r>
      <w:r w:rsidRPr="007B4BAD">
        <w:t>, 318 F.3d at 508 (stating that “in the custodial situation of a prison, where forethought about an inmate’s welfare is possible, deliberate indifference to a prisoner’s medical needs may be sufficiently shocking”).</w:t>
      </w:r>
      <w:r w:rsidRPr="007B4BAD">
        <w:rPr>
          <w:vertAlign w:val="superscript"/>
        </w:rPr>
        <w:footnoteReference w:id="281"/>
      </w:r>
      <w:r w:rsidRPr="007B4BAD">
        <w:t xml:space="preserve">  </w:t>
      </w:r>
    </w:p>
    <w:p w14:paraId="7D389D3D" w14:textId="77777777" w:rsidR="00AC407E" w:rsidRPr="00C00A31" w:rsidRDefault="00AC407E" w:rsidP="00AC407E">
      <w:pPr>
        <w:ind w:firstLine="720"/>
        <w:jc w:val="both"/>
        <w:rPr>
          <w:vertAlign w:val="superscript"/>
        </w:rPr>
      </w:pPr>
      <w:r w:rsidRPr="00C00A31">
        <w:t xml:space="preserve">Older decisions described the intermediate standard as “gross negligence or arbitrariness that shocks the conscience.” </w:t>
      </w:r>
      <w:r w:rsidRPr="00C00A31">
        <w:rPr>
          <w:i/>
          <w:iCs/>
        </w:rPr>
        <w:t>Marasco</w:t>
      </w:r>
      <w:r w:rsidRPr="00C00A31">
        <w:t>, 318 F.3d at 509. But the court of appeals recognized that this phrasing “is not well suited” to convey the nature of the standard,</w:t>
      </w:r>
      <w:r w:rsidRPr="00C00A31">
        <w:rPr>
          <w:i/>
          <w:iCs/>
        </w:rPr>
        <w:t xml:space="preserve"> Ziccardi v. City of Philadelphia</w:t>
      </w:r>
      <w:r w:rsidRPr="00C00A31">
        <w:t xml:space="preserve">, 288 F.3d 57, 66 n.6 (3d Cir. 2002), and explained that the intermediate standard requires a showing that a defendant “consciously disregarded, not just a substantial risk, but a great risk that serious harm would result.” </w:t>
      </w:r>
      <w:r w:rsidRPr="00C00A31">
        <w:rPr>
          <w:i/>
        </w:rPr>
        <w:t>Id</w:t>
      </w:r>
      <w:r w:rsidRPr="00C00A31">
        <w:t xml:space="preserve">. at 66; </w:t>
      </w:r>
      <w:r w:rsidRPr="00C00A31">
        <w:rPr>
          <w:i/>
          <w:iCs/>
        </w:rPr>
        <w:t>see also</w:t>
      </w:r>
      <w:r w:rsidRPr="00C00A31">
        <w:t xml:space="preserve"> </w:t>
      </w:r>
      <w:r w:rsidRPr="00C00A31">
        <w:rPr>
          <w:i/>
          <w:iCs/>
        </w:rPr>
        <w:t>Sanford</w:t>
      </w:r>
      <w:r w:rsidRPr="00C00A31">
        <w:t>, 456 F.3d at 310 (holding that “the relevant question is whether the officer consciously disregarded a great risk of harm”).</w:t>
      </w:r>
      <w:r w:rsidRPr="00C00A31">
        <w:rPr>
          <w:vertAlign w:val="superscript"/>
        </w:rPr>
        <w:footnoteReference w:id="282"/>
      </w:r>
    </w:p>
    <w:p w14:paraId="7FF5311B" w14:textId="77777777" w:rsidR="00AC407E" w:rsidRPr="00C00A31" w:rsidRDefault="00AC407E" w:rsidP="00AC407E">
      <w:pPr>
        <w:ind w:firstLine="720"/>
        <w:jc w:val="both"/>
        <w:rPr>
          <w:vertAlign w:val="superscript"/>
        </w:rPr>
      </w:pPr>
    </w:p>
    <w:p w14:paraId="7C69D410" w14:textId="1D866A62" w:rsidR="00AC407E" w:rsidRPr="00C00A31" w:rsidRDefault="00AC407E" w:rsidP="00AC407E">
      <w:pPr>
        <w:ind w:firstLine="720"/>
        <w:jc w:val="both"/>
      </w:pPr>
      <w:r w:rsidRPr="00C00A31">
        <w:t xml:space="preserve">The court of appeals has “been clear in recent years that the level of culpability required to shock the conscience when an officer has time for hurried deliberation is ‘a conscious disregard of a great risk of serious harm.’ ” </w:t>
      </w:r>
      <w:r w:rsidRPr="00C00A31">
        <w:rPr>
          <w:i/>
        </w:rPr>
        <w:t>Sauers</w:t>
      </w:r>
      <w:r w:rsidRPr="00C00A31">
        <w:t xml:space="preserve">, </w:t>
      </w:r>
      <w:r w:rsidR="00C00A31">
        <w:t xml:space="preserve">905 F.3d at 717 </w:t>
      </w:r>
      <w:r w:rsidRPr="00C00A31">
        <w:t>n.6. Accordingly, the Instruction uses this phrasing rather than refer to “gross negligence or arbitrariness that shocks the conscience.”</w:t>
      </w:r>
    </w:p>
    <w:p w14:paraId="02F96260" w14:textId="77777777" w:rsidR="00AC407E" w:rsidRPr="00C00A31" w:rsidRDefault="00AC407E" w:rsidP="00AC407E">
      <w:pPr>
        <w:ind w:firstLine="720"/>
        <w:jc w:val="both"/>
      </w:pPr>
    </w:p>
    <w:p w14:paraId="343FBA64" w14:textId="4FF7526F" w:rsidR="00AC407E" w:rsidRPr="00C00A31" w:rsidRDefault="00AC407E" w:rsidP="00AC407E">
      <w:pPr>
        <w:ind w:firstLine="720"/>
        <w:jc w:val="both"/>
      </w:pPr>
      <w:r w:rsidRPr="00C00A31">
        <w:rPr>
          <w:i/>
        </w:rPr>
        <w:t xml:space="preserve">Sauers </w:t>
      </w:r>
      <w:r w:rsidRPr="00C00A31">
        <w:t xml:space="preserve">also announced that “Police officers now have fair warning that their conduct when engaged in a high speed pursuit will be subject to the full body of our state-created danger case law.” </w:t>
      </w:r>
      <w:r w:rsidRPr="00C00A31">
        <w:rPr>
          <w:i/>
        </w:rPr>
        <w:t>Id</w:t>
      </w:r>
      <w:r w:rsidRPr="00C00A31">
        <w:t xml:space="preserve">. at </w:t>
      </w:r>
      <w:r w:rsidR="00C00A31">
        <w:t>723</w:t>
      </w:r>
      <w:r w:rsidRPr="00C00A31">
        <w:t xml:space="preserve">. In particular, where there is no compelling justification for a high speed pursuit, and an officer has time to consider whether to do so, constitutional liability can arise from “a conscious disregard of a great risk of serious harm,” </w:t>
      </w:r>
      <w:r w:rsidRPr="00C00A31">
        <w:rPr>
          <w:i/>
        </w:rPr>
        <w:t>id</w:t>
      </w:r>
      <w:r w:rsidRPr="00C00A31">
        <w:t xml:space="preserve">., the standard between intent to harm and deliberate indifference that is applicable “when an officer has time for hurried deliberation.” </w:t>
      </w:r>
      <w:r w:rsidRPr="00C00A31">
        <w:rPr>
          <w:i/>
        </w:rPr>
        <w:t>Id</w:t>
      </w:r>
      <w:r w:rsidRPr="00C00A31">
        <w:t xml:space="preserve">. at </w:t>
      </w:r>
      <w:r w:rsidR="00C00A31">
        <w:t>717</w:t>
      </w:r>
      <w:r w:rsidRPr="00C00A31">
        <w:t xml:space="preserve">. </w:t>
      </w:r>
      <w:r w:rsidRPr="00C00A31">
        <w:rPr>
          <w:i/>
        </w:rPr>
        <w:t>Sauers</w:t>
      </w:r>
      <w:r w:rsidRPr="00C00A31">
        <w:t xml:space="preserve"> distinguished </w:t>
      </w:r>
      <w:r w:rsidRPr="00C00A31">
        <w:rPr>
          <w:i/>
        </w:rPr>
        <w:t>County of Sacramento v. Lewis</w:t>
      </w:r>
      <w:r w:rsidRPr="00C00A31">
        <w:t xml:space="preserve">, 523 U.S. 833 (1998), so that the intent-to-harm standard set in </w:t>
      </w:r>
      <w:r w:rsidRPr="00C00A31">
        <w:rPr>
          <w:i/>
        </w:rPr>
        <w:t>Lewis</w:t>
      </w:r>
      <w:r w:rsidRPr="00C00A31">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w:t>
      </w:r>
      <w:r w:rsidRPr="00C00A31">
        <w:rPr>
          <w:i/>
        </w:rPr>
        <w:t>See also</w:t>
      </w:r>
      <w:r w:rsidRPr="00C00A31">
        <w:t xml:space="preserve"> </w:t>
      </w:r>
      <w:r w:rsidRPr="00C00A31">
        <w:rPr>
          <w:i/>
        </w:rPr>
        <w:t>Haberle v. Troxell</w:t>
      </w:r>
      <w:r w:rsidRPr="00C00A31">
        <w:t>, 885 F.3d 170 (3d Cir. 2018) (holding that this intermediate standard applied where a person with suicidal tendencies had stolen a deadly weapon (so this was not a time for casual deliberation) but a few hours had passed and there was no indication of escalation (so instantaneous action was not required)).</w:t>
      </w:r>
    </w:p>
    <w:p w14:paraId="0BDE6D0B" w14:textId="77777777" w:rsidR="00AC407E" w:rsidRPr="00C00A31" w:rsidRDefault="00AC407E" w:rsidP="00AC407E">
      <w:pPr>
        <w:ind w:firstLine="720"/>
        <w:jc w:val="both"/>
      </w:pPr>
    </w:p>
    <w:p w14:paraId="242C0505" w14:textId="0746DA82" w:rsidR="00A610BD" w:rsidRDefault="00AC407E" w:rsidP="00C00A31">
      <w:pPr>
        <w:ind w:firstLine="720"/>
        <w:jc w:val="both"/>
      </w:pPr>
      <w:r w:rsidRPr="00C00A31">
        <w:rPr>
          <w:i/>
        </w:rPr>
        <w:t>Sauers</w:t>
      </w:r>
      <w:r w:rsidRPr="00C00A31">
        <w:t xml:space="preserve"> concluded that the conduct alleged—making a u-turn and driving recklessly at speeds over 100 miles per hour to pursue a non-fleeing motorist who had committed a minor traffic offense, resulting in the death of a passenger in a unrelated vehicle—met this standard. By contrast, </w:t>
      </w:r>
      <w:r w:rsidRPr="00C00A31">
        <w:rPr>
          <w:i/>
        </w:rPr>
        <w:t>Haberle</w:t>
      </w:r>
      <w:r w:rsidRPr="00C00A31">
        <w:t xml:space="preserve"> concluded that an officer’s decision to “immediately knock [on the apartment door of a suicidal person who had stolen a deadly weapon] while other officers counseled waiting manifests only a disagreement over how to manage a risk, not a disregard of it,” 885 F.3d at 177-78, even though suicide resulted immediately.</w:t>
      </w:r>
    </w:p>
    <w:p w14:paraId="057DAD87" w14:textId="77777777" w:rsidR="0013305A" w:rsidRDefault="0013305A" w:rsidP="0013305A">
      <w:pPr>
        <w:ind w:firstLine="720"/>
        <w:jc w:val="both"/>
      </w:pPr>
    </w:p>
    <w:p w14:paraId="14D9CE89" w14:textId="77777777" w:rsidR="00A610BD" w:rsidRPr="002168DC" w:rsidRDefault="00A610BD" w:rsidP="00A55758">
      <w:pPr>
        <w:tabs>
          <w:tab w:val="left" w:pos="6120"/>
        </w:tabs>
        <w:ind w:firstLine="720"/>
        <w:jc w:val="both"/>
        <w:rPr>
          <w:i/>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w:t>
      </w:r>
      <w:r w:rsidRPr="00A55758">
        <w:rPr>
          <w:i/>
        </w:rPr>
        <w:t>see id</w:t>
      </w:r>
      <w:r>
        <w:t>. at 428 n.5.</w:t>
      </w:r>
      <w:r>
        <w:rPr>
          <w:rStyle w:val="FootnoteReference"/>
        </w:rPr>
        <w:footnoteReference w:id="283"/>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rPr>
        <w:footnoteReference w:id="284"/>
      </w:r>
    </w:p>
    <w:p w14:paraId="673AA0C3" w14:textId="77777777" w:rsidR="0052168C" w:rsidRPr="00605327" w:rsidRDefault="0052168C" w:rsidP="00903314">
      <w:pPr>
        <w:pStyle w:val="ListParagraph"/>
        <w:shd w:val="clear" w:color="auto" w:fill="FFFFFF" w:themeFill="background1"/>
        <w:ind w:left="0" w:firstLine="720"/>
        <w:jc w:val="both"/>
      </w:pPr>
      <w:r w:rsidRPr="00605327">
        <w:t xml:space="preserve">In </w:t>
      </w:r>
      <w:r w:rsidRPr="00605327">
        <w:rPr>
          <w:i/>
        </w:rPr>
        <w:t>L.R. v. School District of Philadelphia</w:t>
      </w:r>
      <w:r w:rsidRPr="00605327">
        <w:t xml:space="preserve">, 836 F.3d 235, 245 (3d Cir. 2016), the court of appeals stated that a teacher who released a kindergartener to a stranger “knew, or should have known, about the risk of his actions.” In </w:t>
      </w:r>
      <w:r w:rsidRPr="00605327">
        <w:rPr>
          <w:i/>
        </w:rPr>
        <w:t>Kedra v. Schroeter</w:t>
      </w:r>
      <w:r w:rsidRPr="00605327">
        <w:t xml:space="preserve">, 876 F.3d 424, 439 (3d Cir. 2017), the court of appeals read this passage from </w:t>
      </w:r>
      <w:r w:rsidRPr="00605327">
        <w:rPr>
          <w:i/>
        </w:rPr>
        <w:t>L.R.</w:t>
      </w:r>
      <w:r w:rsidRPr="00605327">
        <w:t xml:space="preserve"> as adopting the objective standard. Thus the current standard in the circuit appears to be the objective standard. </w:t>
      </w:r>
    </w:p>
    <w:p w14:paraId="4F364722" w14:textId="77777777" w:rsidR="0052168C" w:rsidRPr="00605327" w:rsidRDefault="0052168C" w:rsidP="00903314">
      <w:pPr>
        <w:pStyle w:val="ListParagraph"/>
        <w:shd w:val="clear" w:color="auto" w:fill="FFFFFF" w:themeFill="background1"/>
        <w:ind w:left="0"/>
      </w:pPr>
    </w:p>
    <w:p w14:paraId="7053CB93" w14:textId="77777777"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however, did not apply the objective standard to the defendant in that case, because the objective standard had not been clearly established at the time of the conduct involved in that case. It nevertheless concluded that the allegations of the complaint were “more than sufficient to state a claim for a state-created danger based on actual knowledge of a substantial risk of serious harm—the subjective theory of deliberate indifference that was then-clearly established.” 876 F.3d at 444. Accordingly, there are cases, such as </w:t>
      </w:r>
      <w:r w:rsidRPr="00605327">
        <w:rPr>
          <w:i/>
        </w:rPr>
        <w:t>Kedra</w:t>
      </w:r>
      <w:r w:rsidRPr="00605327">
        <w:t>, that may go to a jury on the subjective standard, because the underlying events occurred before the objective standard became clearly established.</w:t>
      </w:r>
    </w:p>
    <w:p w14:paraId="59B5B9A4" w14:textId="77777777" w:rsidR="0052168C" w:rsidRPr="00605327" w:rsidRDefault="0052168C" w:rsidP="00903314">
      <w:pPr>
        <w:pStyle w:val="ListParagraph"/>
        <w:shd w:val="clear" w:color="auto" w:fill="FFFFFF" w:themeFill="background1"/>
        <w:ind w:left="0" w:firstLine="720"/>
        <w:jc w:val="both"/>
      </w:pPr>
    </w:p>
    <w:p w14:paraId="2B9FB081" w14:textId="468BFE71" w:rsidR="0052168C" w:rsidRPr="00605327" w:rsidRDefault="0052168C" w:rsidP="00903314">
      <w:pPr>
        <w:pStyle w:val="ListParagraph"/>
        <w:shd w:val="clear" w:color="auto" w:fill="FFFFFF" w:themeFill="background1"/>
        <w:ind w:left="0" w:firstLine="720"/>
        <w:jc w:val="both"/>
      </w:pPr>
      <w:r w:rsidRPr="00605327">
        <w:rPr>
          <w:i/>
        </w:rPr>
        <w:t>Kedra</w:t>
      </w:r>
      <w:r w:rsidRPr="00605327">
        <w:t xml:space="preserve"> involved a police officer who was training other officers in firearm safety but failed to perform safety checks. As a result, he failed to realize that the gun he was demonstrating was loaded, and pointed that gun at a fellow officer and pulled the trigger, killing him. Applying the subjective standard, the court of appeals explained that it had “regularly relied on the obviousness of risk as a permissible and highly relevant basis from which to infer actual knowledge—even directing in our Model Civil Jury Instructions that, in assessing deliberate indifference for state-created danger claims, a jury is ‘entitled to infer from the obviousness of the risk that [the state actor] knew of the risk.’ Third Circuit Model Civil Jury Instructions § 4.14 (Mar. 2017).” </w:t>
      </w:r>
      <w:r w:rsidRPr="00605327">
        <w:rPr>
          <w:i/>
        </w:rPr>
        <w:t>Kedra v. Schroeter</w:t>
      </w:r>
      <w:r w:rsidRPr="00605327">
        <w:t xml:space="preserve">, 876 F.3d 424, 442 (3d Cir. 2017). Accordingly, the court concluded that the allegations of the complaint permitted the inference that the defendant officer “acted with actual knowledge of a substantial risk of lethal harm—that is, knowledge that gives rise to a degree of culpability that shocks the conscience under the then-clearly established actual knowledge theory of deliberate indifference.” </w:t>
      </w:r>
      <w:r w:rsidRPr="00605327">
        <w:rPr>
          <w:i/>
        </w:rPr>
        <w:t>Id</w:t>
      </w:r>
      <w:r w:rsidRPr="00605327">
        <w:t xml:space="preserve">. at 448 (internal quotation marks and citations omitted); </w:t>
      </w:r>
      <w:r w:rsidRPr="00605327">
        <w:rPr>
          <w:i/>
        </w:rPr>
        <w:t>see  also</w:t>
      </w:r>
      <w:r w:rsidRPr="00605327">
        <w:t xml:space="preserve"> </w:t>
      </w:r>
      <w:r w:rsidRPr="00605327">
        <w:rPr>
          <w:i/>
        </w:rPr>
        <w:t>id</w:t>
      </w:r>
      <w:r w:rsidRPr="00605327">
        <w:t>. at 446–47 (stating that “the subjective knowledge test requires knowledge only of the substantial risk of serious harm, not of the certainty of that harm”)</w:t>
      </w:r>
      <w:r w:rsidR="00903314" w:rsidRPr="00605327">
        <w:t>.</w:t>
      </w:r>
    </w:p>
    <w:p w14:paraId="1EB08AC9" w14:textId="25D30DA2" w:rsidR="0052168C" w:rsidRDefault="0052168C">
      <w:pPr>
        <w:ind w:firstLine="720"/>
        <w:jc w:val="both"/>
      </w:pPr>
    </w:p>
    <w:p w14:paraId="44C0FB83" w14:textId="77777777"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rPr>
        <w:footnoteReference w:id="285"/>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rPr>
        <w:footnoteReference w:id="286"/>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See 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3F99FBCA"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rPr>
        <w:footnoteReference w:id="287"/>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rPr>
        <w:footnoteReference w:id="288"/>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rPr>
        <w:footnoteReference w:id="289"/>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rPr>
        <w:footnoteReference w:id="290"/>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8B1545">
        <w:t>’ ”</w:t>
      </w:r>
      <w:r>
        <w:t xml:space="preserve"> </w:t>
      </w:r>
      <w:r>
        <w:rPr>
          <w:i/>
          <w:iCs/>
        </w:rPr>
        <w:t>Kaucher</w:t>
      </w:r>
      <w:r>
        <w:t xml:space="preserve">, 455 F.3d at 432 (quoting </w:t>
      </w:r>
      <w:r>
        <w:rPr>
          <w:i/>
          <w:iCs/>
        </w:rPr>
        <w:t>Bright</w:t>
      </w:r>
      <w:r>
        <w:t>, 443 F.3d at 281).</w:t>
      </w:r>
      <w:r>
        <w:rPr>
          <w:rStyle w:val="FootnoteReference"/>
        </w:rPr>
        <w:footnoteReference w:id="291"/>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rPr>
        <w:footnoteReference w:id="292"/>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53"/>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rPr>
        <w:footnoteReference w:id="293"/>
      </w:r>
      <w:r>
        <w:t xml:space="preserve">  </w:t>
      </w:r>
      <w:r w:rsidR="004D583E">
        <w:t>“[</w:t>
      </w:r>
      <w:r>
        <w:t>I]n a high speed 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0FDCE6F9"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8B1545">
        <w:t>’ ”</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rPr>
        <w:footnoteReference w:id="294"/>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54"/>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rPr>
        <w:footnoteReference w:id="295"/>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rPr>
        <w:footnoteReference w:id="296"/>
      </w:r>
      <w:r>
        <w:t xml:space="preserve"> then you must find that [he/she] was not deliberately indifferent.]]</w:t>
      </w:r>
      <w:r>
        <w:rPr>
          <w:rStyle w:val="FootnoteReference"/>
        </w:rPr>
        <w:footnoteReference w:id="297"/>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28958546"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r w:rsidR="008B1545">
        <w:t>’ ”</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rPr>
        <w:footnoteReference w:id="298"/>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rPr>
        <w:footnoteReference w:id="299"/>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rPr>
        <w:footnoteReference w:id="300"/>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EDBC" w14:textId="77777777" w:rsidR="00890D65" w:rsidRDefault="00890D65" w:rsidP="00A610BD">
      <w:r>
        <w:separator/>
      </w:r>
    </w:p>
  </w:endnote>
  <w:endnote w:type="continuationSeparator" w:id="0">
    <w:p w14:paraId="5F15E298" w14:textId="77777777" w:rsidR="00890D65" w:rsidRDefault="00890D65" w:rsidP="00A610BD">
      <w:r>
        <w:continuationSeparator/>
      </w:r>
    </w:p>
  </w:endnote>
  <w:endnote w:type="continuationNotice" w:id="1">
    <w:p w14:paraId="308A0DA1" w14:textId="77777777" w:rsidR="00890D65" w:rsidRDefault="0089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3635" w14:textId="77777777" w:rsidR="00723FF2" w:rsidRDefault="00723F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254"/>
      <w:docPartObj>
        <w:docPartGallery w:val="Page Numbers (Bottom of Page)"/>
        <w:docPartUnique/>
      </w:docPartObj>
    </w:sdtPr>
    <w:sdtEndPr>
      <w:rPr>
        <w:noProof/>
      </w:rPr>
    </w:sdtEndPr>
    <w:sdtContent>
      <w:p w14:paraId="2D2BE3B7" w14:textId="07D63C54" w:rsidR="00E77E6F" w:rsidRDefault="00E77E6F">
        <w:pPr>
          <w:pStyle w:val="Footer"/>
          <w:jc w:val="center"/>
          <w:rPr>
            <w:noProof/>
          </w:rPr>
        </w:pPr>
        <w:r>
          <w:fldChar w:fldCharType="begin"/>
        </w:r>
        <w:r>
          <w:instrText xml:space="preserve"> PAGE   \* MERGEFORMAT </w:instrText>
        </w:r>
        <w:r>
          <w:fldChar w:fldCharType="separate"/>
        </w:r>
        <w:r w:rsidR="00723FF2">
          <w:rPr>
            <w:noProof/>
          </w:rPr>
          <w:t>14</w:t>
        </w:r>
        <w:r>
          <w:rPr>
            <w:noProof/>
          </w:rPr>
          <w:fldChar w:fldCharType="end"/>
        </w:r>
        <w:r>
          <w:rPr>
            <w:noProof/>
          </w:rPr>
          <w:t xml:space="preserve"> </w:t>
        </w:r>
      </w:p>
      <w:p w14:paraId="07CB9F80" w14:textId="306A5C18" w:rsidR="00E77E6F" w:rsidRPr="0063630C" w:rsidRDefault="00E77E6F" w:rsidP="004576EA">
        <w:pPr>
          <w:jc w:val="right"/>
          <w:rPr>
            <w:i/>
          </w:rPr>
        </w:pPr>
        <w:r>
          <w:rPr>
            <w:i/>
            <w:noProof/>
          </w:rPr>
          <w:t xml:space="preserve">Last updated </w:t>
        </w:r>
        <w:r w:rsidR="009635A5">
          <w:rPr>
            <w:i/>
            <w:noProof/>
          </w:rPr>
          <w:t>August 2020</w:t>
        </w:r>
      </w:p>
      <w:p w14:paraId="48471BC6" w14:textId="77777777" w:rsidR="00E77E6F" w:rsidRDefault="00723FF2">
        <w:pPr>
          <w:pStyle w:val="Footer"/>
          <w:jc w:val="center"/>
        </w:pPr>
      </w:p>
    </w:sdtContent>
  </w:sdt>
  <w:p w14:paraId="2789E87D" w14:textId="29B2B7EF" w:rsidR="00E77E6F" w:rsidRDefault="00E77E6F" w:rsidP="00BB5C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1335" w14:textId="77777777" w:rsidR="00723FF2" w:rsidRDefault="00723F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E672" w14:textId="77777777" w:rsidR="00890D65" w:rsidRDefault="00890D65" w:rsidP="00A610BD">
      <w:r>
        <w:separator/>
      </w:r>
    </w:p>
  </w:footnote>
  <w:footnote w:type="continuationSeparator" w:id="0">
    <w:p w14:paraId="642C55D5" w14:textId="77777777" w:rsidR="00890D65" w:rsidRDefault="00890D65" w:rsidP="00A610BD">
      <w:r>
        <w:continuationSeparator/>
      </w:r>
    </w:p>
  </w:footnote>
  <w:footnote w:type="continuationNotice" w:id="1">
    <w:p w14:paraId="6C51A213" w14:textId="77777777" w:rsidR="00890D65" w:rsidRDefault="00890D65"/>
  </w:footnote>
  <w:footnote w:id="2">
    <w:p w14:paraId="1F977837" w14:textId="77777777" w:rsidR="00E77E6F" w:rsidRPr="00D226C8" w:rsidRDefault="00E77E6F" w:rsidP="00F506A3">
      <w:pPr>
        <w:spacing w:after="240"/>
        <w:ind w:firstLine="720"/>
        <w:mirrorIndents/>
      </w:pPr>
      <w:r w:rsidRPr="00D226C8">
        <w:rPr>
          <w:rStyle w:val="FootnoteReference"/>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E77E6F" w:rsidRPr="00D226C8" w:rsidRDefault="00E77E6F" w:rsidP="00F506A3">
      <w:pPr>
        <w:spacing w:after="240"/>
        <w:ind w:firstLine="720"/>
        <w:mirrorIndents/>
      </w:pPr>
      <w:r w:rsidRPr="00D226C8">
        <w:rPr>
          <w:rStyle w:val="FootnoteReference"/>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6EA8A3E2"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4.3 through 4.6.8.</w:t>
      </w:r>
    </w:p>
  </w:footnote>
  <w:footnote w:id="5">
    <w:p w14:paraId="56A40ABD"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4.7.1 and 4.7.3; </w:t>
      </w:r>
      <w:r w:rsidRPr="00483A85">
        <w:rPr>
          <w:i/>
          <w:szCs w:val="24"/>
        </w:rPr>
        <w:t>see also</w:t>
      </w:r>
      <w:r w:rsidRPr="00483A85">
        <w:rPr>
          <w:szCs w:val="24"/>
        </w:rPr>
        <w:t xml:space="preserve"> Comment 4.7.2.</w:t>
      </w:r>
    </w:p>
  </w:footnote>
  <w:footnote w:id="6">
    <w:p w14:paraId="6E3CD564"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4.8.1 through 4.8.3.</w:t>
      </w:r>
    </w:p>
  </w:footnote>
  <w:footnote w:id="7">
    <w:p w14:paraId="2ED34A4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Instructions 4.9 through 4.16.</w:t>
      </w:r>
    </w:p>
  </w:footnote>
  <w:footnote w:id="8">
    <w:p w14:paraId="7AD53D76" w14:textId="77777777" w:rsidR="00E77E6F" w:rsidRPr="00483A85" w:rsidRDefault="00E77E6F" w:rsidP="00F506A3">
      <w:pPr>
        <w:pStyle w:val="FootnoteText"/>
        <w:ind w:firstLine="720"/>
        <w:mirrorIndents/>
        <w:rPr>
          <w:szCs w:val="24"/>
        </w:rPr>
      </w:pPr>
      <w:r w:rsidRPr="00483A85">
        <w:rPr>
          <w:rStyle w:val="FootnoteReference"/>
          <w:szCs w:val="24"/>
        </w:rPr>
        <w:footnoteRef/>
      </w:r>
      <w:r w:rsidRPr="00483A85">
        <w:rPr>
          <w:szCs w:val="24"/>
        </w:rPr>
        <w:t xml:space="preserve"> </w:t>
      </w:r>
      <w:r w:rsidRPr="00483A85">
        <w:rPr>
          <w:i/>
          <w:szCs w:val="24"/>
        </w:rPr>
        <w:t>See</w:t>
      </w:r>
      <w:r w:rsidRPr="00483A85">
        <w:rPr>
          <w:szCs w:val="24"/>
        </w:rPr>
        <w:t xml:space="preserve"> Instruction 4.13.1; </w:t>
      </w:r>
      <w:r w:rsidRPr="00483A85">
        <w:rPr>
          <w:i/>
          <w:szCs w:val="24"/>
        </w:rPr>
        <w:t>see also</w:t>
      </w:r>
      <w:r w:rsidRPr="00483A85">
        <w:rPr>
          <w:szCs w:val="24"/>
        </w:rPr>
        <w:t xml:space="preserve"> Comment 4.2.</w:t>
      </w:r>
    </w:p>
  </w:footnote>
  <w:footnote w:id="9">
    <w:p w14:paraId="61A3D67F" w14:textId="41A10336" w:rsidR="00E77E6F" w:rsidRPr="00483A85" w:rsidRDefault="00E77E6F" w:rsidP="006978E2">
      <w:pPr>
        <w:pStyle w:val="FootnoteText"/>
        <w:ind w:firstLine="720"/>
      </w:pPr>
      <w:r w:rsidRPr="00483A85">
        <w:rPr>
          <w:rStyle w:val="FootnoteReference"/>
          <w:szCs w:val="24"/>
        </w:rPr>
        <w:footnoteRef/>
      </w:r>
      <w:r w:rsidRPr="00483A85">
        <w:rPr>
          <w:szCs w:val="24"/>
        </w:rPr>
        <w:t xml:space="preserve"> Exhaustion of remedies doctrine provides one example.  In general, there is no requirement that a Section 1983 plaintiff exhaust state-law remedies or state administrative processes before suing under Section 1983.  </w:t>
      </w:r>
      <w:r w:rsidRPr="00483A85">
        <w:rPr>
          <w:i/>
          <w:szCs w:val="24"/>
        </w:rPr>
        <w:t>See Monroe v. Pape</w:t>
      </w:r>
      <w:r w:rsidRPr="00483A85">
        <w:rPr>
          <w:szCs w:val="24"/>
        </w:rPr>
        <w:t xml:space="preserve">, 365 U.S. 167, 183 (1961) (“The federal remedy is supplementary to the state remedy, and the latter need not be first sought and refused before the federal one is invoked.”), </w:t>
      </w:r>
      <w:r w:rsidRPr="00483A85">
        <w:rPr>
          <w:i/>
          <w:szCs w:val="24"/>
        </w:rPr>
        <w:t>overruled on other grounds by Monell v. Dep</w:t>
      </w:r>
      <w:r>
        <w:rPr>
          <w:i/>
          <w:szCs w:val="24"/>
        </w:rPr>
        <w:t>’</w:t>
      </w:r>
      <w:r w:rsidRPr="00483A85">
        <w:rPr>
          <w:i/>
          <w:szCs w:val="24"/>
        </w:rPr>
        <w:t>t of Soc. Servs</w:t>
      </w:r>
      <w:r w:rsidRPr="00483A85">
        <w:rPr>
          <w:szCs w:val="24"/>
        </w:rPr>
        <w:t xml:space="preserve">., 436 U.S. 658 (1978); </w:t>
      </w:r>
      <w:r w:rsidRPr="00483A85">
        <w:rPr>
          <w:i/>
          <w:szCs w:val="24"/>
        </w:rPr>
        <w:t>Patsy v. Bd. of Regents</w:t>
      </w:r>
      <w:r w:rsidRPr="00483A85">
        <w:rPr>
          <w:szCs w:val="24"/>
        </w:rPr>
        <w:t xml:space="preserve">, 457 U.S. 496, 516 (1982) (“[E]xhaustion of state administrative remedies should not be required as a prerequisite to bringing an action pursuant to § 1983.”).  Exhaustion requirements do apply to prisoner claims regarding prison conditions under Section 1983 and other federal laws.  </w:t>
      </w:r>
      <w:r w:rsidRPr="00483A85">
        <w:rPr>
          <w:i/>
          <w:szCs w:val="24"/>
        </w:rPr>
        <w:t>See</w:t>
      </w:r>
      <w:r w:rsidRPr="00483A85">
        <w:rPr>
          <w:szCs w:val="24"/>
        </w:rPr>
        <w:t xml:space="preserve"> 42 U.S.C. § 1997e(a) (provision of the Prison Litigation Reform Act, or PLRA, stating that “[n]o action shall be brought with respect to prison conditions under section 1983 of this title, or any other Federal law, by a prisoner confined in any jail, prison, or other correctional facility until such administrative remedies as are available are exhausted”).  But the Court of Appeals has made clear that PLRA exhaustion presents a question that can be resolved by the judge.  </w:t>
      </w:r>
      <w:r w:rsidRPr="00483A85">
        <w:rPr>
          <w:i/>
          <w:szCs w:val="24"/>
        </w:rPr>
        <w:t>See Small v. Camden Cty</w:t>
      </w:r>
      <w:r w:rsidRPr="00483A85">
        <w:rPr>
          <w:szCs w:val="24"/>
        </w:rPr>
        <w:t xml:space="preserve">., 728 F.3d 265, 269, 271 (3d Cir. 2013); </w:t>
      </w:r>
      <w:r w:rsidRPr="00483A85">
        <w:rPr>
          <w:i/>
          <w:szCs w:val="24"/>
        </w:rPr>
        <w:t>see also</w:t>
      </w:r>
      <w:r w:rsidRPr="00483A85">
        <w:rPr>
          <w:szCs w:val="24"/>
        </w:rPr>
        <w:t xml:space="preserve"> </w:t>
      </w:r>
      <w:r w:rsidRPr="00483A85">
        <w:rPr>
          <w:i/>
          <w:szCs w:val="24"/>
        </w:rPr>
        <w:t>Paladino v. Newsome</w:t>
      </w:r>
      <w:r w:rsidRPr="00483A85">
        <w:rPr>
          <w:szCs w:val="24"/>
        </w:rPr>
        <w:t>, 885 F.3d 203, 211 (3d Cir. 2018) (setting procedures to govern district-court fact-finding on question of PLRA exhaustion).</w:t>
      </w:r>
    </w:p>
    <w:p w14:paraId="65689F13" w14:textId="77777777" w:rsidR="00E77E6F" w:rsidRDefault="00E77E6F" w:rsidP="00F506A3">
      <w:pPr>
        <w:pStyle w:val="FootnoteText"/>
        <w:ind w:firstLine="720"/>
        <w:mirrorIndents/>
      </w:pPr>
    </w:p>
  </w:footnote>
  <w:footnote w:id="10">
    <w:p w14:paraId="3A665840" w14:textId="77777777" w:rsidR="00E77E6F" w:rsidRPr="00D226C8" w:rsidRDefault="00E77E6F" w:rsidP="00F506A3">
      <w:pPr>
        <w:pStyle w:val="FootnoteText"/>
        <w:spacing w:after="240"/>
        <w:ind w:firstLine="720"/>
        <w:mirrorIndents/>
        <w:jc w:val="left"/>
        <w:rPr>
          <w:szCs w:val="24"/>
        </w:rPr>
      </w:pPr>
      <w:r w:rsidRPr="00D226C8">
        <w:rPr>
          <w:rStyle w:val="FootnoteReference"/>
          <w:szCs w:val="24"/>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11">
    <w:p w14:paraId="03545BD5" w14:textId="77777777" w:rsidR="00E77E6F" w:rsidRPr="00D226C8" w:rsidRDefault="00E77E6F" w:rsidP="00F506A3">
      <w:pPr>
        <w:spacing w:after="240"/>
        <w:ind w:firstLine="720"/>
        <w:mirrorIndents/>
      </w:pPr>
      <w:r w:rsidRPr="00D226C8">
        <w:rPr>
          <w:rStyle w:val="FootnoteReference"/>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12">
    <w:p w14:paraId="56539FEB" w14:textId="77777777" w:rsidR="00E77E6F" w:rsidRPr="00D226C8" w:rsidRDefault="00E77E6F" w:rsidP="00F506A3">
      <w:pPr>
        <w:spacing w:after="240"/>
        <w:ind w:firstLine="720"/>
        <w:mirrorIndents/>
      </w:pPr>
      <w:r w:rsidRPr="00D226C8">
        <w:rPr>
          <w:rStyle w:val="FootnoteReference"/>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r w:rsidRPr="00D226C8">
        <w:t xml:space="preserve">at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13">
    <w:p w14:paraId="612AD449" w14:textId="77777777" w:rsidR="00E77E6F" w:rsidRPr="00D226C8" w:rsidRDefault="00E77E6F" w:rsidP="00F506A3">
      <w:pPr>
        <w:spacing w:after="240"/>
        <w:ind w:firstLine="720"/>
        <w:mirrorIndents/>
      </w:pPr>
      <w:r w:rsidRPr="00D226C8">
        <w:rPr>
          <w:rStyle w:val="FootnoteReference"/>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14">
    <w:p w14:paraId="431EE42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15">
    <w:p w14:paraId="1323EB7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6">
    <w:p w14:paraId="640CDD4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7">
    <w:p w14:paraId="5C924E6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8">
    <w:p w14:paraId="73D69C2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9">
    <w:p w14:paraId="0B329DF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20">
    <w:p w14:paraId="2FE25C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21">
    <w:p w14:paraId="19F9EF7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McKeesport Hosp.</w:t>
      </w:r>
      <w:r w:rsidRPr="00D226C8">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22">
    <w:p w14:paraId="2463CD5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23">
    <w:p w14:paraId="23C97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24">
    <w:p w14:paraId="02C646B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25">
    <w:p w14:paraId="0B942CE2" w14:textId="10595E83" w:rsidR="00E77E6F" w:rsidRPr="00D226C8" w:rsidRDefault="00E77E6F" w:rsidP="00E55E4B">
      <w:pPr>
        <w:spacing w:after="240"/>
        <w:ind w:firstLine="720"/>
      </w:pPr>
      <w:r w:rsidRPr="00D226C8">
        <w:rPr>
          <w:rStyle w:val="FootnoteReference"/>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006F7A6F" w:rsidRPr="006F7A6F">
        <w:t xml:space="preserve">); </w:t>
      </w:r>
      <w:r w:rsidR="006F7A6F" w:rsidRPr="00483D71">
        <w:rPr>
          <w:i/>
          <w:iCs/>
        </w:rPr>
        <w:t>see</w:t>
      </w:r>
      <w:r w:rsidR="006F7A6F" w:rsidRPr="007666A1">
        <w:t xml:space="preserve"> </w:t>
      </w:r>
      <w:r w:rsidR="006F7A6F" w:rsidRPr="007666A1">
        <w:rPr>
          <w:i/>
          <w:iCs/>
        </w:rPr>
        <w:t xml:space="preserve">Davis v. Samuels, </w:t>
      </w:r>
      <w:r w:rsidR="006F7A6F" w:rsidRPr="007666A1">
        <w:rPr>
          <w:iCs/>
        </w:rPr>
        <w:t xml:space="preserve">962 F.3d 105, 111-12 &amp; n.4 (3d Cir. 2020) (stating “[w]e are deeply skeptical” of the district court’s conclusion that operators of a private prison are not government actors and noting that the “Supreme Court has not held that private prison operators cannot be liable for damages under </w:t>
      </w:r>
      <w:r w:rsidR="006F7A6F" w:rsidRPr="007666A1">
        <w:rPr>
          <w:i/>
          <w:iCs/>
        </w:rPr>
        <w:t>Bivens</w:t>
      </w:r>
      <w:r w:rsidR="006F7A6F" w:rsidRPr="007666A1">
        <w:rPr>
          <w:iCs/>
        </w:rPr>
        <w:t xml:space="preserve"> because they are not ‘federal actors’ ”</w:t>
      </w:r>
      <w:r w:rsidR="00AC0C59" w:rsidRPr="007666A1">
        <w:rPr>
          <w:iCs/>
        </w:rPr>
        <w:t>)</w:t>
      </w:r>
      <w:r w:rsidR="00723FF2">
        <w:rPr>
          <w:iCs/>
        </w:rPr>
        <w:t>;</w:t>
      </w:r>
      <w:bookmarkStart w:id="0" w:name="_GoBack"/>
      <w:bookmarkEnd w:id="0"/>
      <w:r w:rsidR="006F7A6F" w:rsidRPr="006F7A6F">
        <w:rPr>
          <w:iCs/>
        </w:rPr>
        <w:t xml:space="preserve">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6">
    <w:p w14:paraId="58020EB1" w14:textId="795147B0" w:rsidR="00E77E6F" w:rsidRDefault="00E77E6F" w:rsidP="00F506A3">
      <w:pPr>
        <w:pStyle w:val="FootnoteText"/>
        <w:ind w:firstLine="720"/>
        <w:mirrorIndents/>
      </w:pPr>
      <w:r>
        <w:rPr>
          <w:rStyle w:val="FootnoteReference"/>
        </w:rPr>
        <w:footnoteRef/>
      </w:r>
      <w:r>
        <w:t xml:space="preserve"> </w:t>
      </w:r>
      <w:r w:rsidRPr="00D226C8">
        <w:rPr>
          <w:i/>
          <w:iCs/>
        </w:rPr>
        <w:t>Benn</w:t>
      </w:r>
      <w:r w:rsidRPr="00D226C8">
        <w:t xml:space="preserve">, 371 F.3d at 171 (quoting </w:t>
      </w:r>
      <w:r w:rsidRPr="00D226C8">
        <w:rPr>
          <w:i/>
          <w:iCs/>
        </w:rPr>
        <w:t>Brentwood</w:t>
      </w:r>
      <w:r w:rsidRPr="00D226C8">
        <w:t>, 531 U.S. at 296)</w:t>
      </w:r>
      <w:r>
        <w:t xml:space="preserve"> (quoting </w:t>
      </w:r>
      <w:r w:rsidRPr="001D6838">
        <w:rPr>
          <w:i/>
        </w:rPr>
        <w:t>Evans v. Newt</w:t>
      </w:r>
      <w:r>
        <w:rPr>
          <w:i/>
        </w:rPr>
        <w:t>o</w:t>
      </w:r>
      <w:r w:rsidRPr="001D6838">
        <w:rPr>
          <w:i/>
        </w:rPr>
        <w:t>n</w:t>
      </w:r>
      <w:r>
        <w:t>, 382 U.S 296, 299, 301 (1966))).</w:t>
      </w:r>
      <w:r w:rsidRPr="008C4A72">
        <w:rPr>
          <w:i/>
        </w:rPr>
        <w:t xml:space="preserve">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footnote>
  <w:footnote w:id="27">
    <w:p w14:paraId="3C8BFAE9" w14:textId="47A3E850" w:rsidR="00E77E6F" w:rsidRDefault="00E77E6F" w:rsidP="00F506A3">
      <w:pPr>
        <w:pStyle w:val="FootnoteText"/>
        <w:ind w:firstLine="720"/>
        <w:mirrorIndents/>
      </w:pPr>
      <w:r>
        <w:rPr>
          <w:rStyle w:val="FootnoteReference"/>
        </w:rPr>
        <w:footnoteRef/>
      </w:r>
      <w:r>
        <w:t xml:space="preserve"> Special </w:t>
      </w:r>
      <w:r w:rsidRPr="00D226C8">
        <w:t xml:space="preserve">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8">
    <w:p w14:paraId="3E483F9A" w14:textId="77777777" w:rsidR="00E77E6F" w:rsidRPr="00D226C8" w:rsidRDefault="00E77E6F" w:rsidP="00F506A3">
      <w:pPr>
        <w:spacing w:after="240"/>
        <w:ind w:firstLine="720"/>
        <w:mirrorIndents/>
      </w:pPr>
      <w:r w:rsidRPr="00D226C8">
        <w:rPr>
          <w:rStyle w:val="FootnoteReference"/>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9">
    <w:p w14:paraId="74BCDDE5" w14:textId="77777777" w:rsidR="00E77E6F" w:rsidRPr="00D226C8" w:rsidRDefault="00E77E6F" w:rsidP="00F506A3">
      <w:pPr>
        <w:spacing w:after="240"/>
        <w:ind w:firstLine="720"/>
        <w:mirrorIndents/>
      </w:pPr>
      <w:r w:rsidRPr="00D226C8">
        <w:rPr>
          <w:rStyle w:val="FootnoteReference"/>
        </w:rPr>
        <w:footnoteRef/>
      </w:r>
      <w:r w:rsidRPr="00D226C8">
        <w:t xml:space="preserve">  For an instruction concerning the contention that a private defendant acted under color of state law by conspiring with a state official, see Instruction 4.4.3.</w:t>
      </w:r>
    </w:p>
  </w:footnote>
  <w:footnote w:id="30">
    <w:p w14:paraId="0C998A1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31">
    <w:p w14:paraId="795242A1" w14:textId="77777777" w:rsidR="00E77E6F" w:rsidRPr="00D226C8" w:rsidRDefault="00E77E6F" w:rsidP="00F506A3">
      <w:pPr>
        <w:spacing w:after="240"/>
        <w:ind w:firstLine="720"/>
        <w:mirrorIndents/>
      </w:pPr>
      <w:r w:rsidRPr="00D226C8">
        <w:rPr>
          <w:rStyle w:val="FootnoteReference"/>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32">
    <w:p w14:paraId="63D30AE1" w14:textId="77777777" w:rsidR="00E77E6F" w:rsidRPr="00D226C8" w:rsidRDefault="00E77E6F" w:rsidP="00F506A3">
      <w:pPr>
        <w:spacing w:after="240"/>
        <w:ind w:firstLine="720"/>
        <w:mirrorIndents/>
      </w:pPr>
      <w:r w:rsidRPr="00D226C8">
        <w:rPr>
          <w:rStyle w:val="FootnoteReference"/>
        </w:rPr>
        <w:footnoteRef/>
      </w:r>
      <w:r w:rsidRPr="00D226C8">
        <w:t xml:space="preserve">  “[O]ff</w:t>
      </w:r>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33">
    <w:p w14:paraId="32554543" w14:textId="77777777" w:rsidR="00E77E6F" w:rsidRPr="00D226C8" w:rsidRDefault="00E77E6F" w:rsidP="00F506A3">
      <w:pPr>
        <w:spacing w:after="240"/>
        <w:ind w:firstLine="720"/>
        <w:mirrorIndents/>
      </w:pPr>
      <w:r w:rsidRPr="00D226C8">
        <w:rPr>
          <w:rStyle w:val="FootnoteReference"/>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34">
    <w:p w14:paraId="0C4EE7E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35">
    <w:p w14:paraId="4A23EE4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6">
    <w:p w14:paraId="5F78CD58" w14:textId="77777777" w:rsidR="00E77E6F" w:rsidRPr="00D226C8" w:rsidRDefault="00E77E6F" w:rsidP="00F506A3">
      <w:pPr>
        <w:spacing w:after="240"/>
        <w:ind w:firstLine="720"/>
        <w:mirrorIndents/>
      </w:pPr>
      <w:r w:rsidRPr="00D226C8">
        <w:rPr>
          <w:rStyle w:val="FootnoteReference"/>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7">
    <w:p w14:paraId="386A819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38">
    <w:p w14:paraId="68FB12F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9">
    <w:p w14:paraId="0312762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40">
    <w:p w14:paraId="764B7E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41">
    <w:p w14:paraId="493CECCB" w14:textId="77777777" w:rsidR="00E77E6F" w:rsidRPr="00D226C8" w:rsidRDefault="00E77E6F" w:rsidP="00F506A3">
      <w:pPr>
        <w:spacing w:after="240"/>
        <w:ind w:firstLine="720"/>
        <w:mirrorIndents/>
      </w:pPr>
      <w:r w:rsidRPr="00D226C8">
        <w:rPr>
          <w:rStyle w:val="FootnoteReference"/>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r w:rsidRPr="00D226C8">
        <w:t>at 818 (holding that “the unauthorized use of a police</w:t>
      </w:r>
      <w:r w:rsidRPr="00D226C8">
        <w:noBreakHyphen/>
        <w:t>issue nightstick is simply not enough to color this clearly personal family dispute with the imprimatur of state authority”).</w:t>
      </w:r>
    </w:p>
  </w:footnote>
  <w:footnote w:id="42">
    <w:p w14:paraId="4154FB2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43">
    <w:p w14:paraId="7433744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44">
    <w:p w14:paraId="7500F70C"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West</w:t>
      </w:r>
      <w:r w:rsidRPr="00D226C8">
        <w:t>, 487 U.S. at 50.</w:t>
      </w:r>
    </w:p>
  </w:footnote>
  <w:footnote w:id="45">
    <w:p w14:paraId="4112822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Bonenberger</w:t>
      </w:r>
      <w:r w:rsidRPr="00D226C8">
        <w:t>, 132 F.3d at 24.</w:t>
      </w:r>
    </w:p>
  </w:footnote>
  <w:footnote w:id="46">
    <w:p w14:paraId="7E187A5E"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Bonenberger</w:t>
      </w:r>
      <w:r w:rsidRPr="00D226C8">
        <w:t>, 132 F.3d at 24.</w:t>
      </w:r>
    </w:p>
  </w:footnote>
  <w:footnote w:id="47">
    <w:p w14:paraId="0C1B64AF"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Basista</w:t>
      </w:r>
      <w:r w:rsidRPr="00D226C8">
        <w:t>, 340 F.2d at 80-81.</w:t>
      </w:r>
    </w:p>
  </w:footnote>
  <w:footnote w:id="48">
    <w:p w14:paraId="11F23CD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9">
    <w:p w14:paraId="151568A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id.</w:t>
      </w:r>
      <w:r w:rsidRPr="00D226C8">
        <w:t xml:space="preserve"> at 816-17.</w:t>
      </w:r>
    </w:p>
  </w:footnote>
  <w:footnote w:id="50">
    <w:p w14:paraId="715C0F3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Griffin</w:t>
      </w:r>
      <w:r w:rsidRPr="00D226C8">
        <w:t>, 378 U.S. at 135.</w:t>
      </w:r>
    </w:p>
  </w:footnote>
  <w:footnote w:id="51">
    <w:p w14:paraId="73C01D7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287.</w:t>
      </w:r>
    </w:p>
  </w:footnote>
  <w:footnote w:id="52">
    <w:p w14:paraId="2C3888A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Bonenberger</w:t>
      </w:r>
      <w:r w:rsidRPr="00D226C8">
        <w:t>, 132 F.3d at 24.</w:t>
      </w:r>
    </w:p>
  </w:footnote>
  <w:footnote w:id="53">
    <w:p w14:paraId="0FDF175B" w14:textId="77777777" w:rsidR="00E77E6F" w:rsidRPr="00D226C8" w:rsidRDefault="00E77E6F" w:rsidP="00F506A3">
      <w:pPr>
        <w:spacing w:after="240"/>
        <w:ind w:firstLine="720"/>
        <w:mirrorIndents/>
      </w:pPr>
      <w:r w:rsidRPr="00D226C8">
        <w:rPr>
          <w:rStyle w:val="FootnoteReference"/>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54">
    <w:p w14:paraId="7C8FC9BC" w14:textId="0B26855B"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Victory Outreach Center v. Melso</w:t>
      </w:r>
      <w:r w:rsidRPr="00D226C8">
        <w:t>, 371 F.</w:t>
      </w:r>
      <w:r>
        <w:t xml:space="preserve"> </w:t>
      </w:r>
      <w:r w:rsidRPr="00D226C8">
        <w:t>Supp.</w:t>
      </w:r>
      <w:r>
        <w:t xml:space="preserve"> </w:t>
      </w:r>
      <w:r w:rsidRPr="00D226C8">
        <w:t xml:space="preserve">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101 F.</w:t>
      </w:r>
      <w:r>
        <w:t xml:space="preserve"> </w:t>
      </w:r>
      <w:r w:rsidRPr="00D226C8">
        <w:t>Supp.</w:t>
      </w:r>
      <w:r>
        <w:t xml:space="preserve"> </w:t>
      </w:r>
      <w:r w:rsidRPr="00D226C8">
        <w:t>2d 255, 263-64 &amp; n.4 (D.N.J. 2000) (holding respondeat superior liability unavailable, but noting “a lingering doubt whether the public policy considerations underlying the Supreme Court</w:t>
      </w:r>
      <w:r>
        <w:t>’</w:t>
      </w:r>
      <w:r w:rsidRPr="00D226C8">
        <w:t xml:space="preserve">s decision in </w:t>
      </w:r>
      <w:r w:rsidRPr="00A55758">
        <w:rPr>
          <w:i/>
        </w:rPr>
        <w:t>Monell</w:t>
      </w:r>
      <w:r w:rsidRPr="00D226C8">
        <w:t xml:space="preserve">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55">
    <w:p w14:paraId="333B1CA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Thomas v. Zinkel</w:t>
      </w:r>
      <w:r w:rsidRPr="00D226C8">
        <w:t>, 155 F. Supp.</w:t>
      </w:r>
      <w:r>
        <w:t xml:space="preserve"> </w:t>
      </w:r>
      <w:r w:rsidRPr="00D226C8">
        <w:t xml:space="preserve">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6">
    <w:p w14:paraId="7DC7B132" w14:textId="77777777" w:rsidR="00E77E6F" w:rsidRPr="00D226C8" w:rsidRDefault="00E77E6F" w:rsidP="00F506A3">
      <w:pPr>
        <w:spacing w:after="240"/>
        <w:ind w:firstLine="720"/>
        <w:mirrorIndents/>
      </w:pPr>
      <w:r w:rsidRPr="00D226C8">
        <w:rPr>
          <w:rStyle w:val="FootnoteReference"/>
        </w:rPr>
        <w:footnoteRef/>
      </w:r>
      <w:r w:rsidRPr="00D226C8">
        <w:t xml:space="preserve">  This discussion assumes that the state official acts under color of state law when he commits the violation.</w:t>
      </w:r>
    </w:p>
  </w:footnote>
  <w:footnote w:id="57">
    <w:p w14:paraId="70E5CCA3"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8">
    <w:p w14:paraId="3AE8849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Cruz v. Donnelly</w:t>
      </w:r>
      <w:r w:rsidRPr="00D226C8">
        <w:t xml:space="preserve">, 727 F.2d 79 (3d Cir. 1984), “two police officers, acting at the request of [a private] company's employee, stripped and searched the plaintiff for stolen goods,”  </w:t>
      </w:r>
      <w:r w:rsidRPr="00D226C8">
        <w:rPr>
          <w:i/>
          <w:iCs/>
        </w:rPr>
        <w:t>id.</w:t>
      </w:r>
      <w:r w:rsidRPr="00D226C8">
        <w:t xml:space="preserve"> at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r w:rsidRPr="00D226C8">
        <w:t>at 81 (“Cruz' allegations depict only a police investigation that happens to follow the course suggested by comments from a complainant.”).</w:t>
      </w:r>
    </w:p>
  </w:footnote>
  <w:footnote w:id="59">
    <w:p w14:paraId="0534A7E6"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60">
    <w:p w14:paraId="5019D7C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61">
    <w:p w14:paraId="0A76DF9B" w14:textId="77777777" w:rsidR="00E77E6F" w:rsidRPr="00D226C8" w:rsidRDefault="00E77E6F" w:rsidP="00F506A3">
      <w:pPr>
        <w:ind w:firstLine="720"/>
        <w:mirrorIndents/>
      </w:pPr>
      <w:r w:rsidRPr="00D226C8">
        <w:rPr>
          <w:rStyle w:val="FootnoteReference"/>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E77E6F" w:rsidRPr="00D226C8" w:rsidRDefault="00E77E6F" w:rsidP="00F506A3">
      <w:pPr>
        <w:ind w:firstLine="720"/>
        <w:mirrorIndents/>
      </w:pPr>
    </w:p>
    <w:p w14:paraId="2A57DE6C" w14:textId="77777777" w:rsidR="00E77E6F" w:rsidRPr="00D226C8" w:rsidRDefault="00E77E6F" w:rsidP="00F506A3">
      <w:pPr>
        <w:spacing w:after="240"/>
        <w:ind w:firstLine="720"/>
        <w:mirrorIndents/>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62">
    <w:p w14:paraId="07FC9CB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63">
    <w:p w14:paraId="0114FD43"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Iqbal </w:t>
      </w:r>
      <w:r w:rsidRPr="00D226C8">
        <w:t>.... Therefore, a supervisor will only be liable for the acts of a subordinate if he fosters a policy or custom that amounts to deliberate indifference towards an individual's constitutional rights.”).</w:t>
      </w:r>
    </w:p>
  </w:footnote>
  <w:footnote w:id="64">
    <w:p w14:paraId="1D44B295"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65">
    <w:p w14:paraId="6F83BD4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6">
    <w:p w14:paraId="2C01D04F" w14:textId="77777777" w:rsidR="00E77E6F" w:rsidRPr="00D226C8" w:rsidRDefault="00E77E6F" w:rsidP="00F506A3">
      <w:pPr>
        <w:spacing w:after="240"/>
        <w:ind w:firstLine="720"/>
        <w:mirrorIndents/>
      </w:pPr>
      <w:r w:rsidRPr="00D226C8">
        <w:rPr>
          <w:rStyle w:val="FootnoteReference"/>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7">
    <w:p w14:paraId="385F7622" w14:textId="1F007438" w:rsidR="00554ED5" w:rsidRPr="007C68B4" w:rsidRDefault="00554ED5">
      <w:pPr>
        <w:pStyle w:val="FootnoteText"/>
      </w:pPr>
      <w:r>
        <w:rPr>
          <w:rStyle w:val="FootnoteReference"/>
        </w:rPr>
        <w:footnoteRef/>
      </w:r>
      <w:r>
        <w:t xml:space="preserve"> </w:t>
      </w:r>
      <w:r w:rsidRPr="007C68B4">
        <w:t xml:space="preserve">Where the jury is being instructed on a theory of inadequate training or supervision, consider omitting this sentence. See discussion in the Comment of </w:t>
      </w:r>
      <w:r w:rsidRPr="007C68B4">
        <w:rPr>
          <w:i/>
        </w:rPr>
        <w:t>Forrest v. Parry</w:t>
      </w:r>
      <w:r w:rsidRPr="007C68B4">
        <w:t>, 930 F.3d 93 (2019).</w:t>
      </w:r>
    </w:p>
  </w:footnote>
  <w:footnote w:id="68">
    <w:p w14:paraId="27F5B800" w14:textId="75204A3C" w:rsidR="00CD12F5" w:rsidRDefault="00CD12F5" w:rsidP="00CD12F5">
      <w:pPr>
        <w:pStyle w:val="FootnoteText"/>
      </w:pPr>
      <w:r w:rsidRPr="00187D85">
        <w:rPr>
          <w:rStyle w:val="FootnoteReference"/>
        </w:rPr>
        <w:footnoteRef/>
      </w:r>
      <w:r w:rsidRPr="00187D85">
        <w:t xml:space="preserve"> </w:t>
      </w:r>
      <w:r w:rsidRPr="00133456">
        <w:rPr>
          <w:szCs w:val="24"/>
        </w:rPr>
        <w:t xml:space="preserve">Consider omitting this paragraph in order to keep instructions about policy and custom claims separate from instructions about inadequate training or supervision claims addressed in Instruction 4.6.7. See discussion in the Comment of </w:t>
      </w:r>
      <w:r w:rsidRPr="00133456">
        <w:rPr>
          <w:i/>
          <w:szCs w:val="24"/>
        </w:rPr>
        <w:t>Forrest v. Parry</w:t>
      </w:r>
      <w:r w:rsidRPr="00133456">
        <w:rPr>
          <w:szCs w:val="24"/>
        </w:rPr>
        <w:t>, 930 F.3d 93 (2019).</w:t>
      </w:r>
    </w:p>
  </w:footnote>
  <w:footnote w:id="69">
    <w:p w14:paraId="5CA131B3" w14:textId="77777777" w:rsidR="00E77E6F" w:rsidRPr="00D226C8" w:rsidRDefault="00E77E6F" w:rsidP="00F506A3">
      <w:pPr>
        <w:spacing w:after="240"/>
        <w:ind w:firstLine="720"/>
        <w:mirrorIndents/>
      </w:pPr>
      <w:r w:rsidRPr="00D226C8">
        <w:rPr>
          <w:rStyle w:val="FootnoteReference"/>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70">
    <w:p w14:paraId="09E8C854" w14:textId="2E2920AA" w:rsidR="00E77E6F" w:rsidRDefault="00E77E6F" w:rsidP="00F506A3">
      <w:pPr>
        <w:spacing w:after="240"/>
        <w:ind w:firstLine="720"/>
        <w:mirrorIndents/>
      </w:pPr>
      <w:r w:rsidRPr="00D226C8">
        <w:rPr>
          <w:rStyle w:val="FootnoteReference"/>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t>.3d 575, 583-84 (3d Cir. 2003)).</w:t>
      </w:r>
    </w:p>
    <w:p w14:paraId="2EFC996A" w14:textId="7704E613" w:rsidR="00E77E6F" w:rsidRPr="00D226C8" w:rsidRDefault="00E77E6F" w:rsidP="00F506A3">
      <w:pPr>
        <w:spacing w:after="240"/>
        <w:ind w:firstLine="720"/>
        <w:mirrorIndents/>
      </w:pPr>
      <w:r w:rsidRPr="00D226C8">
        <w:t>“</w:t>
      </w:r>
      <w:r w:rsidRPr="00D226C8">
        <w:rPr>
          <w:i/>
          <w:iCs/>
        </w:rPr>
        <w:t>Monell</w:t>
      </w:r>
      <w:r>
        <w:t>’</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71">
    <w:p w14:paraId="2B9634E0"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72">
    <w:p w14:paraId="3C7746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73">
    <w:p w14:paraId="46CAF24D" w14:textId="77777777" w:rsidR="00E77E6F" w:rsidRPr="00D226C8" w:rsidRDefault="00E77E6F" w:rsidP="00F506A3">
      <w:pPr>
        <w:spacing w:after="240"/>
        <w:ind w:firstLine="720"/>
        <w:mirrorIndents/>
      </w:pPr>
      <w:r w:rsidRPr="00D226C8">
        <w:rPr>
          <w:rStyle w:val="FootnoteReference"/>
        </w:rPr>
        <w:footnoteRef/>
      </w:r>
      <w:r w:rsidRPr="00D226C8">
        <w:t xml:space="preserve">  In cases where the plaintiff must show deliberate indifference on the part of a policymaking official, this language should be modified accordingly.  See Comment.</w:t>
      </w:r>
    </w:p>
  </w:footnote>
  <w:footnote w:id="74">
    <w:p w14:paraId="72BE4D49"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75">
    <w:p w14:paraId="09A7D725" w14:textId="77777777" w:rsidR="00E77E6F" w:rsidRPr="00D226C8" w:rsidRDefault="00E77E6F" w:rsidP="00F506A3">
      <w:pPr>
        <w:spacing w:after="240"/>
        <w:ind w:firstLine="720"/>
        <w:mirrorIndents/>
      </w:pPr>
      <w:r w:rsidRPr="00D226C8">
        <w:rPr>
          <w:rStyle w:val="FootnoteReference"/>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76">
    <w:p w14:paraId="0C0BEF1E" w14:textId="6B926B10" w:rsidR="00E77E6F" w:rsidRPr="00D226C8" w:rsidRDefault="00E77E6F" w:rsidP="00F506A3">
      <w:pPr>
        <w:pStyle w:val="FootnoteText"/>
        <w:ind w:firstLine="720"/>
        <w:mirrorIndents/>
        <w:rPr>
          <w:szCs w:val="24"/>
        </w:rPr>
      </w:pPr>
      <w:r w:rsidRPr="00D226C8">
        <w:rPr>
          <w:rStyle w:val="FootnoteReference"/>
          <w:szCs w:val="24"/>
        </w:rPr>
        <w:footnoteRef/>
      </w:r>
      <w:r w:rsidRPr="00D226C8">
        <w:rPr>
          <w:rStyle w:val="FootnoteReference"/>
          <w:szCs w:val="24"/>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at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footnote>
  <w:footnote w:id="77">
    <w:p w14:paraId="40E10BD1" w14:textId="77777777" w:rsidR="00E77E6F" w:rsidRPr="00D226C8" w:rsidRDefault="00E77E6F" w:rsidP="00F506A3">
      <w:pPr>
        <w:ind w:firstLine="720"/>
        <w:mirrorIndents/>
      </w:pPr>
      <w:r w:rsidRPr="00D226C8">
        <w:rPr>
          <w:rStyle w:val="FootnoteReference"/>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at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E77E6F" w:rsidRPr="00D226C8" w:rsidRDefault="00E77E6F" w:rsidP="00F506A3">
      <w:pPr>
        <w:ind w:firstLine="720"/>
        <w:mirrorIndents/>
      </w:pPr>
    </w:p>
    <w:p w14:paraId="55C137D8" w14:textId="77777777" w:rsidR="00E77E6F" w:rsidRPr="00D226C8" w:rsidRDefault="00E77E6F" w:rsidP="00F506A3">
      <w:pPr>
        <w:ind w:left="720" w:right="720" w:firstLine="720"/>
        <w:mirrorIndents/>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E77E6F" w:rsidRPr="00D226C8" w:rsidRDefault="00E77E6F" w:rsidP="00F506A3">
      <w:pPr>
        <w:ind w:firstLine="720"/>
        <w:mirrorIndents/>
      </w:pPr>
    </w:p>
    <w:p w14:paraId="373BABCF" w14:textId="77777777" w:rsidR="00E77E6F" w:rsidRPr="00D226C8" w:rsidRDefault="00E77E6F" w:rsidP="00F506A3">
      <w:pPr>
        <w:spacing w:after="240"/>
        <w:mirrorIndents/>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8">
    <w:p w14:paraId="073AE8EA"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r w:rsidRPr="00D226C8">
        <w:t xml:space="preserve">at 1194; </w:t>
      </w:r>
      <w:r w:rsidRPr="00D226C8">
        <w:rPr>
          <w:i/>
          <w:iCs/>
        </w:rPr>
        <w:t xml:space="preserve">see also id. </w:t>
      </w:r>
      <w:r w:rsidRPr="00D226C8">
        <w:t>at 1195 (upholding dismissal of illegal search claims against city due to lack of evidence “that Monroe Township expressly or tacitly authorized either of the searches”).</w:t>
      </w:r>
    </w:p>
  </w:footnote>
  <w:footnote w:id="79">
    <w:p w14:paraId="7A05FBC5"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at 1482 – a caveat that suggests the possibility that in such a case constructive knowledge might play a role in the acquiescence analysis.</w:t>
      </w:r>
    </w:p>
  </w:footnote>
  <w:footnote w:id="80">
    <w:p w14:paraId="5298BF8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81">
    <w:p w14:paraId="48F9A8B1" w14:textId="77777777" w:rsidR="00E77E6F" w:rsidRPr="00D226C8" w:rsidRDefault="00E77E6F" w:rsidP="00F506A3">
      <w:pPr>
        <w:spacing w:after="240"/>
        <w:ind w:firstLine="720"/>
        <w:mirrorIndents/>
      </w:pPr>
      <w:r w:rsidRPr="00D226C8">
        <w:rPr>
          <w:rStyle w:val="FootnoteReference"/>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at 584.</w:t>
      </w:r>
    </w:p>
  </w:footnote>
  <w:footnote w:id="82">
    <w:p w14:paraId="2CC95CAD" w14:textId="77777777" w:rsidR="00E77E6F" w:rsidRPr="00D226C8" w:rsidRDefault="00E77E6F" w:rsidP="00F506A3">
      <w:pPr>
        <w:spacing w:after="240"/>
        <w:ind w:firstLine="720"/>
        <w:mirrorIndents/>
      </w:pPr>
      <w:r w:rsidRPr="00D226C8">
        <w:rPr>
          <w:rStyle w:val="FootnoteReference"/>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83">
    <w:p w14:paraId="43F53289" w14:textId="77777777" w:rsidR="00E77E6F" w:rsidRPr="00D226C8" w:rsidRDefault="00E77E6F" w:rsidP="00F506A3">
      <w:pPr>
        <w:spacing w:after="240"/>
        <w:ind w:firstLine="720"/>
        <w:mirrorIndents/>
      </w:pPr>
      <w:r w:rsidRPr="00D226C8">
        <w:rPr>
          <w:rStyle w:val="FootnoteReference"/>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at 1090, and she pointed out that a standard requiring “actual knowledge of the conditions by a municipal policymaker ... would put a premium on blinders,” </w:t>
      </w:r>
      <w:r w:rsidRPr="00D226C8">
        <w:rPr>
          <w:i/>
          <w:iCs/>
        </w:rPr>
        <w:t>id.</w:t>
      </w:r>
      <w:r w:rsidRPr="00D226C8">
        <w:t xml:space="preserve"> at 1091.</w:t>
      </w:r>
    </w:p>
  </w:footnote>
  <w:footnote w:id="84">
    <w:p w14:paraId="2A188431" w14:textId="77777777" w:rsidR="00FA5373" w:rsidRPr="00FA5373" w:rsidRDefault="00FA5373" w:rsidP="00DB698E">
      <w:pPr>
        <w:shd w:val="clear" w:color="auto" w:fill="FFFFFF" w:themeFill="background1"/>
        <w:spacing w:after="240"/>
        <w:ind w:firstLine="720"/>
        <w:jc w:val="both"/>
      </w:pPr>
      <w:r w:rsidRPr="00FA5373">
        <w:rPr>
          <w:rStyle w:val="FootnoteReference"/>
        </w:rPr>
        <w:footnoteRef/>
      </w:r>
      <w:r w:rsidRPr="00FA5373">
        <w:t xml:space="preserve"> In light of </w:t>
      </w:r>
      <w:r w:rsidRPr="00FA5373">
        <w:rPr>
          <w:i/>
        </w:rPr>
        <w:t>Forrest v. Parry</w:t>
      </w:r>
      <w:r w:rsidRPr="00FA5373">
        <w:t xml:space="preserve">, 930 F.3d 93 (3d Cir. 2019), consider the following as an alternative to this sentence: “[Plaintiff] claims that [municipality] failed to [adequately train] [adequately supervise] its employees, and that this failure caused the violation of [plaintiff’s] [specify right].” See discussion of </w:t>
      </w:r>
      <w:r w:rsidRPr="00FA5373">
        <w:rPr>
          <w:i/>
        </w:rPr>
        <w:t>Forrest</w:t>
      </w:r>
      <w:r w:rsidRPr="00FA5373">
        <w:t xml:space="preserve"> in Comment 4.6.3.</w:t>
      </w:r>
    </w:p>
  </w:footnote>
  <w:footnote w:id="85">
    <w:p w14:paraId="30A09BDF" w14:textId="77777777" w:rsidR="00E77E6F" w:rsidRPr="00D226C8" w:rsidRDefault="00E77E6F" w:rsidP="00F506A3">
      <w:pPr>
        <w:spacing w:after="240"/>
        <w:ind w:firstLine="720"/>
        <w:mirrorIndents/>
      </w:pPr>
      <w:r w:rsidRPr="00D226C8">
        <w:rPr>
          <w:rStyle w:val="FootnoteReference"/>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86">
    <w:p w14:paraId="1C887548" w14:textId="77777777" w:rsidR="00E77E6F" w:rsidRPr="00D226C8" w:rsidRDefault="00E77E6F" w:rsidP="00F506A3">
      <w:pPr>
        <w:spacing w:after="240"/>
        <w:ind w:firstLine="720"/>
        <w:mirrorIndents/>
      </w:pPr>
      <w:r w:rsidRPr="00D226C8">
        <w:rPr>
          <w:rStyle w:val="FootnoteReference"/>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87">
    <w:p w14:paraId="3A0818A2" w14:textId="295A23A5" w:rsidR="00E77E6F" w:rsidRDefault="00E77E6F" w:rsidP="00F506A3">
      <w:pPr>
        <w:ind w:firstLine="720"/>
        <w:mirrorIndents/>
      </w:pPr>
      <w:r w:rsidRPr="00D226C8">
        <w:rPr>
          <w:rStyle w:val="FootnoteReference"/>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021648FC" w14:textId="77777777" w:rsidR="00E77E6F" w:rsidRPr="00D226C8" w:rsidRDefault="00E77E6F" w:rsidP="00F506A3">
      <w:pPr>
        <w:ind w:firstLine="720"/>
        <w:mirrorIndents/>
      </w:pPr>
    </w:p>
    <w:p w14:paraId="63A5D1A5" w14:textId="77777777" w:rsidR="00E77E6F" w:rsidRPr="00D226C8" w:rsidRDefault="00E77E6F" w:rsidP="00F506A3">
      <w:pPr>
        <w:spacing w:after="240"/>
        <w:ind w:firstLine="720"/>
        <w:mirrorIndents/>
      </w:pPr>
      <w:r w:rsidRPr="00D226C8">
        <w:t>The Third Circuit has declined to “recognize[]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88">
    <w:p w14:paraId="6B689C20" w14:textId="77777777" w:rsidR="00E77E6F" w:rsidRPr="00D226C8" w:rsidRDefault="00E77E6F" w:rsidP="00F506A3">
      <w:pPr>
        <w:ind w:firstLine="720"/>
        <w:mirrorIndents/>
      </w:pPr>
      <w:r w:rsidRPr="00D226C8">
        <w:rPr>
          <w:rStyle w:val="FootnoteReference"/>
        </w:rPr>
        <w:footnoteRef/>
      </w:r>
      <w:r w:rsidRPr="00D226C8">
        <w:t xml:space="preserve">  “If .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E77E6F" w:rsidRPr="00D226C8" w:rsidRDefault="00E77E6F" w:rsidP="00F506A3">
      <w:pPr>
        <w:spacing w:after="240"/>
        <w:ind w:firstLine="720"/>
        <w:mirrorIndents/>
      </w:pPr>
    </w:p>
  </w:footnote>
  <w:footnote w:id="89">
    <w:p w14:paraId="09924C13" w14:textId="3BED620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Doe v. Luzerne County</w:t>
      </w:r>
      <w:r w:rsidRPr="00D226C8">
        <w:t>, 660 F.3d 169 (3d Cir. 2011)</w:t>
      </w:r>
      <w:r w:rsidR="00B01570">
        <w:t>—</w:t>
      </w:r>
      <w:r w:rsidRPr="00D226C8">
        <w:t>a post</w:t>
      </w:r>
      <w:r w:rsidRPr="00D226C8">
        <w:noBreakHyphen/>
      </w:r>
      <w:r w:rsidRPr="00D226C8">
        <w:rPr>
          <w:i/>
          <w:iCs/>
        </w:rPr>
        <w:t>Connick</w:t>
      </w:r>
      <w:r w:rsidRPr="00D226C8">
        <w:t xml:space="preserve"> decision</w:t>
      </w:r>
      <w:r w:rsidR="00B01570">
        <w:t>—</w:t>
      </w:r>
      <w:r w:rsidRPr="00D226C8">
        <w:t xml:space="preserve">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r>
        <w:t xml:space="preserve"> </w:t>
      </w:r>
      <w:r w:rsidRPr="005C6D42">
        <w:rPr>
          <w:i/>
        </w:rPr>
        <w:t>See also</w:t>
      </w:r>
      <w:r w:rsidRPr="005C6D42">
        <w:t xml:space="preserve"> </w:t>
      </w:r>
      <w:r w:rsidR="00FA5603" w:rsidRPr="00FA5603">
        <w:rPr>
          <w:i/>
        </w:rPr>
        <w:t xml:space="preserve">Forrest v. Parry, </w:t>
      </w:r>
      <w:r w:rsidR="00FA5603" w:rsidRPr="00FA5603">
        <w:t>930 F.3d 93, 118 (</w:t>
      </w:r>
      <w:r w:rsidR="004F34A8">
        <w:t xml:space="preserve">3d Cir. </w:t>
      </w:r>
      <w:r w:rsidR="00FA5603" w:rsidRPr="00FA5603">
        <w:t>2019);</w:t>
      </w:r>
      <w:r w:rsidR="00FA5603">
        <w:t xml:space="preserve"> </w:t>
      </w:r>
      <w:r w:rsidRPr="005C6D42">
        <w:rPr>
          <w:i/>
        </w:rPr>
        <w:t>Estate of Roman v. City of Newark</w:t>
      </w:r>
      <w:r w:rsidRPr="005C6D42">
        <w:t>, 914 F.3d 789, 798 (3d Cir. 2019) (</w:t>
      </w:r>
      <w:r w:rsidR="00FA5603">
        <w:t xml:space="preserve">both </w:t>
      </w:r>
      <w:r w:rsidRPr="005C6D42">
        <w:t>reiterating this test).</w:t>
      </w:r>
    </w:p>
  </w:footnote>
  <w:footnote w:id="90">
    <w:p w14:paraId="70223D68" w14:textId="77777777" w:rsidR="009B2435" w:rsidRPr="009B2435" w:rsidRDefault="009B2435" w:rsidP="00DF3862">
      <w:pPr>
        <w:shd w:val="clear" w:color="auto" w:fill="FFFFFF" w:themeFill="background1"/>
        <w:spacing w:after="240"/>
        <w:ind w:firstLine="720"/>
        <w:jc w:val="both"/>
      </w:pPr>
      <w:r w:rsidRPr="009B2435">
        <w:rPr>
          <w:rStyle w:val="FootnoteReference"/>
        </w:rPr>
        <w:footnoteRef/>
      </w:r>
      <w:r w:rsidRPr="009B2435">
        <w:t xml:space="preserve"> In light of </w:t>
      </w:r>
      <w:r w:rsidRPr="009B2435">
        <w:rPr>
          <w:i/>
        </w:rPr>
        <w:t>Forrest v. Parry</w:t>
      </w:r>
      <w:r w:rsidRPr="009B2435">
        <w:t xml:space="preserve">, 930 F.3d 93 (3d Cir. 2019), consider the following as an alternative to this sentence: “[Plaintiff] claims that [municipality] failed to adequately screen its employees, and that this failure caused the violation of [plaintiff’s] [specify right].” See discussion of </w:t>
      </w:r>
      <w:r w:rsidRPr="009B2435">
        <w:rPr>
          <w:i/>
        </w:rPr>
        <w:t>Forrest</w:t>
      </w:r>
      <w:r w:rsidRPr="009B2435">
        <w:t xml:space="preserve"> in Comment 4.6.3.</w:t>
      </w:r>
    </w:p>
  </w:footnote>
  <w:footnote w:id="91">
    <w:p w14:paraId="4C7D3963" w14:textId="77777777" w:rsidR="00E77E6F" w:rsidRPr="00D226C8" w:rsidRDefault="00E77E6F" w:rsidP="00F506A3">
      <w:pPr>
        <w:spacing w:after="240"/>
        <w:ind w:firstLine="720"/>
        <w:mirrorIndents/>
      </w:pPr>
      <w:r w:rsidRPr="00D226C8">
        <w:rPr>
          <w:rStyle w:val="FootnoteReference"/>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92">
    <w:p w14:paraId="7B0F658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93">
    <w:p w14:paraId="18B7C338" w14:textId="431D1615"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 Kalina v. Fletcher</w:t>
      </w:r>
      <w:r w:rsidRPr="00D226C8">
        <w:t>,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w:t>
      </w:r>
      <w:r w:rsidR="001A5A28">
        <w:t xml:space="preserve"> </w:t>
      </w:r>
      <w:r w:rsidR="001A5A28" w:rsidRPr="001A5A28">
        <w:rPr>
          <w:i/>
          <w:iCs/>
        </w:rPr>
        <w:t>Fogle v. Sokol</w:t>
      </w:r>
      <w:r w:rsidR="001A5A28" w:rsidRPr="001A5A28">
        <w:t>, 957 F.3d 148 (3d Cir. 2020) (holding that arranging a hypnosis session to procure a statement and encouraging troopers to solicit false statements from jailhouse informants were not protected by absolute immunity, while failing to report inconsistencies to a magistrate judge and various misconduct at hearings and at trial were protected);</w:t>
      </w:r>
      <w:r w:rsidR="001A5A28">
        <w:t xml:space="preserve"> </w:t>
      </w:r>
      <w:r w:rsidRPr="00D226C8">
        <w:rPr>
          <w:i/>
          <w:iCs/>
        </w:rPr>
        <w:t>Reitz v. County of Bucks</w:t>
      </w:r>
      <w:r w:rsidRPr="00D226C8">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E77E6F" w:rsidRPr="00D226C8" w:rsidRDefault="00E77E6F" w:rsidP="00F506A3">
      <w:pPr>
        <w:ind w:firstLine="720"/>
        <w:mirrorIndents/>
      </w:pPr>
    </w:p>
    <w:p w14:paraId="05EBC58A" w14:textId="74738257" w:rsidR="00E77E6F" w:rsidRPr="00D226C8" w:rsidRDefault="00E77E6F" w:rsidP="00F506A3">
      <w:pPr>
        <w:ind w:firstLine="720"/>
        <w:mirrorIndents/>
      </w:pPr>
      <w:r w:rsidRPr="00D226C8">
        <w:t xml:space="preserve">In </w:t>
      </w:r>
      <w:r w:rsidRPr="00D226C8">
        <w:rPr>
          <w:i/>
          <w:iCs/>
        </w:rPr>
        <w:t>Odd v. Malone</w:t>
      </w:r>
      <w:r w:rsidRPr="00D226C8">
        <w:t>, 538 F.3d 202 (3d Cir. 2008), “prosecuting attorneys obtained bench</w:t>
      </w:r>
      <w:r>
        <w:t xml:space="preserve"> </w:t>
      </w:r>
      <w:r w:rsidRPr="00D226C8">
        <w:t>warrants to detain material witnesses whose testimony was vital to murder prosecutions.</w:t>
      </w:r>
      <w:r>
        <w:t xml:space="preserve"> </w:t>
      </w:r>
      <w:r w:rsidRPr="00D226C8">
        <w:t>Although the attorneys diligently obtained the warrants, they neglected to keep the courts</w:t>
      </w:r>
      <w:r>
        <w:t xml:space="preserve"> </w:t>
      </w:r>
      <w:r w:rsidRPr="00D226C8">
        <w:t xml:space="preserve">informed of the progress of the criminal proceedings and the custodial status of the witnesses.” </w:t>
      </w:r>
      <w:r w:rsidRPr="00D226C8">
        <w:rPr>
          <w:i/>
          <w:iCs/>
        </w:rPr>
        <w:t>Id</w:t>
      </w:r>
      <w:r w:rsidRPr="00D226C8">
        <w:t xml:space="preserve">. at 205.  The Court of Appeals held that a prosecutor sued “for failing to notify the relevant authorities that the proceedings in which the detained individual was to testify had been continued for nearly four months,” </w:t>
      </w:r>
      <w:r w:rsidRPr="00D226C8">
        <w:rPr>
          <w:i/>
          <w:iCs/>
        </w:rPr>
        <w:t>id</w:t>
      </w:r>
      <w:r w:rsidRPr="00D226C8">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D226C8">
        <w:rPr>
          <w:i/>
          <w:iCs/>
        </w:rPr>
        <w:t>Id</w:t>
      </w:r>
      <w:r w:rsidRPr="00D226C8">
        <w:t>. at 212</w:t>
      </w:r>
      <w:r w:rsidRPr="00D226C8">
        <w:noBreakHyphen/>
        <w:t xml:space="preserve">13.  The </w:t>
      </w:r>
      <w:r w:rsidRPr="00D226C8">
        <w:rPr>
          <w:i/>
          <w:iCs/>
        </w:rPr>
        <w:t xml:space="preserve">Odd </w:t>
      </w:r>
      <w:r w:rsidRPr="00D226C8">
        <w:t xml:space="preserve">court also held (a fortiori) that a different prosecutor sued “for failing to notify the relevant authorities that the material witness remained incarcerated after the case in which he was to testify had been dismissed,” </w:t>
      </w:r>
      <w:r w:rsidRPr="00D226C8">
        <w:rPr>
          <w:i/>
          <w:iCs/>
        </w:rPr>
        <w:t>id</w:t>
      </w:r>
      <w:r w:rsidRPr="00D226C8">
        <w:t xml:space="preserve">. at 205, lacked absolute prosecutorial immunity.  </w:t>
      </w:r>
      <w:r w:rsidRPr="00D226C8">
        <w:rPr>
          <w:i/>
          <w:iCs/>
        </w:rPr>
        <w:t xml:space="preserve">See id. </w:t>
      </w:r>
      <w:r w:rsidRPr="00D226C8">
        <w:t xml:space="preserve">at 215.  In </w:t>
      </w:r>
      <w:r w:rsidRPr="00D226C8">
        <w:rPr>
          <w:i/>
          <w:iCs/>
        </w:rPr>
        <w:t>Schneyder v. Smith</w:t>
      </w:r>
      <w:r w:rsidRPr="00D226C8">
        <w:t xml:space="preserve">, 653 F.3d 313 (3d Cir. 2011), the Court of Appeals on a subsequent appeal adhered to its ruling that the prosecutor who allegedly failed to inform the court of the trial continuance lacked absolute immunity, </w:t>
      </w:r>
      <w:r w:rsidRPr="00D226C8">
        <w:rPr>
          <w:i/>
          <w:iCs/>
        </w:rPr>
        <w:t xml:space="preserve">see id. </w:t>
      </w:r>
      <w:r w:rsidRPr="00D226C8">
        <w:t xml:space="preserve">at 333-34.  The </w:t>
      </w:r>
      <w:r w:rsidRPr="00D226C8">
        <w:rPr>
          <w:i/>
          <w:iCs/>
        </w:rPr>
        <w:t xml:space="preserve">Schneyder </w:t>
      </w:r>
      <w:r w:rsidRPr="00D226C8">
        <w:t xml:space="preserve">court reasoned that its ruling in </w:t>
      </w:r>
      <w:r w:rsidRPr="00D226C8">
        <w:rPr>
          <w:i/>
          <w:iCs/>
        </w:rPr>
        <w:t xml:space="preserve">Odd </w:t>
      </w:r>
      <w:r w:rsidRPr="00D226C8">
        <w:t xml:space="preserve">was consistent with the Supreme Court’s subsequent decision in </w:t>
      </w:r>
      <w:r w:rsidRPr="00D226C8">
        <w:rPr>
          <w:i/>
          <w:iCs/>
        </w:rPr>
        <w:t>Van de Kamp v. Goldstein</w:t>
      </w:r>
      <w:r w:rsidRPr="00D226C8">
        <w:t xml:space="preserve">, 129 S. Ct. 855 (2009).  Under </w:t>
      </w:r>
      <w:r w:rsidRPr="00D226C8">
        <w:rPr>
          <w:i/>
          <w:iCs/>
        </w:rPr>
        <w:t>Van de Kamp</w:t>
      </w:r>
      <w:r w:rsidRPr="00D226C8">
        <w:t xml:space="preserve">, “some administrative functions relate directly to the conduct of a criminal trial and are thus protected, while others ... are connected to trial only distantly (if at all) and are therefore not subject to immunity.”  </w:t>
      </w:r>
      <w:r w:rsidRPr="00D226C8">
        <w:rPr>
          <w:i/>
          <w:iCs/>
        </w:rPr>
        <w:t>Schneyder</w:t>
      </w:r>
      <w:r w:rsidRPr="00D226C8">
        <w:t xml:space="preserve">, 653 F.3d at 334.  The </w:t>
      </w:r>
      <w:r w:rsidRPr="00D226C8">
        <w:rPr>
          <w:i/>
          <w:iCs/>
        </w:rPr>
        <w:t xml:space="preserve">Schneyder </w:t>
      </w:r>
      <w:r w:rsidRPr="00D226C8">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D226C8">
        <w:rPr>
          <w:i/>
          <w:iCs/>
        </w:rPr>
        <w:t>Van de Kamp</w:t>
      </w:r>
      <w:r w:rsidRPr="00D226C8">
        <w:t xml:space="preserve">.”  </w:t>
      </w:r>
      <w:r w:rsidRPr="00D226C8">
        <w:rPr>
          <w:i/>
          <w:iCs/>
        </w:rPr>
        <w:t>Schneyder</w:t>
      </w:r>
      <w:r w:rsidRPr="00D226C8">
        <w:t>, 653 F.3d at 334.</w:t>
      </w:r>
    </w:p>
    <w:p w14:paraId="4105F3F5" w14:textId="77777777" w:rsidR="00E77E6F" w:rsidRPr="00D226C8" w:rsidRDefault="00E77E6F" w:rsidP="00F506A3">
      <w:pPr>
        <w:ind w:firstLine="720"/>
        <w:mirrorIndents/>
      </w:pPr>
    </w:p>
  </w:footnote>
  <w:footnote w:id="94">
    <w:p w14:paraId="1C6CDA05" w14:textId="77777777" w:rsidR="00E77E6F" w:rsidRPr="00D226C8" w:rsidRDefault="00E77E6F" w:rsidP="00F506A3">
      <w:pPr>
        <w:spacing w:after="240"/>
        <w:ind w:firstLine="720"/>
        <w:mirrorIndents/>
      </w:pPr>
      <w:r w:rsidRPr="00D226C8">
        <w:rPr>
          <w:rStyle w:val="FootnoteReference"/>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95">
    <w:p w14:paraId="16F4A765" w14:textId="77777777" w:rsidR="00E77E6F" w:rsidRPr="00D226C8" w:rsidRDefault="00E77E6F" w:rsidP="00F506A3">
      <w:pPr>
        <w:spacing w:after="240"/>
        <w:ind w:firstLine="720"/>
        <w:mirrorIndents/>
      </w:pPr>
      <w:r w:rsidRPr="00D226C8">
        <w:rPr>
          <w:rStyle w:val="FootnoteReference"/>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96">
    <w:p w14:paraId="42C67C4C"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Bogan</w:t>
      </w:r>
      <w:r w:rsidRPr="00D226C8">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D226C8">
        <w:rPr>
          <w:i/>
          <w:iCs/>
        </w:rPr>
        <w:t>substance</w:t>
      </w:r>
      <w:r w:rsidRPr="00D226C8">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D226C8">
        <w:rPr>
          <w:i/>
          <w:iCs/>
        </w:rPr>
        <w:t>Bogan</w:t>
      </w:r>
      <w:r w:rsidRPr="00D226C8">
        <w:t xml:space="preserve">, 523 U.S. at 55. </w:t>
      </w:r>
    </w:p>
  </w:footnote>
  <w:footnote w:id="97">
    <w:p w14:paraId="539B48B3" w14:textId="77777777" w:rsidR="00E77E6F" w:rsidRPr="00D226C8" w:rsidRDefault="00E77E6F" w:rsidP="00F506A3">
      <w:pPr>
        <w:ind w:firstLine="720"/>
        <w:mirrorIndents/>
      </w:pPr>
      <w:r w:rsidRPr="00D226C8">
        <w:rPr>
          <w:rStyle w:val="FootnoteReference"/>
        </w:rPr>
        <w:footnoteRef/>
      </w:r>
      <w:r w:rsidRPr="00D226C8">
        <w:t xml:space="preserve">  The Court of Appeals stated (in a case concerning claims against state legislators) that </w:t>
      </w:r>
      <w:r w:rsidRPr="00D226C8">
        <w:rPr>
          <w:i/>
          <w:iCs/>
        </w:rPr>
        <w:t>Bogan</w:t>
      </w:r>
    </w:p>
    <w:p w14:paraId="0740D3BF" w14:textId="77777777" w:rsidR="00E77E6F" w:rsidRPr="00D226C8" w:rsidRDefault="00E77E6F" w:rsidP="00F506A3">
      <w:pPr>
        <w:ind w:firstLine="720"/>
        <w:mirrorIndents/>
      </w:pPr>
    </w:p>
    <w:p w14:paraId="5D07FC42" w14:textId="77777777" w:rsidR="00E77E6F" w:rsidRPr="00D226C8" w:rsidRDefault="00E77E6F" w:rsidP="00F506A3">
      <w:pPr>
        <w:ind w:left="720" w:right="720"/>
        <w:mirrorIndents/>
      </w:pPr>
      <w:r w:rsidRPr="00D226C8">
        <w:t>casts doubt on the propriety of using any separate test to examine municipal</w:t>
      </w:r>
      <w:r w:rsidRPr="00D226C8">
        <w:noBreakHyphen/>
        <w:t xml:space="preserve">level legislative immunity, </w:t>
      </w:r>
      <w:r w:rsidRPr="00D226C8">
        <w:rPr>
          <w:i/>
          <w:iCs/>
        </w:rPr>
        <w:t>see Bogan</w:t>
      </w:r>
      <w:r w:rsidRPr="00D226C8">
        <w:t>, 523 U.S. at 49 . . .  (holding that local legislators are ‘likewise’ absolutely immune from suit under § 1983), particularly a two</w:t>
      </w:r>
      <w:r w:rsidRPr="00D226C8">
        <w:noBreakHyphen/>
        <w:t xml:space="preserve">part, substance/procedure test, </w:t>
      </w:r>
      <w:r w:rsidRPr="00D226C8">
        <w:rPr>
          <w:i/>
          <w:iCs/>
        </w:rPr>
        <w:t xml:space="preserve">id. </w:t>
      </w:r>
      <w:r w:rsidRPr="00D226C8">
        <w:t>at 55 . . . (refusing to require that an act must be ‘legislative in substance’ as well as of ‘formally legislative character’ in order to be a legislative act).</w:t>
      </w:r>
    </w:p>
    <w:p w14:paraId="166560D2" w14:textId="77777777" w:rsidR="00E77E6F" w:rsidRPr="00D226C8" w:rsidRDefault="00E77E6F" w:rsidP="00F506A3">
      <w:pPr>
        <w:ind w:firstLine="720"/>
        <w:mirrorIndents/>
      </w:pPr>
    </w:p>
    <w:p w14:paraId="4A4020E5" w14:textId="77777777" w:rsidR="00E77E6F" w:rsidRPr="00D226C8" w:rsidRDefault="00E77E6F" w:rsidP="00F506A3">
      <w:pPr>
        <w:spacing w:after="240"/>
        <w:mirrorIndents/>
      </w:pPr>
      <w:r w:rsidRPr="00D226C8">
        <w:rPr>
          <w:i/>
          <w:iCs/>
        </w:rPr>
        <w:t>Youngblood v. DeWeese</w:t>
      </w:r>
      <w:r w:rsidRPr="00D226C8">
        <w:t xml:space="preserve">, 352 F.3d 836, 841 n.4 (2004); </w:t>
      </w:r>
      <w:r w:rsidRPr="00D226C8">
        <w:rPr>
          <w:i/>
          <w:iCs/>
        </w:rPr>
        <w:t>see also Fowler</w:t>
      </w:r>
      <w:r w:rsidRPr="00D226C8">
        <w:rPr>
          <w:i/>
          <w:iCs/>
        </w:rPr>
        <w:noBreakHyphen/>
        <w:t>Nash v. Democratic Caucus of Pa. House of Representatives</w:t>
      </w:r>
      <w:r w:rsidRPr="00D226C8">
        <w:t xml:space="preserve">, 469 F.3d 328, 339 (3d Cir. 2006) (stating, in a suit against state officials, that the </w:t>
      </w:r>
      <w:r w:rsidRPr="00D226C8">
        <w:rPr>
          <w:i/>
          <w:iCs/>
        </w:rPr>
        <w:t>Bogan</w:t>
      </w:r>
      <w:r w:rsidRPr="00D226C8">
        <w:t xml:space="preserve"> Court “refused to insist that formally legislative acts, such as passing legislation, also be ‘legislative in </w:t>
      </w:r>
      <w:r w:rsidRPr="00D226C8">
        <w:rPr>
          <w:i/>
          <w:iCs/>
        </w:rPr>
        <w:t>substance</w:t>
      </w:r>
      <w:r w:rsidRPr="00D226C8">
        <w:t>’”).</w:t>
      </w:r>
    </w:p>
  </w:footnote>
  <w:footnote w:id="98">
    <w:p w14:paraId="193ACB68" w14:textId="77777777" w:rsidR="00E77E6F" w:rsidRPr="00D226C8" w:rsidRDefault="00E77E6F" w:rsidP="00F506A3">
      <w:pPr>
        <w:spacing w:after="240"/>
        <w:ind w:firstLine="720"/>
        <w:mirrorIndents/>
      </w:pPr>
      <w:r w:rsidRPr="00D226C8">
        <w:rPr>
          <w:rStyle w:val="FootnoteReference"/>
        </w:rPr>
        <w:footnoteRef/>
      </w:r>
      <w:r w:rsidRPr="00D226C8">
        <w:t xml:space="preserve">  Prior to </w:t>
      </w:r>
      <w:r w:rsidRPr="00D226C8">
        <w:rPr>
          <w:i/>
          <w:iCs/>
        </w:rPr>
        <w:t>Baraka</w:t>
      </w:r>
      <w:r w:rsidRPr="00D226C8">
        <w:t xml:space="preserve">, the Court of Appeals had observed in </w:t>
      </w:r>
      <w:r w:rsidRPr="00D226C8">
        <w:rPr>
          <w:i/>
          <w:iCs/>
        </w:rPr>
        <w:t>Fowler</w:t>
      </w:r>
      <w:r w:rsidRPr="00D226C8">
        <w:rPr>
          <w:i/>
          <w:iCs/>
        </w:rPr>
        <w:noBreakHyphen/>
        <w:t>Nash v. Democratic Caucus of Pa. House of Representatives</w:t>
      </w:r>
      <w:r w:rsidRPr="00D226C8">
        <w:t xml:space="preserve">, 469 F.3d 328, 338 (3d Cir. 2006), that cases concerning local officials can be “instructive” in the court’s analysis of whether a state official’s actions were legislative in nature.  </w:t>
      </w:r>
      <w:r w:rsidRPr="00D226C8">
        <w:rPr>
          <w:i/>
          <w:iCs/>
        </w:rPr>
        <w:t xml:space="preserve">See also id. </w:t>
      </w:r>
      <w:r w:rsidRPr="00D226C8">
        <w:t xml:space="preserve">at 332 (describing the “functional” test for legislative immunity); </w:t>
      </w:r>
      <w:r w:rsidRPr="00D226C8">
        <w:rPr>
          <w:i/>
          <w:iCs/>
        </w:rPr>
        <w:t>id.</w:t>
      </w:r>
      <w:r w:rsidRPr="00D226C8">
        <w:t xml:space="preserve"> at 340 (holding that firing of state representative’s legislative assistant was administrative rather than legislative act).  And another post-</w:t>
      </w:r>
      <w:r w:rsidRPr="00D226C8">
        <w:rPr>
          <w:i/>
          <w:iCs/>
        </w:rPr>
        <w:t>Larsen</w:t>
      </w:r>
      <w:r w:rsidRPr="00D226C8">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D226C8">
        <w:rPr>
          <w:i/>
          <w:iCs/>
        </w:rPr>
        <w:t>See</w:t>
      </w:r>
      <w:r w:rsidRPr="00D226C8">
        <w:t xml:space="preserve"> </w:t>
      </w:r>
      <w:r w:rsidRPr="00D226C8">
        <w:rPr>
          <w:i/>
          <w:iCs/>
        </w:rPr>
        <w:t>Gallas v. Supreme Court of Pennsylvania</w:t>
      </w:r>
      <w:r w:rsidRPr="00D226C8">
        <w:t xml:space="preserve">, 211 F.3d 760, 776-77 (3d Cir. 2000).  </w:t>
      </w:r>
      <w:r w:rsidRPr="00D226C8">
        <w:rPr>
          <w:i/>
          <w:iCs/>
        </w:rPr>
        <w:t>Gallas</w:t>
      </w:r>
      <w:r w:rsidRPr="00D226C8">
        <w:t xml:space="preserve"> involved a question of legislative immunity because the plaintiff challenged a Pennsylvania Supreme Court order that eliminated the position of Executive Administrator of the First Judicial District of Pennsylvania.  </w:t>
      </w:r>
      <w:r w:rsidRPr="00D226C8">
        <w:rPr>
          <w:i/>
          <w:iCs/>
        </w:rPr>
        <w:t>See id.</w:t>
      </w:r>
      <w:r w:rsidRPr="00D226C8">
        <w:t xml:space="preserve"> at 766.</w:t>
      </w:r>
    </w:p>
  </w:footnote>
  <w:footnote w:id="99">
    <w:p w14:paraId="7F9A22E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100">
    <w:p w14:paraId="0EA6F81E" w14:textId="3B74B66A" w:rsidR="00E77E6F" w:rsidRPr="00563443" w:rsidRDefault="00E77E6F" w:rsidP="00F506A3">
      <w:pPr>
        <w:shd w:val="clear" w:color="auto" w:fill="FFFFFF" w:themeFill="background1"/>
        <w:spacing w:after="240"/>
        <w:ind w:firstLine="720"/>
        <w:mirrorIndents/>
      </w:pPr>
      <w:r w:rsidRPr="00FE1314">
        <w:rPr>
          <w:rStyle w:val="FootnoteReference"/>
        </w:rPr>
        <w:footnoteRef/>
      </w:r>
      <w:r w:rsidRPr="00FE1314">
        <w:rPr>
          <w:vertAlign w:val="superscript"/>
        </w:rPr>
        <w:t xml:space="preserve"> </w:t>
      </w:r>
      <w:r w:rsidRPr="00563443">
        <w:t xml:space="preserve"> Violation of a clearly established </w:t>
      </w:r>
      <w:r w:rsidRPr="00563443">
        <w:rPr>
          <w:i/>
        </w:rPr>
        <w:t>state-law</w:t>
      </w:r>
      <w:r w:rsidRPr="00563443">
        <w:t xml:space="preserve"> right does not defeat qualified immunity regarding the violation of federal law. </w:t>
      </w:r>
      <w:r w:rsidRPr="00563443">
        <w:rPr>
          <w:i/>
        </w:rPr>
        <w:t>Davis v. Scherer</w:t>
      </w:r>
      <w:r w:rsidRPr="00563443">
        <w:t xml:space="preserve">, 468 U.S. 183, 194 (1984). Nor do actions contrary to the officer’s training themselves “negate qualified immunity where it would otherwise be warranted.”  </w:t>
      </w:r>
      <w:r w:rsidRPr="00563443">
        <w:rPr>
          <w:i/>
        </w:rPr>
        <w:t>City &amp; Cnty. of San Francisco, Calif. v. Sheehan</w:t>
      </w:r>
      <w:r w:rsidRPr="00563443">
        <w:t>, 135 S. Ct. 1765, 1777 (2015); c</w:t>
      </w:r>
      <w:r w:rsidRPr="00563443">
        <w:rPr>
          <w:i/>
        </w:rPr>
        <w:t>f.</w:t>
      </w:r>
      <w:r>
        <w:rPr>
          <w:i/>
        </w:rPr>
        <w:t xml:space="preserve"> </w:t>
      </w:r>
      <w:r w:rsidRPr="00F07BC2">
        <w:rPr>
          <w:i/>
        </w:rPr>
        <w:t>E. D. v. Sharkey</w:t>
      </w:r>
      <w:r w:rsidRPr="00F07BC2">
        <w:t xml:space="preserve">, </w:t>
      </w:r>
      <w:r w:rsidR="00F07BC2" w:rsidRPr="00F07BC2">
        <w:t>928 F.3d 299, 30</w:t>
      </w:r>
      <w:r w:rsidR="00F07BC2">
        <w:t>8</w:t>
      </w:r>
      <w:r w:rsidR="00F07BC2" w:rsidRPr="00F07BC2">
        <w:t xml:space="preserve"> (3d Cir. 2019) </w:t>
      </w:r>
      <w:r w:rsidRPr="00F07BC2">
        <w:t>(relying on the criminality of the conduct under state law to reject qualified immunity);</w:t>
      </w:r>
      <w:r w:rsidRPr="00D07D51">
        <w:t xml:space="preserve"> </w:t>
      </w:r>
      <w:r w:rsidRPr="00563443">
        <w:rPr>
          <w:i/>
        </w:rPr>
        <w:t>Young v. Martin</w:t>
      </w:r>
      <w:r w:rsidRPr="00563443">
        <w:t>, 801 F.3d 172 (3d Cir. 2015) (holding that knowledge that one is violating prison regulations is relevant to determining whether defendants had fair warning that their treatment of an inmate was unconstitutional).</w:t>
      </w:r>
    </w:p>
  </w:footnote>
  <w:footnote w:id="101">
    <w:p w14:paraId="59564779" w14:textId="21BD8F18" w:rsidR="00E77E6F" w:rsidRPr="00886831" w:rsidRDefault="00E77E6F" w:rsidP="00F506A3">
      <w:pPr>
        <w:pStyle w:val="FootnoteText"/>
        <w:shd w:val="clear" w:color="auto" w:fill="FFFFFF" w:themeFill="background1"/>
        <w:ind w:firstLine="720"/>
        <w:mirrorIndents/>
        <w:jc w:val="left"/>
      </w:pPr>
      <w:r w:rsidRPr="00FE1314">
        <w:rPr>
          <w:rStyle w:val="FootnoteReference"/>
        </w:rPr>
        <w:footnoteRef/>
      </w:r>
      <w:r w:rsidRPr="00563443">
        <w:t xml:space="preserve"> </w:t>
      </w:r>
      <w:r w:rsidRPr="00886831">
        <w:t xml:space="preserve">See </w:t>
      </w:r>
      <w:r w:rsidRPr="00886831">
        <w:rPr>
          <w:i/>
          <w:iCs/>
        </w:rPr>
        <w:t>Pearson</w:t>
      </w:r>
      <w:r w:rsidRPr="00886831">
        <w:t xml:space="preserve">, 555 U.S. at 236-43 (discussing relevant factors in exercising this discretion); </w:t>
      </w:r>
      <w:r w:rsidRPr="00886831">
        <w:rPr>
          <w:i/>
        </w:rPr>
        <w:t>Plumhoff v. Rickard,</w:t>
      </w:r>
      <w:r w:rsidRPr="00886831">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 </w:t>
      </w:r>
      <w:r w:rsidRPr="00886831">
        <w:rPr>
          <w:i/>
        </w:rPr>
        <w:t>City &amp; Cnty. of San Francisco v. Sheehan</w:t>
      </w:r>
      <w:r w:rsidRPr="00886831">
        <w:t xml:space="preserve">, 135 S. Ct. 1765, 1775 (2015) (declining to address the Fourth Amendment issue “because this question has not been adequately briefed”); </w:t>
      </w:r>
      <w:r w:rsidRPr="00886831">
        <w:rPr>
          <w:i/>
        </w:rPr>
        <w:t>Wesby</w:t>
      </w:r>
      <w:r w:rsidRPr="00886831">
        <w:t xml:space="preserve">, 138 S. Ct. at 589, n.7 (reaching the merits because “a decision on qualified immunity alone would not have resolved all of the claims”). Compare </w:t>
      </w:r>
      <w:r w:rsidRPr="00886831">
        <w:rPr>
          <w:i/>
        </w:rPr>
        <w:t>Zalogo v. Borough of Moosic</w:t>
      </w:r>
      <w:r w:rsidRPr="00886831">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886831">
        <w:rPr>
          <w:i/>
        </w:rPr>
        <w:t>Williams v. Sec’y Pennsylvania Dep’t of Corr.</w:t>
      </w:r>
      <w:r w:rsidRPr="00886831">
        <w:t xml:space="preserve">, 848 F.3d 549, 558 (3d Cir. 2017) (deciding to address the merits of the underlying constitution question because of its salience “to the ongoing societal debate about solitary confinement” and to provide “clear statements about what the law allows” to prison officials) and </w:t>
      </w:r>
      <w:r w:rsidRPr="00886831">
        <w:rPr>
          <w:i/>
        </w:rPr>
        <w:t>Fields v. City of Philadelphia</w:t>
      </w:r>
      <w:r w:rsidRPr="00886831">
        <w:t xml:space="preserve">, 862 F.3d 353, 357-58 (3d Cir. 2017) (reaching the merits of first amendment issue because of the recurrence of the issue, the ubiquity of smartphones, the contribution of police recordings to national discussion of proper policing, and the excellent briefing in the case). </w:t>
      </w:r>
      <w:r w:rsidRPr="00886831">
        <w:rPr>
          <w:i/>
        </w:rPr>
        <w:t xml:space="preserve">See also </w:t>
      </w:r>
      <w:r w:rsidRPr="00886831">
        <w:rPr>
          <w:i/>
          <w:iCs/>
        </w:rPr>
        <w:t>Egolf v. Witmer</w:t>
      </w:r>
      <w:r w:rsidRPr="00886831">
        <w:t xml:space="preserve">, 526 F.3d 104, 110 (3d Cir. 2008) (holding, even prior to </w:t>
      </w:r>
      <w:r w:rsidRPr="00886831">
        <w:rPr>
          <w:i/>
          <w:iCs/>
        </w:rPr>
        <w:t>Pearson</w:t>
      </w:r>
      <w:r w:rsidRPr="00886831">
        <w:t xml:space="preserve">, that “the underlying principle of law elaboration is not meaningfully advanced in situations . . . when the definition of constitutional rights depends on a federal court's uncertain assumptions about state law”); </w:t>
      </w:r>
      <w:r w:rsidRPr="00886831">
        <w:rPr>
          <w:i/>
          <w:iCs/>
        </w:rPr>
        <w:t>Montanez v. Thompson</w:t>
      </w:r>
      <w:r w:rsidRPr="00886831">
        <w:t xml:space="preserve">, 603 F.3d 243, 251 (3d Cir. 2010) (following </w:t>
      </w:r>
      <w:r w:rsidRPr="00886831">
        <w:rPr>
          <w:i/>
        </w:rPr>
        <w:t>Egolf</w:t>
      </w:r>
      <w:r w:rsidRPr="00886831">
        <w:t xml:space="preserve"> after </w:t>
      </w:r>
      <w:r w:rsidRPr="00886831">
        <w:rPr>
          <w:i/>
          <w:iCs/>
        </w:rPr>
        <w:t>Pearson</w:t>
      </w:r>
      <w:r w:rsidRPr="00886831">
        <w:t xml:space="preserve">). </w:t>
      </w:r>
    </w:p>
  </w:footnote>
  <w:footnote w:id="102">
    <w:p w14:paraId="28C2FDFC"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103">
    <w:p w14:paraId="5B967F0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 Estate of Smith v. Marasco</w:t>
      </w:r>
      <w:r w:rsidRPr="00D226C8">
        <w:t xml:space="preserve">,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104">
    <w:p w14:paraId="3794A250" w14:textId="5FD6AD01" w:rsidR="00E77E6F" w:rsidRPr="00D226C8" w:rsidRDefault="00E77E6F" w:rsidP="00F506A3">
      <w:pPr>
        <w:spacing w:after="240"/>
        <w:ind w:firstLine="720"/>
        <w:mirrorIndents/>
      </w:pPr>
      <w:r w:rsidRPr="00D226C8">
        <w:rPr>
          <w:rStyle w:val="FootnoteReference"/>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n.12 (3d Cir. 2005) (citing </w:t>
      </w:r>
      <w:r w:rsidRPr="00D226C8">
        <w:rPr>
          <w:i/>
          <w:iCs/>
        </w:rPr>
        <w:t>Carswell</w:t>
      </w:r>
      <w:r w:rsidRPr="00D226C8">
        <w:t xml:space="preserve"> and </w:t>
      </w:r>
      <w:r w:rsidRPr="00D226C8">
        <w:rPr>
          <w:i/>
          <w:iCs/>
        </w:rPr>
        <w:t>Curley I</w:t>
      </w:r>
      <w:r w:rsidRPr="00D226C8">
        <w:t xml:space="preserve"> with approval).</w:t>
      </w:r>
    </w:p>
  </w:footnote>
  <w:footnote w:id="105">
    <w:p w14:paraId="5C239E51" w14:textId="77777777" w:rsidR="00E77E6F" w:rsidRPr="00D226C8" w:rsidRDefault="00E77E6F" w:rsidP="00F506A3">
      <w:pPr>
        <w:spacing w:after="240"/>
        <w:ind w:firstLine="720"/>
        <w:mirrorIndents/>
      </w:pPr>
      <w:r w:rsidRPr="00D226C8">
        <w:rPr>
          <w:rStyle w:val="FootnoteReference"/>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106">
    <w:p w14:paraId="5D7D7FA9" w14:textId="77777777" w:rsidR="00E77E6F" w:rsidRPr="00D226C8" w:rsidRDefault="00E77E6F" w:rsidP="00F506A3">
      <w:pPr>
        <w:spacing w:after="240"/>
        <w:ind w:firstLine="720"/>
        <w:mirrorIndents/>
      </w:pPr>
      <w:r w:rsidRPr="00D226C8">
        <w:rPr>
          <w:rStyle w:val="FootnoteReference"/>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107">
    <w:p w14:paraId="3297685D" w14:textId="77777777" w:rsidR="00E77E6F" w:rsidRPr="00D226C8" w:rsidRDefault="00E77E6F" w:rsidP="00F506A3">
      <w:pPr>
        <w:spacing w:after="240"/>
        <w:ind w:firstLine="720"/>
        <w:mirrorIndents/>
      </w:pPr>
      <w:r w:rsidRPr="00D226C8">
        <w:rPr>
          <w:rStyle w:val="FootnoteReference"/>
        </w:rPr>
        <w:footnoteRef/>
      </w:r>
      <w:r w:rsidRPr="00D226C8">
        <w:t xml:space="preserve">  For a further discussion of burdens of proof in this context, </w:t>
      </w:r>
      <w:r w:rsidRPr="00D226C8">
        <w:rPr>
          <w:i/>
          <w:iCs/>
        </w:rPr>
        <w:t xml:space="preserve">see supra </w:t>
      </w:r>
      <w:r w:rsidRPr="00D226C8">
        <w:t>Comment 4.2.</w:t>
      </w:r>
    </w:p>
  </w:footnote>
  <w:footnote w:id="108">
    <w:p w14:paraId="023408C8" w14:textId="58A34D5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r>
        <w:t xml:space="preserve"> </w:t>
      </w:r>
      <w:r w:rsidRPr="00D226C8">
        <w:t>(“It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E77E6F" w:rsidRPr="00D226C8" w:rsidRDefault="00E77E6F" w:rsidP="00F506A3">
      <w:pPr>
        <w:ind w:firstLine="720"/>
        <w:mirrorIndents/>
      </w:pPr>
    </w:p>
    <w:p w14:paraId="160BF552" w14:textId="47E94495" w:rsidR="00E77E6F" w:rsidRDefault="00E77E6F" w:rsidP="00F506A3">
      <w:pPr>
        <w:ind w:firstLine="720"/>
        <w:mirrorIndents/>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457 U.S. at 821 (Brennan, J., joined by Marshall &amp; Blackmun, JJ., concurring).  The quoted language from the majority opinion, however, appears to refer to cases in which the defendant’s conduct in fact violated clearly established law:</w:t>
      </w:r>
    </w:p>
    <w:p w14:paraId="5AF8E424" w14:textId="77777777" w:rsidR="00E77E6F" w:rsidRPr="00D226C8" w:rsidRDefault="00E77E6F" w:rsidP="00F506A3">
      <w:pPr>
        <w:ind w:firstLine="720"/>
        <w:mirrorIndents/>
      </w:pPr>
    </w:p>
    <w:p w14:paraId="63CF1857" w14:textId="77777777" w:rsidR="00E77E6F" w:rsidRPr="00D226C8" w:rsidRDefault="00E77E6F" w:rsidP="00F506A3">
      <w:pPr>
        <w:ind w:left="720" w:right="720" w:firstLine="720"/>
        <w:mirrorIndents/>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E77E6F" w:rsidRPr="00D226C8" w:rsidRDefault="00E77E6F" w:rsidP="00F506A3">
      <w:pPr>
        <w:ind w:firstLine="720"/>
        <w:mirrorIndents/>
      </w:pPr>
    </w:p>
    <w:p w14:paraId="75865636" w14:textId="77777777" w:rsidR="00E77E6F" w:rsidRPr="00D226C8" w:rsidRDefault="00E77E6F" w:rsidP="00F506A3">
      <w:pPr>
        <w:mirrorIndents/>
      </w:pPr>
      <w:r w:rsidRPr="00D226C8">
        <w:rPr>
          <w:i/>
          <w:iCs/>
        </w:rPr>
        <w:t>Harlow</w:t>
      </w:r>
      <w:r w:rsidRPr="00D226C8">
        <w:t>, 457 U.S. at 818-19.</w:t>
      </w:r>
    </w:p>
    <w:p w14:paraId="3DA6597E" w14:textId="77777777" w:rsidR="00E77E6F" w:rsidRPr="00D226C8" w:rsidRDefault="00E77E6F" w:rsidP="00F506A3">
      <w:pPr>
        <w:ind w:firstLine="720"/>
        <w:mirrorIndents/>
      </w:pPr>
    </w:p>
    <w:p w14:paraId="31C404A0" w14:textId="309B24DC" w:rsidR="00E77E6F" w:rsidRPr="00D226C8" w:rsidRDefault="00E77E6F" w:rsidP="00F506A3">
      <w:pPr>
        <w:spacing w:after="240"/>
        <w:ind w:firstLine="720"/>
        <w:mirrorIndents/>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r w:rsidRPr="00545968">
        <w:rPr>
          <w:i/>
          <w:iCs/>
        </w:rPr>
        <w:t xml:space="preserve"> </w:t>
      </w:r>
      <w:r w:rsidRPr="00042D53">
        <w:rPr>
          <w:i/>
          <w:iCs/>
        </w:rPr>
        <w:t>Cf. Bryan v. United States</w:t>
      </w:r>
      <w:r w:rsidRPr="00042D53">
        <w:rPr>
          <w:iCs/>
        </w:rPr>
        <w:t>, 913 F.3d 356, 363 (3d Cir. 2019) (holding, in a case where the challenged action happened within days after a court of appeals decision recognizing a right, that “a legal principle does not become ‘clearly established’ the day we announce a decision, or even one or two days later,” rather than holding that the law was clearly established but that in such circumstances the defendants “neither knew nor should have known of the relevant legal standard”).</w:t>
      </w:r>
    </w:p>
  </w:footnote>
  <w:footnote w:id="109">
    <w:p w14:paraId="47F23D6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10">
    <w:p w14:paraId="332A52A3"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E77E6F" w:rsidRPr="00D226C8" w:rsidRDefault="00E77E6F" w:rsidP="00F506A3">
      <w:pPr>
        <w:ind w:firstLine="720"/>
        <w:mirrorIndents/>
      </w:pPr>
    </w:p>
    <w:p w14:paraId="19AE6ED6" w14:textId="77777777" w:rsidR="00E77E6F" w:rsidRPr="00D226C8" w:rsidRDefault="00E77E6F" w:rsidP="00F506A3">
      <w:pPr>
        <w:ind w:firstLine="720"/>
        <w:mirrorIndents/>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E77E6F" w:rsidRPr="00D226C8" w:rsidRDefault="00E77E6F" w:rsidP="00F506A3">
      <w:pPr>
        <w:ind w:firstLine="720"/>
        <w:mirrorIndents/>
      </w:pPr>
    </w:p>
    <w:p w14:paraId="2613FEBD" w14:textId="77777777" w:rsidR="00E77E6F" w:rsidRPr="00D226C8" w:rsidRDefault="00E77E6F" w:rsidP="00F506A3">
      <w:pPr>
        <w:ind w:left="720" w:right="720" w:firstLine="720"/>
        <w:mirrorIndents/>
      </w:pPr>
      <w:r w:rsidRPr="00D226C8">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E77E6F" w:rsidRPr="00D226C8" w:rsidRDefault="00E77E6F" w:rsidP="00F506A3">
      <w:pPr>
        <w:ind w:firstLine="720"/>
        <w:mirrorIndents/>
      </w:pPr>
    </w:p>
    <w:p w14:paraId="3B2F5FB7" w14:textId="77777777" w:rsidR="00E77E6F" w:rsidRPr="00D226C8" w:rsidRDefault="00E77E6F" w:rsidP="00F506A3">
      <w:pPr>
        <w:spacing w:after="240"/>
        <w:mirrorIndents/>
      </w:pPr>
      <w:r w:rsidRPr="00D226C8">
        <w:rPr>
          <w:i/>
          <w:iCs/>
        </w:rPr>
        <w:t>Johnson v. Breeden</w:t>
      </w:r>
      <w:r w:rsidRPr="00D226C8">
        <w:t>, 280 F.3d 1308, 1321-22 (11th Cir. 2002).</w:t>
      </w:r>
    </w:p>
  </w:footnote>
  <w:footnote w:id="111">
    <w:p w14:paraId="2377B4A4" w14:textId="77777777" w:rsidR="00E77E6F" w:rsidRPr="00D226C8" w:rsidRDefault="00E77E6F" w:rsidP="00F506A3">
      <w:pPr>
        <w:ind w:firstLine="720"/>
        <w:mirrorIndents/>
      </w:pPr>
      <w:r w:rsidRPr="00D226C8">
        <w:rPr>
          <w:rStyle w:val="FootnoteReference"/>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E77E6F" w:rsidRPr="00D226C8" w:rsidRDefault="00E77E6F" w:rsidP="00F506A3">
      <w:pPr>
        <w:ind w:firstLine="720"/>
        <w:mirrorIndents/>
      </w:pPr>
    </w:p>
    <w:p w14:paraId="08C6FE70" w14:textId="77777777" w:rsidR="00E77E6F" w:rsidRPr="00D226C8" w:rsidRDefault="00E77E6F" w:rsidP="00F506A3">
      <w:pPr>
        <w:ind w:firstLine="720"/>
        <w:mirrorIndents/>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E77E6F" w:rsidRPr="00D226C8" w:rsidRDefault="00E77E6F" w:rsidP="00F506A3">
      <w:pPr>
        <w:ind w:firstLine="720"/>
        <w:mirrorIndents/>
      </w:pPr>
    </w:p>
    <w:p w14:paraId="24F776CD" w14:textId="77777777" w:rsidR="00E77E6F" w:rsidRPr="00D226C8" w:rsidRDefault="00E77E6F" w:rsidP="00F506A3">
      <w:pPr>
        <w:ind w:firstLine="720"/>
        <w:mirrorIndents/>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r w:rsidRPr="00D226C8">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E77E6F" w:rsidRPr="00D226C8" w:rsidRDefault="00E77E6F" w:rsidP="00F506A3">
      <w:pPr>
        <w:ind w:firstLine="720"/>
        <w:mirrorIndents/>
      </w:pPr>
    </w:p>
    <w:p w14:paraId="335326A0" w14:textId="77777777" w:rsidR="00E77E6F" w:rsidRPr="00D226C8" w:rsidRDefault="00E77E6F" w:rsidP="00F506A3">
      <w:pPr>
        <w:ind w:firstLine="720"/>
        <w:mirrorIndents/>
      </w:pPr>
    </w:p>
    <w:p w14:paraId="17FD905C" w14:textId="77777777" w:rsidR="00E77E6F" w:rsidRPr="00D226C8" w:rsidRDefault="00E77E6F" w:rsidP="00F506A3">
      <w:pPr>
        <w:ind w:firstLine="720"/>
        <w:mirrorIndents/>
      </w:pPr>
    </w:p>
  </w:footnote>
  <w:footnote w:id="112">
    <w:p w14:paraId="7597D0CA" w14:textId="77777777" w:rsidR="00E77E6F" w:rsidRPr="00D226C8" w:rsidRDefault="00E77E6F" w:rsidP="00F506A3">
      <w:pPr>
        <w:spacing w:after="240"/>
        <w:ind w:firstLine="720"/>
        <w:mirrorIndents/>
      </w:pPr>
      <w:r w:rsidRPr="00D226C8">
        <w:rPr>
          <w:rStyle w:val="FootnoteReference"/>
        </w:rPr>
        <w:footnoteRef/>
      </w:r>
      <w:r w:rsidRPr="00D226C8">
        <w:t xml:space="preserve">  If the release was oral, the defendant must prove voluntariness by clear and convincing evidence.</w:t>
      </w:r>
    </w:p>
  </w:footnote>
  <w:footnote w:id="113">
    <w:p w14:paraId="5C31DE8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determined the appropriate standard of proof of voluntariness in the case of a written release.</w:t>
      </w:r>
    </w:p>
  </w:footnote>
  <w:footnote w:id="114">
    <w:p w14:paraId="0031BDEE" w14:textId="77777777" w:rsidR="00E77E6F" w:rsidRPr="00D226C8" w:rsidRDefault="00E77E6F" w:rsidP="00F506A3">
      <w:pPr>
        <w:spacing w:after="240"/>
        <w:ind w:firstLine="720"/>
        <w:mirrorIndents/>
      </w:pPr>
      <w:r w:rsidRPr="00D226C8">
        <w:rPr>
          <w:rStyle w:val="FootnoteReference"/>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15">
    <w:p w14:paraId="0F4FF661" w14:textId="77777777" w:rsidR="00E77E6F" w:rsidRPr="00D226C8" w:rsidRDefault="00E77E6F" w:rsidP="00F506A3">
      <w:pPr>
        <w:spacing w:after="240"/>
        <w:ind w:firstLine="720"/>
        <w:mirrorIndents/>
      </w:pPr>
      <w:r w:rsidRPr="00D226C8">
        <w:rPr>
          <w:rStyle w:val="FootnoteReference"/>
        </w:rPr>
        <w:footnoteRef/>
      </w:r>
      <w:r w:rsidRPr="00D226C8">
        <w:t xml:space="preserve">  “Whereas .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16">
    <w:p w14:paraId="09ABB37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17">
    <w:p w14:paraId="1B0FD3D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18">
    <w:p w14:paraId="493ED0AE" w14:textId="77777777" w:rsidR="00E77E6F" w:rsidRPr="00D226C8" w:rsidRDefault="00E77E6F" w:rsidP="00F506A3">
      <w:pPr>
        <w:spacing w:after="240"/>
        <w:ind w:firstLine="720"/>
        <w:mirrorIndents/>
      </w:pPr>
      <w:r w:rsidRPr="00D226C8">
        <w:rPr>
          <w:rStyle w:val="FootnoteReference"/>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19">
    <w:p w14:paraId="09D86CA5" w14:textId="77777777" w:rsidR="00E77E6F" w:rsidRPr="00D226C8" w:rsidRDefault="00E77E6F" w:rsidP="00F506A3">
      <w:pPr>
        <w:spacing w:after="240"/>
        <w:ind w:firstLine="720"/>
        <w:mirrorIndents/>
      </w:pPr>
      <w:r w:rsidRPr="00D226C8">
        <w:rPr>
          <w:rStyle w:val="FootnoteReference"/>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20">
    <w:p w14:paraId="4ECCA9B7" w14:textId="77777777" w:rsidR="00E77E6F" w:rsidRPr="00D226C8" w:rsidRDefault="00E77E6F" w:rsidP="00F506A3">
      <w:pPr>
        <w:spacing w:after="240"/>
        <w:ind w:firstLine="720"/>
        <w:mirrorIndents/>
      </w:pPr>
      <w:r w:rsidRPr="00D226C8">
        <w:rPr>
          <w:rStyle w:val="FootnoteReference"/>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21">
    <w:p w14:paraId="1C97BF07" w14:textId="77777777" w:rsidR="00E77E6F" w:rsidRPr="00D226C8" w:rsidRDefault="00E77E6F" w:rsidP="00F506A3">
      <w:pPr>
        <w:spacing w:after="240"/>
        <w:ind w:firstLine="720"/>
        <w:mirrorIndents/>
      </w:pPr>
      <w:r w:rsidRPr="00D226C8">
        <w:rPr>
          <w:rStyle w:val="FootnoteReference"/>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1997e(e).  </w:t>
      </w:r>
      <w:r w:rsidRPr="00D226C8">
        <w:rPr>
          <w:i/>
          <w:iCs/>
        </w:rPr>
        <w:t>See</w:t>
      </w:r>
      <w:r w:rsidRPr="00D226C8">
        <w:t xml:space="preserve"> Comment.</w:t>
      </w:r>
    </w:p>
  </w:footnote>
  <w:footnote w:id="122">
    <w:p w14:paraId="04883874"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23">
    <w:p w14:paraId="78EA637F" w14:textId="77777777" w:rsidR="00E77E6F" w:rsidRPr="00D226C8" w:rsidRDefault="00E77E6F" w:rsidP="00F506A3">
      <w:pPr>
        <w:spacing w:after="240"/>
        <w:ind w:firstLine="720"/>
        <w:mirrorIndents/>
      </w:pPr>
      <w:r w:rsidRPr="00D226C8">
        <w:rPr>
          <w:rStyle w:val="FootnoteReference"/>
        </w:rPr>
        <w:footnoteRef/>
      </w:r>
      <w:r w:rsidRPr="00D226C8">
        <w:t xml:space="preserve">  This category of damages is not available for an unreasonable search and seizure.  </w:t>
      </w:r>
      <w:r w:rsidRPr="00D226C8">
        <w:rPr>
          <w:i/>
          <w:iCs/>
        </w:rPr>
        <w:t>See Hector v. Watt</w:t>
      </w:r>
      <w:r w:rsidRPr="00D226C8">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sidRPr="00D226C8">
        <w:rPr>
          <w:i/>
          <w:iCs/>
        </w:rPr>
        <w:t>Townes v. City of New York</w:t>
      </w:r>
      <w:r w:rsidRPr="00D226C8">
        <w:t>, 176 F.3d 138, 148 (2d Cir.1999)).</w:t>
      </w:r>
    </w:p>
  </w:footnote>
  <w:footnote w:id="124">
    <w:p w14:paraId="52F8098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25">
    <w:p w14:paraId="10926CC4" w14:textId="77777777" w:rsidR="00E77E6F" w:rsidRPr="00D226C8" w:rsidRDefault="00E77E6F" w:rsidP="00F506A3">
      <w:pPr>
        <w:ind w:firstLine="720"/>
        <w:mirrorIndents/>
      </w:pPr>
      <w:r w:rsidRPr="00D226C8">
        <w:rPr>
          <w:rStyle w:val="FootnoteReference"/>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E77E6F" w:rsidRPr="00D226C8" w:rsidRDefault="00E77E6F" w:rsidP="00F506A3">
      <w:pPr>
        <w:ind w:firstLine="720"/>
        <w:mirrorIndents/>
      </w:pPr>
    </w:p>
    <w:p w14:paraId="6C0735C4" w14:textId="77777777" w:rsidR="00E77E6F" w:rsidRPr="00D226C8" w:rsidRDefault="00E77E6F" w:rsidP="00F506A3">
      <w:pPr>
        <w:ind w:left="720" w:firstLine="720"/>
        <w:mirrorIndents/>
      </w:pPr>
      <w:r w:rsidRPr="00D226C8">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E77E6F" w:rsidRPr="00D226C8" w:rsidRDefault="00E77E6F" w:rsidP="00F506A3">
      <w:pPr>
        <w:ind w:firstLine="720"/>
        <w:mirrorIndents/>
      </w:pPr>
    </w:p>
    <w:p w14:paraId="2F1A0658" w14:textId="77777777" w:rsidR="00E77E6F" w:rsidRPr="00D226C8" w:rsidRDefault="00E77E6F" w:rsidP="00F506A3">
      <w:pPr>
        <w:mirrorIndents/>
      </w:pPr>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E77E6F" w:rsidRPr="00D226C8" w:rsidRDefault="00E77E6F" w:rsidP="00F506A3">
      <w:pPr>
        <w:ind w:firstLine="720"/>
        <w:mirrorIndents/>
      </w:pPr>
    </w:p>
    <w:p w14:paraId="6D20FFBA" w14:textId="14723C9B" w:rsidR="00E77E6F" w:rsidRPr="00D226C8" w:rsidRDefault="00E77E6F" w:rsidP="00F506A3">
      <w:pPr>
        <w:ind w:firstLine="720"/>
        <w:mirrorIndents/>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26">
    <w:p w14:paraId="25FF7630" w14:textId="77777777" w:rsidR="00E77E6F" w:rsidRPr="00D226C8" w:rsidRDefault="00E77E6F" w:rsidP="00F506A3">
      <w:pPr>
        <w:spacing w:after="240"/>
        <w:ind w:firstLine="720"/>
        <w:mirrorIndents/>
      </w:pPr>
      <w:r w:rsidRPr="00D226C8">
        <w:rPr>
          <w:rStyle w:val="FootnoteReference"/>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27">
    <w:p w14:paraId="5465CD67" w14:textId="77777777" w:rsidR="00E77E6F" w:rsidRPr="00D226C8" w:rsidRDefault="00E77E6F" w:rsidP="00F506A3">
      <w:pPr>
        <w:spacing w:after="240"/>
        <w:ind w:firstLine="720"/>
        <w:mirrorIndents/>
      </w:pPr>
      <w:r w:rsidRPr="00D226C8">
        <w:rPr>
          <w:rStyle w:val="FootnoteReference"/>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28">
    <w:p w14:paraId="6085CA93" w14:textId="77777777" w:rsidR="00E77E6F" w:rsidRPr="00D226C8" w:rsidRDefault="00E77E6F" w:rsidP="00F506A3">
      <w:pPr>
        <w:spacing w:after="240"/>
        <w:ind w:firstLine="720"/>
        <w:mirrorIndents/>
      </w:pPr>
      <w:r w:rsidRPr="00D226C8">
        <w:rPr>
          <w:rStyle w:val="FootnoteReference"/>
        </w:rPr>
        <w:footnoteRef/>
      </w:r>
      <w:r w:rsidRPr="00D226C8">
        <w:t xml:space="preserve">  “[T]he applicability of the personal injury requirement of 42 U.S.C. § 1997e(e)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29">
    <w:p w14:paraId="07B9414C" w14:textId="77777777" w:rsidR="00E77E6F" w:rsidRPr="00D226C8" w:rsidRDefault="00E77E6F" w:rsidP="00F506A3">
      <w:pPr>
        <w:spacing w:after="240"/>
        <w:ind w:firstLine="720"/>
        <w:mirrorIndents/>
      </w:pPr>
      <w:r w:rsidRPr="00D226C8">
        <w:rPr>
          <w:rStyle w:val="FootnoteReference"/>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30">
    <w:p w14:paraId="690AB68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31">
    <w:p w14:paraId="5B0A5D6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32">
    <w:p w14:paraId="37ADD68A"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alternative language tailored to Eighth Amendment excessive force claims.</w:t>
      </w:r>
    </w:p>
  </w:footnote>
  <w:footnote w:id="133">
    <w:p w14:paraId="230C46B9"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evidence .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34">
    <w:p w14:paraId="2901F1D6" w14:textId="77777777" w:rsidR="00E77E6F" w:rsidRPr="00D226C8" w:rsidRDefault="00E77E6F" w:rsidP="00F506A3">
      <w:pPr>
        <w:spacing w:after="240"/>
        <w:ind w:firstLine="720"/>
        <w:mirrorIndents/>
      </w:pPr>
      <w:r w:rsidRPr="00D226C8">
        <w:rPr>
          <w:rStyle w:val="FootnoteReference"/>
        </w:rPr>
        <w:footnoteRef/>
      </w:r>
      <w:r w:rsidRPr="00D226C8">
        <w:t xml:space="preserve">  Use “a particular defendant” and “against that defendant” in cases involving multiple defendants.</w:t>
      </w:r>
    </w:p>
  </w:footnote>
  <w:footnote w:id="135">
    <w:p w14:paraId="4AA77549" w14:textId="77777777" w:rsidR="00E77E6F" w:rsidRPr="00D226C8" w:rsidRDefault="00E77E6F" w:rsidP="00F506A3">
      <w:pPr>
        <w:spacing w:after="240"/>
        <w:ind w:firstLine="720"/>
        <w:mirrorIndents/>
      </w:pPr>
      <w:r w:rsidRPr="00D226C8">
        <w:rPr>
          <w:rStyle w:val="FootnoteReference"/>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(noting a state court’s description of an example in which a person shoots into a crowd but fortuitously injures no one).</w:t>
      </w:r>
    </w:p>
  </w:footnote>
  <w:footnote w:id="136">
    <w:p w14:paraId="154B437E"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37">
    <w:p w14:paraId="036907A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38">
    <w:p w14:paraId="6F58359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9">
    <w:p w14:paraId="260CAF1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40">
    <w:p w14:paraId="4FA6832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xml:space="preserve">] claims at the constitutional level, and our cases have announced due process standards that every award must pass.”) (citing </w:t>
      </w:r>
      <w:r w:rsidRPr="00D226C8">
        <w:rPr>
          <w:i/>
          <w:iCs/>
        </w:rPr>
        <w:t>State Farm</w:t>
      </w:r>
      <w:r w:rsidRPr="00D226C8">
        <w:t xml:space="preserve"> and </w:t>
      </w:r>
      <w:r w:rsidRPr="00D226C8">
        <w:rPr>
          <w:i/>
          <w:iCs/>
        </w:rPr>
        <w:t>Gore</w:t>
      </w:r>
      <w:r w:rsidRPr="00D226C8">
        <w:t>).</w:t>
      </w:r>
    </w:p>
  </w:footnote>
  <w:footnote w:id="141">
    <w:p w14:paraId="4201B7DF" w14:textId="77777777" w:rsidR="00E77E6F" w:rsidRPr="00D226C8" w:rsidRDefault="00E77E6F" w:rsidP="00F506A3">
      <w:pPr>
        <w:spacing w:after="240"/>
        <w:ind w:firstLine="720"/>
        <w:mirrorIndents/>
      </w:pPr>
      <w:r w:rsidRPr="00D226C8">
        <w:rPr>
          <w:rStyle w:val="FootnoteReference"/>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42">
    <w:p w14:paraId="56F7BDE7" w14:textId="77777777" w:rsidR="00E77E6F" w:rsidRPr="00D226C8" w:rsidRDefault="00E77E6F" w:rsidP="00F506A3">
      <w:pPr>
        <w:ind w:firstLine="720"/>
        <w:mirrorIndents/>
      </w:pPr>
      <w:r w:rsidRPr="00D226C8">
        <w:rPr>
          <w:rStyle w:val="FootnoteReference"/>
        </w:rPr>
        <w:footnoteRef/>
      </w:r>
      <w:r w:rsidRPr="00D226C8">
        <w:t xml:space="preserve">  To date, one of the few specific requirements imposed by the Court is that “[a] jury must be instructed .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E77E6F" w:rsidRPr="00D226C8" w:rsidRDefault="00E77E6F" w:rsidP="00F506A3">
      <w:pPr>
        <w:spacing w:after="240"/>
        <w:ind w:firstLine="720"/>
        <w:mirrorIndents/>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43">
    <w:p w14:paraId="397D5FE2"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44">
    <w:p w14:paraId="19D425AA" w14:textId="77777777" w:rsidR="00E77E6F" w:rsidRPr="00D226C8" w:rsidRDefault="00E77E6F" w:rsidP="00F506A3">
      <w:pPr>
        <w:spacing w:after="240"/>
        <w:ind w:firstLine="720"/>
        <w:mirrorIndents/>
      </w:pPr>
      <w:r w:rsidRPr="00D226C8">
        <w:rPr>
          <w:rStyle w:val="FootnoteReference"/>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45">
    <w:p w14:paraId="7AB5A5F3"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46">
    <w:p w14:paraId="25AC4826"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A55758">
        <w:rPr>
          <w:i/>
        </w:rPr>
        <w:t>Philip Morris</w:t>
      </w:r>
      <w:r w:rsidRPr="00D226C8">
        <w:t xml:space="preserve">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47">
    <w:p w14:paraId="2E835787" w14:textId="676FDD8D" w:rsidR="00E77E6F" w:rsidRDefault="00E77E6F" w:rsidP="00F506A3">
      <w:pPr>
        <w:ind w:firstLine="720"/>
        <w:mirrorIndents/>
      </w:pPr>
      <w:r w:rsidRPr="00D226C8">
        <w:rPr>
          <w:rStyle w:val="FootnoteReference"/>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referred to “extraordinary</w:t>
      </w:r>
      <w:r>
        <w:t xml:space="preserve"> </w:t>
      </w:r>
      <w:r w:rsidRPr="00D226C8">
        <w:t xml:space="preserve">misconduct.”  </w:t>
      </w:r>
      <w:r w:rsidRPr="00D226C8">
        <w:rPr>
          <w:i/>
          <w:iCs/>
        </w:rPr>
        <w:t>Smith</w:t>
      </w:r>
      <w:r w:rsidRPr="00D226C8">
        <w:t xml:space="preserve">, 461 U.S. at 33. </w:t>
      </w:r>
    </w:p>
    <w:p w14:paraId="49936AB9" w14:textId="77777777" w:rsidR="00E77E6F" w:rsidRPr="00D226C8" w:rsidRDefault="00E77E6F" w:rsidP="00F506A3">
      <w:pPr>
        <w:ind w:firstLine="720"/>
        <w:mirrorIndents/>
      </w:pPr>
    </w:p>
  </w:footnote>
  <w:footnote w:id="148">
    <w:p w14:paraId="7FC1B293" w14:textId="77777777" w:rsidR="00E77E6F" w:rsidRPr="00D226C8" w:rsidRDefault="00E77E6F" w:rsidP="00F506A3">
      <w:pPr>
        <w:spacing w:after="240"/>
        <w:ind w:firstLine="720"/>
        <w:mirrorIndents/>
      </w:pPr>
      <w:r w:rsidRPr="00D226C8">
        <w:rPr>
          <w:rStyle w:val="FootnoteReference"/>
        </w:rPr>
        <w:footnoteRef/>
      </w:r>
      <w:r w:rsidRPr="00D226C8">
        <w:t xml:space="preserve">  It is also unclear how a court would instruct a jury on the third Gore factor in the context of a Section 1983 suit; the model instruction omits any reference to this factor.</w:t>
      </w:r>
    </w:p>
  </w:footnote>
  <w:footnote w:id="149">
    <w:p w14:paraId="44ECBE1E" w14:textId="77777777" w:rsidR="00E77E6F" w:rsidRPr="00D226C8" w:rsidRDefault="00E77E6F" w:rsidP="00F506A3">
      <w:pPr>
        <w:ind w:firstLine="720"/>
        <w:mirrorIndents/>
      </w:pPr>
      <w:r w:rsidRPr="00D226C8">
        <w:rPr>
          <w:rStyle w:val="FootnoteReference"/>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E77E6F" w:rsidRPr="00D226C8" w:rsidRDefault="00E77E6F" w:rsidP="00F506A3">
      <w:pPr>
        <w:ind w:firstLine="720"/>
        <w:mirrorIndents/>
      </w:pPr>
    </w:p>
    <w:p w14:paraId="2C65420F" w14:textId="77777777" w:rsidR="00E77E6F" w:rsidRPr="00D226C8" w:rsidRDefault="00E77E6F" w:rsidP="00F506A3">
      <w:pPr>
        <w:spacing w:after="240"/>
        <w:ind w:firstLine="720"/>
        <w:mirrorIndents/>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50">
    <w:p w14:paraId="43A3F14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51">
    <w:p w14:paraId="036BCA46" w14:textId="77777777" w:rsidR="00E77E6F" w:rsidRPr="00D226C8" w:rsidRDefault="00E77E6F" w:rsidP="00F506A3">
      <w:pPr>
        <w:spacing w:after="240"/>
        <w:ind w:firstLine="720"/>
        <w:mirrorIndents/>
      </w:pPr>
      <w:r w:rsidRPr="00D226C8">
        <w:rPr>
          <w:rStyle w:val="FootnoteReference"/>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52">
    <w:p w14:paraId="593B899D" w14:textId="77777777" w:rsidR="00E77E6F" w:rsidRPr="00D226C8" w:rsidRDefault="00E77E6F" w:rsidP="00F506A3">
      <w:pPr>
        <w:ind w:firstLine="720"/>
        <w:mirrorIndents/>
      </w:pPr>
      <w:r w:rsidRPr="00D226C8">
        <w:rPr>
          <w:rStyle w:val="FootnoteReference"/>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JJ.,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E77E6F" w:rsidRPr="00D226C8" w:rsidRDefault="00E77E6F" w:rsidP="00F506A3">
      <w:pPr>
        <w:ind w:firstLine="720"/>
        <w:mirrorIndents/>
      </w:pPr>
    </w:p>
    <w:p w14:paraId="1A0CE297" w14:textId="49B7DB00" w:rsidR="00E77E6F" w:rsidRPr="00D226C8" w:rsidRDefault="00E77E6F" w:rsidP="00F506A3">
      <w:pPr>
        <w:spacing w:after="240"/>
        <w:ind w:firstLine="720"/>
        <w:mirrorIndents/>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at 194 n.7.</w:t>
      </w:r>
    </w:p>
  </w:footnote>
  <w:footnote w:id="153">
    <w:p w14:paraId="7B5D80F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54">
    <w:p w14:paraId="4D2A4459" w14:textId="77777777" w:rsidR="00E77E6F" w:rsidRPr="00D226C8" w:rsidRDefault="00E77E6F" w:rsidP="00F506A3">
      <w:pPr>
        <w:spacing w:after="240"/>
        <w:ind w:firstLine="720"/>
        <w:mirrorIndents/>
      </w:pPr>
      <w:r w:rsidRPr="00D226C8">
        <w:rPr>
          <w:rStyle w:val="FootnoteReference"/>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55">
    <w:p w14:paraId="698CED76" w14:textId="09A50303" w:rsidR="00E77E6F" w:rsidRDefault="00E77E6F" w:rsidP="00F506A3">
      <w:pPr>
        <w:ind w:firstLine="720"/>
        <w:mirrorIndents/>
      </w:pPr>
      <w:r w:rsidRPr="00D226C8">
        <w:rPr>
          <w:rStyle w:val="FootnoteReference"/>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p w14:paraId="1A713EEB" w14:textId="77777777" w:rsidR="00E77E6F" w:rsidRPr="00D226C8" w:rsidRDefault="00E77E6F" w:rsidP="00F506A3">
      <w:pPr>
        <w:ind w:firstLine="720"/>
        <w:mirrorIndents/>
      </w:pPr>
    </w:p>
  </w:footnote>
  <w:footnote w:id="156">
    <w:p w14:paraId="5E7EAD9E" w14:textId="77777777" w:rsidR="00E77E6F" w:rsidRPr="00D226C8" w:rsidRDefault="00E77E6F" w:rsidP="00F506A3">
      <w:pPr>
        <w:spacing w:after="240"/>
        <w:ind w:firstLine="720"/>
        <w:mirrorIndents/>
      </w:pPr>
      <w:r w:rsidRPr="00D226C8">
        <w:rPr>
          <w:rStyle w:val="FootnoteReference"/>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57">
    <w:p w14:paraId="3CD779DD" w14:textId="77777777" w:rsidR="00E77E6F" w:rsidRPr="00D226C8" w:rsidRDefault="00E77E6F" w:rsidP="00F506A3">
      <w:pPr>
        <w:spacing w:after="240"/>
        <w:ind w:firstLine="720"/>
        <w:mirrorIndents/>
      </w:pPr>
      <w:r w:rsidRPr="00D226C8">
        <w:rPr>
          <w:rStyle w:val="FootnoteReference"/>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58">
    <w:p w14:paraId="316AE99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59">
    <w:p w14:paraId="6D909C5F" w14:textId="77777777" w:rsidR="00E77E6F" w:rsidRPr="00D226C8" w:rsidRDefault="00E77E6F" w:rsidP="00F506A3">
      <w:pPr>
        <w:spacing w:after="240"/>
        <w:ind w:firstLine="720"/>
        <w:mirrorIndents/>
      </w:pPr>
      <w:r w:rsidRPr="00D226C8">
        <w:rPr>
          <w:rStyle w:val="FootnoteReference"/>
        </w:rPr>
        <w:footnoteRef/>
      </w:r>
      <w:r w:rsidRPr="00D226C8">
        <w:t xml:space="preserve">  Include all bullet points that are warranted by the evidence.  Include the bracketed language if listing more than one bullet point.</w:t>
      </w:r>
    </w:p>
  </w:footnote>
  <w:footnote w:id="160">
    <w:p w14:paraId="5FCBEA23" w14:textId="77777777" w:rsidR="00E77E6F" w:rsidRPr="00D226C8" w:rsidRDefault="00E77E6F" w:rsidP="00F506A3">
      <w:pPr>
        <w:spacing w:after="240"/>
        <w:ind w:firstLine="720"/>
        <w:mirrorIndents/>
      </w:pPr>
      <w:r w:rsidRPr="00D226C8">
        <w:rPr>
          <w:rStyle w:val="FootnoteReference"/>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61">
    <w:p w14:paraId="2CE223D9" w14:textId="77777777" w:rsidR="00E77E6F" w:rsidRPr="00D226C8" w:rsidRDefault="00E77E6F" w:rsidP="00F506A3">
      <w:pPr>
        <w:spacing w:after="240"/>
        <w:ind w:firstLine="720"/>
        <w:mirrorIndents/>
      </w:pPr>
      <w:r w:rsidRPr="00D226C8">
        <w:rPr>
          <w:rStyle w:val="FootnoteReference"/>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62">
    <w:p w14:paraId="7A85FB38" w14:textId="77777777" w:rsidR="00E77E6F" w:rsidRPr="00D226C8" w:rsidRDefault="00E77E6F" w:rsidP="00F506A3">
      <w:pPr>
        <w:spacing w:after="240"/>
        <w:ind w:firstLine="720"/>
        <w:mirrorIndents/>
      </w:pPr>
      <w:r w:rsidRPr="00D226C8">
        <w:rPr>
          <w:rStyle w:val="FootnoteReference"/>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63">
    <w:p w14:paraId="010386D0" w14:textId="5145814B" w:rsidR="00E77E6F" w:rsidRDefault="00E77E6F" w:rsidP="00F506A3">
      <w:pPr>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at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r w:rsidRPr="00D226C8">
        <w:t xml:space="preserve">at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27DF488" w14:textId="77777777" w:rsidR="00E77E6F" w:rsidRPr="00D226C8" w:rsidRDefault="00E77E6F" w:rsidP="00F506A3">
      <w:pPr>
        <w:ind w:firstLine="720"/>
        <w:mirrorIndents/>
      </w:pPr>
    </w:p>
    <w:p w14:paraId="5C465041" w14:textId="4D7FACB3" w:rsidR="00E77E6F" w:rsidRDefault="00E77E6F" w:rsidP="00F506A3">
      <w:pPr>
        <w:ind w:firstLine="720"/>
        <w:mirrorIndents/>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r>
        <w:t xml:space="preserve"> </w:t>
      </w:r>
      <w:r w:rsidRPr="00D226C8">
        <w:t>(3d Cir. 2004), the court did not have occasion to consider what other types of force could fall within the definition of “deadly force.”</w:t>
      </w:r>
    </w:p>
    <w:p w14:paraId="36112605" w14:textId="77777777" w:rsidR="00E77E6F" w:rsidRPr="00D226C8" w:rsidRDefault="00E77E6F" w:rsidP="00F506A3">
      <w:pPr>
        <w:ind w:firstLine="720"/>
        <w:mirrorIndents/>
      </w:pPr>
    </w:p>
  </w:footnote>
  <w:footnote w:id="164">
    <w:p w14:paraId="1081B04C" w14:textId="77777777" w:rsidR="00E77E6F" w:rsidRPr="00D226C8" w:rsidRDefault="00E77E6F" w:rsidP="00F506A3">
      <w:pPr>
        <w:spacing w:after="240"/>
        <w:ind w:firstLine="720"/>
        <w:mirrorIndents/>
      </w:pPr>
      <w:r w:rsidRPr="00D226C8">
        <w:rPr>
          <w:rStyle w:val="FootnoteReference"/>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65">
    <w:p w14:paraId="5A550F8D"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In re City of Philadelphia Litigation</w:t>
      </w:r>
      <w:r w:rsidRPr="00D226C8">
        <w:t xml:space="preserve">, 49 F.3d at 966 (opinion of Greenberg, J.) (quoting Model Penal Code § 3.11(2) (1994) and finding no deadly force); </w:t>
      </w:r>
      <w:r w:rsidRPr="00D226C8">
        <w:rPr>
          <w:i/>
          <w:iCs/>
        </w:rPr>
        <w:t>see also id.</w:t>
      </w:r>
      <w:r w:rsidRPr="00D226C8">
        <w:t xml:space="preserve"> at 977 (opinion of Lewis, J.) (quoting same section of MPC and finding deadly force).</w:t>
      </w:r>
    </w:p>
  </w:footnote>
  <w:footnote w:id="166">
    <w:p w14:paraId="0C427A0E" w14:textId="400F1529" w:rsidR="00E77E6F" w:rsidRDefault="00E77E6F" w:rsidP="00F506A3">
      <w:pPr>
        <w:ind w:firstLine="720"/>
        <w:mirrorIndents/>
      </w:pPr>
      <w:r w:rsidRPr="00D226C8">
        <w:rPr>
          <w:rStyle w:val="FootnoteReference"/>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r w:rsidRPr="00D226C8">
        <w:t>at 200.</w:t>
      </w:r>
    </w:p>
    <w:p w14:paraId="1DAB9BD7" w14:textId="77777777" w:rsidR="00E77E6F" w:rsidRPr="00D226C8" w:rsidRDefault="00E77E6F" w:rsidP="00F506A3">
      <w:pPr>
        <w:ind w:firstLine="720"/>
        <w:mirrorIndents/>
      </w:pPr>
    </w:p>
    <w:p w14:paraId="6D5118CA" w14:textId="77777777" w:rsidR="00E77E6F" w:rsidRPr="00D226C8" w:rsidRDefault="00E77E6F" w:rsidP="00F506A3">
      <w:pPr>
        <w:spacing w:after="240"/>
        <w:ind w:firstLine="720"/>
        <w:mirrorIndents/>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r w:rsidRPr="00D226C8">
        <w:t>at 207 n.5 (“The factual issues relate only to the danger that [Haugen] posed while in the act of escaping.”).</w:t>
      </w:r>
    </w:p>
  </w:footnote>
  <w:footnote w:id="167">
    <w:p w14:paraId="5B30F5F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68">
    <w:p w14:paraId="0058026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69">
    <w:p w14:paraId="4B6214A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70">
    <w:p w14:paraId="0CBFD4BE" w14:textId="19D15B7E" w:rsidR="00E77E6F" w:rsidRPr="00D226C8" w:rsidRDefault="00E77E6F" w:rsidP="00F506A3">
      <w:pPr>
        <w:ind w:firstLine="720"/>
        <w:mirrorIndents/>
      </w:pPr>
      <w:r w:rsidRPr="00D226C8">
        <w:rPr>
          <w:rStyle w:val="FootnoteReference"/>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r w:rsidRPr="00D226C8">
        <w:t xml:space="preserve">at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would not be liable for harm produced by a ‘superseding cause,’ .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w:t>
      </w:r>
      <w:r>
        <w:t>’</w:t>
      </w:r>
      <w:r w:rsidRPr="00D226C8">
        <w:t xml:space="preserve"> decision to enter the woods did not proximately cause Quick's death. Rather, Quick's noncompliant, threatening conduct in the woods was a superseding cause that served to break the chain of causation ....”).</w:t>
      </w:r>
    </w:p>
    <w:p w14:paraId="36513F1C" w14:textId="77777777" w:rsidR="00E77E6F" w:rsidRPr="00D226C8" w:rsidRDefault="00E77E6F" w:rsidP="00F506A3">
      <w:pPr>
        <w:spacing w:after="240"/>
        <w:ind w:firstLine="720"/>
        <w:mirrorIndents/>
      </w:pPr>
    </w:p>
  </w:footnote>
  <w:footnote w:id="171">
    <w:p w14:paraId="65EEF6F4"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2">
    <w:p w14:paraId="1B84CA0E" w14:textId="77777777" w:rsidR="00E77E6F" w:rsidRPr="00D226C8" w:rsidRDefault="00E77E6F" w:rsidP="00F506A3">
      <w:pPr>
        <w:spacing w:after="240"/>
        <w:ind w:firstLine="720"/>
        <w:mirrorIndents/>
      </w:pPr>
      <w:r w:rsidRPr="00D226C8">
        <w:rPr>
          <w:rStyle w:val="FootnoteReference"/>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73">
    <w:p w14:paraId="0CE0552C" w14:textId="6358A5CB" w:rsidR="00E77E6F" w:rsidRPr="00F07BC2" w:rsidRDefault="00E77E6F" w:rsidP="00A9399C">
      <w:pPr>
        <w:pStyle w:val="FootnoteText"/>
        <w:ind w:firstLine="720"/>
        <w:jc w:val="left"/>
      </w:pPr>
      <w:r w:rsidRPr="00A55758">
        <w:rPr>
          <w:rStyle w:val="FootnoteReference"/>
        </w:rPr>
        <w:footnoteRef/>
      </w:r>
      <w:r>
        <w:t xml:space="preserve"> </w:t>
      </w:r>
      <w:r w:rsidRPr="00EE7050">
        <w:t xml:space="preserve">Drawing on the framework for excessive force claims set forth in </w:t>
      </w:r>
      <w:r w:rsidRPr="00EE7050">
        <w:rPr>
          <w:i/>
        </w:rPr>
        <w:t>Hudson v. McMillan</w:t>
      </w:r>
      <w:r w:rsidRPr="00EE7050">
        <w:t xml:space="preserve">, 503 U.S. 1 (1992), the court of appeals has held that sexual abuse of prisoners can violate the Constitution. </w:t>
      </w:r>
      <w:r w:rsidRPr="00EE7050">
        <w:rPr>
          <w:i/>
        </w:rPr>
        <w:t>Ricks v. Shover</w:t>
      </w:r>
      <w:r w:rsidRPr="00EE7050">
        <w:t xml:space="preserve">, 891 F.3d 468 (3d Cir. 2018). In these circumstances, the subjective prong depends on whether the official had a legitimate penological purpose or acted maliciously and sadistically for the very purpose of causing harm. The objective prong does not insist on “zero tolerance for all minor sexualized touching in prison,” </w:t>
      </w:r>
      <w:r w:rsidRPr="00EE7050">
        <w:rPr>
          <w:i/>
        </w:rPr>
        <w:t>Ricks</w:t>
      </w:r>
      <w:r w:rsidRPr="00EE7050">
        <w:t xml:space="preserve">, 891 F.3d at 477, but objectively serious sexual contact does include “sexualized fondling, coerced sexual activity, combinations of ongoing harassment and abuse, and exchanges of sexual activity for special treatment or to avoid discipline.” </w:t>
      </w:r>
      <w:r w:rsidRPr="00EE7050">
        <w:rPr>
          <w:i/>
        </w:rPr>
        <w:t>Id</w:t>
      </w:r>
      <w:r w:rsidRPr="00EE7050">
        <w:t>. at 478.</w:t>
      </w:r>
      <w:r>
        <w:t xml:space="preserve"> </w:t>
      </w:r>
      <w:r w:rsidRPr="00F07BC2">
        <w:rPr>
          <w:i/>
        </w:rPr>
        <w:t>See also E. D. v. Sharkey</w:t>
      </w:r>
      <w:r w:rsidRPr="00F07BC2">
        <w:t xml:space="preserve">, </w:t>
      </w:r>
      <w:r w:rsidR="00F07BC2" w:rsidRPr="00F07BC2">
        <w:t xml:space="preserve">928 F.3d 299, 306-07 (3d Cir. 2019) </w:t>
      </w:r>
      <w:r w:rsidRPr="00F07BC2">
        <w:t>(holding that “immigration detainees are entitled to the same due process protections” as pretrial detainees and have the “right to not be sexually assaulted by a state employee while in confinement”) (internal quotation marks and citations omitted).</w:t>
      </w:r>
    </w:p>
  </w:footnote>
  <w:footnote w:id="174">
    <w:p w14:paraId="504845A4" w14:textId="77777777" w:rsidR="00E77E6F" w:rsidRPr="00D226C8" w:rsidRDefault="00E77E6F" w:rsidP="00F506A3">
      <w:pPr>
        <w:spacing w:after="240"/>
        <w:ind w:firstLine="720"/>
        <w:mirrorIndents/>
      </w:pPr>
      <w:r w:rsidRPr="00D226C8">
        <w:rPr>
          <w:rStyle w:val="FootnoteReference"/>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r w:rsidRPr="00D226C8">
        <w:t xml:space="preserve">at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75">
    <w:p w14:paraId="7FA4742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76">
    <w:p w14:paraId="6308D242"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Douglas</w:t>
      </w:r>
      <w:r w:rsidRPr="00D226C8">
        <w:t xml:space="preserve">, the defendants “argue[d] that the charge given by the district court [wa]s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77">
    <w:p w14:paraId="647722F0"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whether harm (and physical injury in particular), constitutes an element of this claim.</w:t>
      </w:r>
    </w:p>
  </w:footnote>
  <w:footnote w:id="178">
    <w:p w14:paraId="49843FC8"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79">
    <w:p w14:paraId="718FB96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r w:rsidRPr="00D226C8">
        <w:t>at 252, 256 n.8.</w:t>
      </w:r>
    </w:p>
  </w:footnote>
  <w:footnote w:id="180">
    <w:p w14:paraId="31C81416" w14:textId="77777777" w:rsidR="00E77E6F" w:rsidRPr="00D226C8" w:rsidRDefault="00E77E6F" w:rsidP="00F506A3">
      <w:pPr>
        <w:spacing w:after="240"/>
        <w:ind w:firstLine="720"/>
        <w:mirrorIndents/>
      </w:pPr>
      <w:r w:rsidRPr="00D226C8">
        <w:rPr>
          <w:rStyle w:val="FootnoteReference"/>
        </w:rPr>
        <w:footnoteRef/>
      </w:r>
      <w:r w:rsidRPr="00D226C8">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81">
    <w:p w14:paraId="48A3A8E2" w14:textId="4D52ACBF" w:rsidR="00E77E6F" w:rsidRPr="00F07BC2" w:rsidRDefault="00E77E6F" w:rsidP="00F506A3">
      <w:pPr>
        <w:spacing w:after="240"/>
        <w:ind w:firstLine="720"/>
        <w:mirrorIndents/>
      </w:pPr>
      <w:r w:rsidRPr="00D226C8">
        <w:rPr>
          <w:rStyle w:val="FootnoteReference"/>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r>
        <w:t xml:space="preserve"> </w:t>
      </w:r>
      <w:r w:rsidRPr="00F07BC2">
        <w:rPr>
          <w:i/>
        </w:rPr>
        <w:t>See also E. D. v. Sharkey</w:t>
      </w:r>
      <w:r w:rsidRPr="00F07BC2">
        <w:t xml:space="preserve">, </w:t>
      </w:r>
      <w:r w:rsidR="00F07BC2" w:rsidRPr="00F07BC2">
        <w:t xml:space="preserve">928 F.3d 299, 306-07 (3d Cir. 2019) </w:t>
      </w:r>
      <w:r w:rsidRPr="00F07BC2">
        <w:t>(holding that “immigration detainees are entitled to the same due process protections” as pretrial detainees).</w:t>
      </w:r>
    </w:p>
    <w:p w14:paraId="63B7530D" w14:textId="77777777" w:rsidR="00E77E6F" w:rsidRPr="00D226C8" w:rsidRDefault="00E77E6F" w:rsidP="00F506A3">
      <w:pPr>
        <w:spacing w:after="240"/>
        <w:ind w:firstLine="720"/>
        <w:mirrorIndents/>
      </w:pPr>
    </w:p>
  </w:footnote>
  <w:footnote w:id="182">
    <w:p w14:paraId="0AFA095F" w14:textId="77777777" w:rsidR="00E77E6F" w:rsidRPr="00D226C8" w:rsidRDefault="00E77E6F" w:rsidP="00F506A3">
      <w:pPr>
        <w:ind w:firstLine="720"/>
        <w:mirrorIndents/>
      </w:pPr>
      <w:r w:rsidRPr="00D226C8">
        <w:rPr>
          <w:rStyle w:val="FootnoteReference"/>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E77E6F" w:rsidRPr="00D226C8" w:rsidRDefault="00E77E6F" w:rsidP="00F506A3">
      <w:pPr>
        <w:ind w:firstLine="720"/>
        <w:mirrorIndents/>
      </w:pPr>
    </w:p>
    <w:p w14:paraId="3546275A" w14:textId="77777777" w:rsidR="00E77E6F" w:rsidRPr="00D226C8" w:rsidRDefault="00E77E6F" w:rsidP="00F506A3">
      <w:pPr>
        <w:spacing w:after="240"/>
        <w:ind w:firstLine="720"/>
        <w:mirrorIndents/>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r w:rsidRPr="00D226C8">
        <w:t>at 111 (quoting amended complaint).</w:t>
      </w:r>
    </w:p>
  </w:footnote>
  <w:footnote w:id="183">
    <w:p w14:paraId="5F60771E" w14:textId="77777777" w:rsidR="00E77E6F" w:rsidRPr="00D226C8" w:rsidRDefault="00E77E6F"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84">
    <w:p w14:paraId="12C6A86C" w14:textId="77777777" w:rsidR="00E77E6F" w:rsidRPr="00D226C8" w:rsidRDefault="00E77E6F" w:rsidP="00F506A3">
      <w:pPr>
        <w:spacing w:after="240"/>
        <w:ind w:firstLine="720"/>
        <w:mirrorIndents/>
      </w:pPr>
      <w:r w:rsidRPr="00D226C8">
        <w:rPr>
          <w:rStyle w:val="FootnoteReference"/>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85">
    <w:p w14:paraId="6A37E7A3" w14:textId="3075ECF2"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86">
    <w:p w14:paraId="7DBE3F1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769 F.2d 700, 704 (11th Cir.1985)).</w:t>
      </w:r>
    </w:p>
  </w:footnote>
  <w:footnote w:id="187">
    <w:p w14:paraId="06873E42" w14:textId="3877D6EF"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(quoting </w:t>
      </w:r>
      <w:r w:rsidRPr="00D226C8">
        <w:rPr>
          <w:i/>
          <w:iCs/>
        </w:rPr>
        <w:t>Ancata v. Prison Health Servs.</w:t>
      </w:r>
      <w:r w:rsidRPr="00D226C8">
        <w:t xml:space="preserve">, 769 F.2d 700, 704 (11th Cir.1985));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88">
    <w:p w14:paraId="0D6C28D8"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at 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89">
    <w:p w14:paraId="0967A92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Id.</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90">
    <w:p w14:paraId="68D13055"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91">
    <w:p w14:paraId="3C380DB0"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92">
    <w:p w14:paraId="4D71E67D" w14:textId="77777777" w:rsidR="00E77E6F" w:rsidRPr="00D226C8" w:rsidRDefault="00E77E6F" w:rsidP="00F506A3">
      <w:pPr>
        <w:ind w:firstLine="720"/>
        <w:mirrorIndents/>
      </w:pPr>
      <w:r w:rsidRPr="00D226C8">
        <w:rPr>
          <w:rStyle w:val="FootnoteReference"/>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E77E6F" w:rsidRPr="00D226C8" w:rsidRDefault="00E77E6F" w:rsidP="00F506A3">
      <w:pPr>
        <w:ind w:firstLine="720"/>
        <w:mirrorIndents/>
      </w:pPr>
    </w:p>
    <w:p w14:paraId="24E6400E" w14:textId="7AC19064" w:rsidR="00E77E6F" w:rsidRPr="00D226C8" w:rsidRDefault="00E77E6F" w:rsidP="00F506A3">
      <w:pPr>
        <w:ind w:left="720" w:right="720" w:firstLine="720"/>
        <w:mirrorIndents/>
      </w:pPr>
      <w:r w:rsidRPr="00D226C8">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503 U.S. 1, 9 (1992) (</w:t>
      </w:r>
      <w:r>
        <w:t>“</w:t>
      </w:r>
      <w:r w:rsidRPr="00D226C8">
        <w:t>Because society does not expect that prisoners will have unqualified access to health care, deliberate indifference to medical needs amounts to an Eighth Amendment violation only if those needs are serious.</w:t>
      </w:r>
      <w:r>
        <w:t>”</w:t>
      </w:r>
      <w:r w:rsidRPr="00D226C8">
        <w:t xml:space="preserve">). </w:t>
      </w:r>
    </w:p>
    <w:p w14:paraId="3034103C" w14:textId="77777777" w:rsidR="00E77E6F" w:rsidRPr="00D226C8" w:rsidRDefault="00E77E6F" w:rsidP="00F506A3">
      <w:pPr>
        <w:ind w:firstLine="720"/>
        <w:mirrorIndents/>
      </w:pPr>
    </w:p>
    <w:p w14:paraId="585F9BA5" w14:textId="77777777" w:rsidR="00E77E6F" w:rsidRPr="00D226C8" w:rsidRDefault="00E77E6F" w:rsidP="00F506A3">
      <w:pPr>
        <w:spacing w:after="240"/>
        <w:mirrorIndents/>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93">
    <w:p w14:paraId="66E2FE94"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sidRPr="00D226C8">
        <w:rPr>
          <w:i/>
          <w:iCs/>
        </w:rPr>
        <w:t>id.</w:t>
      </w:r>
      <w:r w:rsidRPr="00D226C8">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r w:rsidRPr="00D226C8">
        <w:t>at 111 (“What damages, if any, flow from the alleged conduct is an issue for later proceedings.”).</w:t>
      </w:r>
    </w:p>
  </w:footnote>
  <w:footnote w:id="194">
    <w:p w14:paraId="2D4D545A" w14:textId="77777777" w:rsidR="00E77E6F" w:rsidRPr="00D226C8" w:rsidRDefault="00E77E6F" w:rsidP="00F506A3">
      <w:pPr>
        <w:spacing w:after="240"/>
        <w:ind w:firstLine="720"/>
        <w:mirrorIndents/>
      </w:pPr>
      <w:r w:rsidRPr="00D226C8">
        <w:rPr>
          <w:rStyle w:val="FootnoteReference"/>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sidRPr="00D226C8">
        <w:rPr>
          <w:i/>
          <w:iCs/>
        </w:rPr>
        <w:t>Id.</w:t>
      </w:r>
    </w:p>
  </w:footnote>
  <w:footnote w:id="195">
    <w:p w14:paraId="02EF1E5F" w14:textId="2DA4ADB7" w:rsidR="00E77E6F" w:rsidRPr="003B5115" w:rsidRDefault="00E77E6F" w:rsidP="00F506A3">
      <w:pPr>
        <w:pStyle w:val="FootnoteText"/>
        <w:shd w:val="clear" w:color="auto" w:fill="FFFFFF" w:themeFill="background1"/>
        <w:ind w:firstLine="720"/>
        <w:mirrorIndents/>
        <w:jc w:val="left"/>
      </w:pPr>
      <w:r w:rsidRPr="002E055C">
        <w:rPr>
          <w:rStyle w:val="FootnoteReference"/>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r w:rsidRPr="003B5115">
        <w:rPr>
          <w:szCs w:val="24"/>
        </w:rPr>
        <w:t xml:space="preserve"> </w:t>
      </w:r>
    </w:p>
    <w:p w14:paraId="609B7A96" w14:textId="1E1B334D" w:rsidR="00E77E6F" w:rsidRPr="00D226C8" w:rsidRDefault="00E77E6F" w:rsidP="00F506A3">
      <w:pPr>
        <w:pStyle w:val="FootnoteText"/>
        <w:shd w:val="clear" w:color="auto" w:fill="FFFFFF" w:themeFill="background1"/>
        <w:ind w:firstLine="720"/>
        <w:mirrorIndents/>
        <w:jc w:val="left"/>
      </w:pPr>
      <w:r w:rsidRPr="00460B22">
        <w:t xml:space="preserve">In light of </w:t>
      </w:r>
      <w:r w:rsidRPr="00460B22">
        <w:rPr>
          <w:i/>
        </w:rPr>
        <w:t>Palakovic</w:t>
      </w:r>
      <w:r w:rsidRPr="00460B22">
        <w:t xml:space="preserve">, in appropriate cases, this sentence of the Instruction might be altered to state, “[Plaintiff] must show that [defendant] knew or should have known of the risk,” and the last two sentences of this paragraph of the Instruction omitted. </w:t>
      </w:r>
    </w:p>
  </w:footnote>
  <w:footnote w:id="196">
    <w:p w14:paraId="0AA9B958"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7">
    <w:p w14:paraId="21382715"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plaintiff’s claim concerns a fatal attack on an inmate, the name of the decedent (rather than the plaintiff’s name) should be inserted in appropriate places in this instruction.</w:t>
      </w:r>
    </w:p>
  </w:footnote>
  <w:footnote w:id="198">
    <w:p w14:paraId="024025CA" w14:textId="77777777" w:rsidR="00E77E6F" w:rsidRPr="00D226C8" w:rsidRDefault="00E77E6F" w:rsidP="00F506A3">
      <w:pPr>
        <w:spacing w:after="240"/>
        <w:ind w:firstLine="720"/>
        <w:mirrorIndents/>
      </w:pPr>
      <w:r w:rsidRPr="00D226C8">
        <w:rPr>
          <w:rStyle w:val="FootnoteReference"/>
        </w:rPr>
        <w:footnoteRef/>
      </w:r>
      <w:r w:rsidRPr="00D226C8">
        <w:t xml:space="preserve">  For a discussion of whether physical injury is an element of this claim, see the Comment to this Instruction, below, and the Comments to Instructions 4.8.1 and 4.10. </w:t>
      </w:r>
    </w:p>
  </w:footnote>
  <w:footnote w:id="199">
    <w:p w14:paraId="71F6675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00">
    <w:p w14:paraId="14E7A2EE" w14:textId="77777777" w:rsidR="00E77E6F" w:rsidRPr="00D226C8" w:rsidRDefault="00E77E6F" w:rsidP="00F506A3">
      <w:pPr>
        <w:spacing w:after="240"/>
        <w:ind w:firstLine="720"/>
        <w:mirrorIndents/>
      </w:pPr>
      <w:r w:rsidRPr="00D226C8">
        <w:rPr>
          <w:rStyle w:val="FootnoteReference"/>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201">
    <w:p w14:paraId="15625250" w14:textId="77777777" w:rsidR="00E77E6F" w:rsidRPr="00D226C8" w:rsidRDefault="00E77E6F" w:rsidP="00F506A3">
      <w:pPr>
        <w:spacing w:after="240"/>
        <w:ind w:firstLine="720"/>
        <w:mirrorIndents/>
      </w:pPr>
      <w:r w:rsidRPr="00D226C8">
        <w:rPr>
          <w:rStyle w:val="FootnoteReference"/>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202">
    <w:p w14:paraId="77FC9655" w14:textId="77777777" w:rsidR="00E77E6F" w:rsidRPr="00D226C8" w:rsidRDefault="00E77E6F" w:rsidP="00F506A3">
      <w:pPr>
        <w:spacing w:after="240"/>
        <w:ind w:firstLine="720"/>
        <w:mirrorIndents/>
      </w:pPr>
      <w:r w:rsidRPr="00D226C8">
        <w:rPr>
          <w:rStyle w:val="FootnoteReference"/>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203">
    <w:p w14:paraId="302041D3" w14:textId="77777777" w:rsidR="00E77E6F" w:rsidRPr="00D226C8" w:rsidRDefault="00E77E6F" w:rsidP="00F506A3">
      <w:pPr>
        <w:spacing w:after="240"/>
        <w:ind w:firstLine="720"/>
        <w:mirrorIndents/>
      </w:pPr>
      <w:r w:rsidRPr="00D226C8">
        <w:rPr>
          <w:rStyle w:val="FootnoteReference"/>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204">
    <w:p w14:paraId="608A1ABC"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p>
  </w:footnote>
  <w:footnote w:id="205">
    <w:p w14:paraId="2D308B65" w14:textId="77777777" w:rsidR="00E77E6F" w:rsidRPr="00D226C8" w:rsidRDefault="00E77E6F" w:rsidP="00F506A3">
      <w:pPr>
        <w:spacing w:after="240"/>
        <w:ind w:firstLine="720"/>
        <w:mirrorIndents/>
      </w:pPr>
      <w:r w:rsidRPr="00D226C8">
        <w:rPr>
          <w:rStyle w:val="FootnoteReference"/>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206">
    <w:p w14:paraId="3A606727"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E77E6F" w:rsidRPr="00D226C8" w:rsidRDefault="00E77E6F" w:rsidP="00F506A3">
      <w:pPr>
        <w:ind w:firstLine="720"/>
        <w:mirrorIndents/>
      </w:pPr>
    </w:p>
    <w:p w14:paraId="0E707066" w14:textId="77777777" w:rsidR="00E77E6F" w:rsidRPr="00D226C8" w:rsidRDefault="00E77E6F" w:rsidP="00F506A3">
      <w:pPr>
        <w:spacing w:after="240"/>
        <w:ind w:firstLine="720"/>
        <w:mirrorIndents/>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207">
    <w:p w14:paraId="0A94AE1C" w14:textId="77777777" w:rsidR="00E77E6F" w:rsidRPr="00D226C8" w:rsidRDefault="00E77E6F" w:rsidP="00F506A3">
      <w:pPr>
        <w:ind w:firstLine="720"/>
        <w:mirrorIndents/>
      </w:pPr>
      <w:r w:rsidRPr="00D226C8">
        <w:rPr>
          <w:rStyle w:val="FootnoteReference"/>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E77E6F" w:rsidRPr="00D226C8" w:rsidRDefault="00E77E6F" w:rsidP="00F506A3">
      <w:pPr>
        <w:ind w:firstLine="720"/>
        <w:mirrorIndents/>
      </w:pPr>
    </w:p>
    <w:p w14:paraId="552F1B5C" w14:textId="77777777" w:rsidR="00E77E6F" w:rsidRPr="00D226C8" w:rsidRDefault="00E77E6F" w:rsidP="00F506A3">
      <w:pPr>
        <w:ind w:firstLine="720"/>
        <w:mirrorIndents/>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E77E6F" w:rsidRPr="00D226C8" w:rsidRDefault="00E77E6F" w:rsidP="00F506A3">
      <w:pPr>
        <w:ind w:firstLine="720"/>
        <w:mirrorIndents/>
      </w:pPr>
    </w:p>
    <w:p w14:paraId="35518C7B" w14:textId="77777777" w:rsidR="00E77E6F" w:rsidRPr="00D226C8" w:rsidRDefault="00E77E6F" w:rsidP="00DD4C7C">
      <w:pPr>
        <w:spacing w:after="240"/>
        <w:ind w:firstLine="720"/>
      </w:pPr>
      <w:r w:rsidRPr="00D226C8">
        <w:t>This Comment focuses on the first two steps of the inquiry – seizure and unreasonableness.</w:t>
      </w:r>
    </w:p>
  </w:footnote>
  <w:footnote w:id="208">
    <w:p w14:paraId="14870BF3" w14:textId="77777777" w:rsidR="00E77E6F" w:rsidRPr="00D226C8" w:rsidRDefault="00E77E6F" w:rsidP="00F506A3">
      <w:pPr>
        <w:ind w:firstLine="720"/>
        <w:mirrorIndents/>
        <w:rPr>
          <w:i/>
          <w:iCs/>
        </w:rPr>
      </w:pPr>
      <w:r w:rsidRPr="00D226C8">
        <w:rPr>
          <w:rStyle w:val="FootnoteReference"/>
        </w:rPr>
        <w:footnoteRef/>
      </w:r>
      <w:r w:rsidRPr="00D226C8">
        <w:t xml:space="preserve"> “[A] Fourth Amendment seizure .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E77E6F" w:rsidRPr="00D226C8" w:rsidRDefault="00E77E6F" w:rsidP="00F506A3">
      <w:pPr>
        <w:ind w:firstLine="720"/>
        <w:mirrorIndents/>
      </w:pPr>
    </w:p>
    <w:p w14:paraId="7A04DFB5" w14:textId="30E433BD" w:rsidR="00E77E6F" w:rsidRDefault="00E77E6F" w:rsidP="00D11787">
      <w:pPr>
        <w:ind w:firstLine="720"/>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force . . . </w:t>
      </w:r>
      <w:r w:rsidRPr="00D226C8">
        <w:rPr>
          <w:i/>
          <w:iCs/>
        </w:rPr>
        <w:t>or</w:t>
      </w:r>
      <w:r w:rsidRPr="00D226C8">
        <w:t xml:space="preserve">, where that is absent, </w:t>
      </w:r>
      <w:r w:rsidRPr="00D226C8">
        <w:rPr>
          <w:i/>
          <w:iCs/>
        </w:rPr>
        <w:t xml:space="preserve">submission </w:t>
      </w:r>
      <w:r w:rsidRPr="00D226C8">
        <w:t xml:space="preserve">to the assertion of authority” (emphasis in original).).  </w:t>
      </w:r>
      <w:r w:rsidRPr="00D226C8">
        <w:rPr>
          <w:i/>
          <w:iCs/>
        </w:rPr>
        <w:t>See also United States  v. Waterman</w:t>
      </w:r>
      <w:r w:rsidRPr="00D226C8">
        <w:t>, 569 F.3d 144, at 146 (3d Cir. 2009) (officers’ drawing their guns did not count as “physical force” within the meaning</w:t>
      </w:r>
      <w:r>
        <w:t xml:space="preserve"> </w:t>
      </w: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042D53">
        <w:rPr>
          <w:i/>
        </w:rPr>
        <w:t>United States v. Bey</w:t>
      </w:r>
      <w:r w:rsidRPr="00042D53">
        <w:t xml:space="preserve">, 911 F.3d 139, 144 (3d Cir. 2018) (holding that a seizure occurred at the moment the defendant “submitted to police authority by raising his hands and turning to face the officers who had drawn their guns”); </w:t>
      </w:r>
      <w:r w:rsidRPr="00042D53">
        <w:rPr>
          <w:i/>
        </w:rPr>
        <w:t>United States v. Hester</w:t>
      </w:r>
      <w:r w:rsidRPr="00042D53">
        <w:t>, 910 F.3d 78, 87 (3d Cir. 2018) (holding that the defendant submitted to authority when he “waited in the passenger seat when two police cars boxed in [the] car along the curb and four officers</w:t>
      </w:r>
      <w:r w:rsidR="00F55504">
        <w:t xml:space="preserve"> </w:t>
      </w:r>
      <w:r w:rsidRPr="00042D53">
        <w:t xml:space="preserve">approached the car on foot, and he continued to wait as one of the officers questioned [the driver] and ordered her out of the car. Unlike in </w:t>
      </w:r>
      <w:r w:rsidRPr="00042D53">
        <w:rPr>
          <w:i/>
        </w:rPr>
        <w:t>Smith</w:t>
      </w:r>
      <w:r w:rsidRPr="00042D53">
        <w:t xml:space="preserve">, by the time Hester said he could drive, stood up, and tried to run, Hester had long since submitted to authority.”);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p w14:paraId="014256A6" w14:textId="77777777" w:rsidR="00E77E6F" w:rsidRPr="00D226C8" w:rsidRDefault="00E77E6F" w:rsidP="00F506A3">
      <w:pPr>
        <w:ind w:firstLine="720"/>
        <w:mirrorIndents/>
      </w:pPr>
    </w:p>
  </w:footnote>
  <w:footnote w:id="209">
    <w:p w14:paraId="2807191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210">
    <w:p w14:paraId="335973D3" w14:textId="651EFCD4" w:rsidR="00E77E6F" w:rsidRPr="00D226C8" w:rsidRDefault="00E77E6F" w:rsidP="00F506A3">
      <w:pPr>
        <w:spacing w:after="240"/>
        <w:ind w:firstLine="720"/>
        <w:mirrorIndents/>
      </w:pPr>
      <w:r w:rsidRPr="00D226C8">
        <w:rPr>
          <w:rStyle w:val="FootnoteReference"/>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554 F.3d 79, 85 (3d Cir. 2009) (“The subjective intent underlying an officer</w:t>
      </w:r>
      <w:r>
        <w:t>’</w:t>
      </w:r>
      <w:r w:rsidRPr="00D226C8">
        <w:t xml:space="preserve">s approach does not affect the seizure analysis.... [A] seizure does not occur simply because an officer approaches an individual ... to ask questions....  Therefore, a tip police received that motivates their encounter with an individual merely serves to color the backstory at this stage.”). </w:t>
      </w:r>
    </w:p>
    <w:p w14:paraId="09BD268B" w14:textId="77777777" w:rsidR="00E77E6F" w:rsidRPr="00D226C8" w:rsidRDefault="00E77E6F" w:rsidP="00F506A3">
      <w:pPr>
        <w:spacing w:after="240"/>
        <w:ind w:firstLine="720"/>
        <w:mirrorIndents/>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11">
    <w:p w14:paraId="387C6183" w14:textId="77777777" w:rsidR="00E77E6F" w:rsidRPr="00D226C8" w:rsidRDefault="00E77E6F" w:rsidP="00F506A3">
      <w:pPr>
        <w:spacing w:after="240"/>
        <w:ind w:firstLine="720"/>
        <w:mirrorIndents/>
      </w:pPr>
      <w:r w:rsidRPr="00D226C8">
        <w:rPr>
          <w:rStyle w:val="FootnoteReference"/>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12">
    <w:p w14:paraId="16B5AF37" w14:textId="77777777" w:rsidR="00E77E6F" w:rsidRPr="00D226C8" w:rsidRDefault="00E77E6F" w:rsidP="00F506A3">
      <w:pPr>
        <w:spacing w:after="240"/>
        <w:ind w:firstLine="720"/>
        <w:mirrorIndents/>
      </w:pPr>
      <w:r w:rsidRPr="00D226C8">
        <w:rPr>
          <w:rStyle w:val="FootnoteReference"/>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13">
    <w:p w14:paraId="646D3A42" w14:textId="77777777" w:rsidR="00E77E6F" w:rsidRDefault="00E77E6F" w:rsidP="00F506A3">
      <w:pPr>
        <w:ind w:firstLine="720"/>
        <w:mirrorIndents/>
      </w:pPr>
      <w:r w:rsidRPr="00D226C8">
        <w:rPr>
          <w:rStyle w:val="FootnoteReference"/>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r>
        <w:t xml:space="preserve"> A</w:t>
      </w:r>
      <w:r w:rsidRPr="00D226C8">
        <w:t xml:space="preserve">ppeals noted but did not address the possible argument </w:t>
      </w:r>
    </w:p>
    <w:p w14:paraId="418F8E18" w14:textId="77777777" w:rsidR="00E77E6F" w:rsidRDefault="00E77E6F" w:rsidP="00F506A3">
      <w:pPr>
        <w:ind w:left="720" w:right="720"/>
        <w:mirrorIndents/>
      </w:pPr>
    </w:p>
    <w:p w14:paraId="2D5CA81E" w14:textId="2CC2A062" w:rsidR="00E77E6F" w:rsidRPr="00D226C8" w:rsidRDefault="00E77E6F" w:rsidP="00F506A3">
      <w:pPr>
        <w:ind w:left="720" w:right="720"/>
        <w:mirrorIndents/>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E77E6F" w:rsidRPr="00D226C8" w:rsidRDefault="00E77E6F" w:rsidP="00F506A3">
      <w:pPr>
        <w:ind w:firstLine="720"/>
        <w:mirrorIndents/>
      </w:pPr>
    </w:p>
    <w:p w14:paraId="5F9917FD" w14:textId="77777777" w:rsidR="00E77E6F" w:rsidRPr="00D226C8" w:rsidRDefault="00E77E6F" w:rsidP="00F506A3">
      <w:pPr>
        <w:spacing w:after="240"/>
        <w:mirrorIndents/>
      </w:pPr>
      <w:r w:rsidRPr="00D226C8">
        <w:rPr>
          <w:i/>
          <w:iCs/>
        </w:rPr>
        <w:t>Id</w:t>
      </w:r>
      <w:r w:rsidRPr="00D226C8">
        <w:t>. at 324 n.15.</w:t>
      </w:r>
    </w:p>
  </w:footnote>
  <w:footnote w:id="214">
    <w:p w14:paraId="0F3A2AE4" w14:textId="77777777" w:rsidR="00E77E6F" w:rsidRPr="00D226C8" w:rsidRDefault="00E77E6F" w:rsidP="00F506A3">
      <w:pPr>
        <w:spacing w:after="240"/>
        <w:ind w:firstLine="720"/>
        <w:mirrorIndents/>
      </w:pPr>
      <w:r w:rsidRPr="00D226C8">
        <w:rPr>
          <w:rStyle w:val="FootnoteReference"/>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15">
    <w:p w14:paraId="458C287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whether this bar also applies to persons no longer in custody.  </w:t>
      </w:r>
      <w:r w:rsidRPr="00D226C8">
        <w:rPr>
          <w:i/>
          <w:iCs/>
        </w:rPr>
        <w:t xml:space="preserve">See infra </w:t>
      </w:r>
      <w:r w:rsidRPr="00D226C8">
        <w:t>Comment to Instruction 4.13.</w:t>
      </w:r>
    </w:p>
  </w:footnote>
  <w:footnote w:id="216">
    <w:p w14:paraId="2CF973EA" w14:textId="2D596E76"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the burden of proof regarding </w:t>
      </w:r>
      <w:r>
        <w:t>“</w:t>
      </w:r>
      <w:r w:rsidRPr="00D226C8">
        <w:t>reasonable suspicion.”</w:t>
      </w:r>
    </w:p>
  </w:footnote>
  <w:footnote w:id="217">
    <w:p w14:paraId="78E09632" w14:textId="77777777" w:rsidR="00E77E6F" w:rsidRPr="00D226C8" w:rsidRDefault="00E77E6F" w:rsidP="00F506A3">
      <w:pPr>
        <w:spacing w:after="240"/>
        <w:ind w:firstLine="720"/>
        <w:mirrorIndents/>
      </w:pPr>
      <w:r w:rsidRPr="00D226C8">
        <w:rPr>
          <w:rStyle w:val="FootnoteReference"/>
        </w:rPr>
        <w:footnoteRef/>
      </w:r>
      <w:r w:rsidRPr="00D226C8">
        <w:t xml:space="preserve">  This sentence may be included if there is relevant evidence of the officer’s training and/or experience.</w:t>
      </w:r>
    </w:p>
  </w:footnote>
  <w:footnote w:id="218">
    <w:p w14:paraId="5AEEF339" w14:textId="77777777" w:rsidR="00E77E6F" w:rsidRPr="00D226C8" w:rsidRDefault="00E77E6F" w:rsidP="00F506A3">
      <w:pPr>
        <w:spacing w:after="240"/>
        <w:ind w:firstLine="720"/>
        <w:mirrorIndents/>
      </w:pPr>
      <w:r w:rsidRPr="00D226C8">
        <w:rPr>
          <w:rStyle w:val="FootnoteReference"/>
        </w:rPr>
        <w:footnoteRef/>
      </w:r>
      <w:r w:rsidRPr="00D226C8">
        <w:t xml:space="preserve">  If a more detailed discussion of this issue is desired, language from the second paragraph of Instruction 4.12.2 can be added here.</w:t>
      </w:r>
    </w:p>
  </w:footnote>
  <w:footnote w:id="219">
    <w:p w14:paraId="1BF5C3AD" w14:textId="77777777" w:rsidR="00E77E6F" w:rsidRPr="00D226C8" w:rsidRDefault="00E77E6F" w:rsidP="00F506A3">
      <w:pPr>
        <w:ind w:firstLine="720"/>
        <w:mirrorIndents/>
      </w:pPr>
      <w:r w:rsidRPr="00D226C8">
        <w:rPr>
          <w:rStyle w:val="FootnoteReference"/>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E77E6F" w:rsidRPr="00D226C8" w:rsidRDefault="00E77E6F" w:rsidP="00F506A3">
      <w:pPr>
        <w:ind w:firstLine="720"/>
        <w:mirrorIndents/>
      </w:pPr>
    </w:p>
    <w:p w14:paraId="1763CA98" w14:textId="77777777" w:rsidR="00E77E6F" w:rsidRPr="00D226C8" w:rsidRDefault="00E77E6F" w:rsidP="00F506A3">
      <w:pPr>
        <w:ind w:left="720" w:right="720" w:firstLine="720"/>
        <w:mirrorIndents/>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E77E6F" w:rsidRPr="00D226C8" w:rsidRDefault="00E77E6F" w:rsidP="00F506A3">
      <w:pPr>
        <w:ind w:firstLine="720"/>
        <w:mirrorIndents/>
      </w:pPr>
    </w:p>
    <w:p w14:paraId="79B994CF" w14:textId="77777777" w:rsidR="00E77E6F" w:rsidRPr="00D226C8" w:rsidRDefault="00E77E6F" w:rsidP="00F506A3">
      <w:pPr>
        <w:mirrorIndents/>
      </w:pPr>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E77E6F" w:rsidRPr="00D226C8" w:rsidRDefault="00E77E6F" w:rsidP="00F506A3">
      <w:pPr>
        <w:ind w:firstLine="720"/>
        <w:mirrorIndents/>
      </w:pPr>
    </w:p>
    <w:p w14:paraId="02083AA8" w14:textId="77777777" w:rsidR="00E77E6F" w:rsidRPr="00D226C8" w:rsidRDefault="00E77E6F" w:rsidP="00F506A3">
      <w:pPr>
        <w:ind w:firstLine="720"/>
        <w:mirrorIndents/>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E77E6F" w:rsidRPr="00D226C8" w:rsidRDefault="00E77E6F" w:rsidP="00F506A3">
      <w:pPr>
        <w:ind w:firstLine="720"/>
        <w:mirrorIndents/>
      </w:pPr>
    </w:p>
    <w:p w14:paraId="08CED261" w14:textId="77777777" w:rsidR="00E77E6F" w:rsidRPr="00D226C8" w:rsidRDefault="00E77E6F" w:rsidP="00F506A3">
      <w:pPr>
        <w:ind w:left="720" w:right="720" w:firstLine="720"/>
        <w:mirrorIndents/>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w:t>
      </w:r>
      <w:r w:rsidRPr="00DD1E61">
        <w:rPr>
          <w:i/>
        </w:rPr>
        <w:t>Terry</w:t>
      </w:r>
      <w:r w:rsidRPr="00D226C8">
        <w:t xml:space="preserve"> and its fruits will be suppressed." </w:t>
      </w:r>
      <w:r w:rsidRPr="00D226C8">
        <w:rPr>
          <w:i/>
          <w:iCs/>
        </w:rPr>
        <w:t>Dickerson</w:t>
      </w:r>
      <w:r w:rsidRPr="00D226C8">
        <w:t>, 508 U.S. at 373.</w:t>
      </w:r>
    </w:p>
    <w:p w14:paraId="01698020" w14:textId="77777777" w:rsidR="00E77E6F" w:rsidRPr="00D226C8" w:rsidRDefault="00E77E6F" w:rsidP="00F506A3">
      <w:pPr>
        <w:ind w:firstLine="720"/>
        <w:mirrorIndents/>
      </w:pPr>
    </w:p>
    <w:p w14:paraId="4764F788" w14:textId="77777777" w:rsidR="00E77E6F" w:rsidRPr="00D226C8" w:rsidRDefault="00E77E6F" w:rsidP="00F506A3">
      <w:pPr>
        <w:spacing w:after="240"/>
        <w:mirrorIndents/>
      </w:pPr>
      <w:r w:rsidRPr="00D226C8">
        <w:rPr>
          <w:i/>
          <w:iCs/>
        </w:rPr>
        <w:t>United States v. Yamba</w:t>
      </w:r>
      <w:r w:rsidRPr="00D226C8">
        <w:t>, 506 F.3d 251, 259 (3d Cir. 2007).</w:t>
      </w:r>
    </w:p>
  </w:footnote>
  <w:footnote w:id="220">
    <w:p w14:paraId="0779072F" w14:textId="26A13792" w:rsidR="00E77E6F" w:rsidRPr="00D226C8" w:rsidRDefault="00E77E6F" w:rsidP="00900369">
      <w:pPr>
        <w:spacing w:after="240"/>
        <w:ind w:firstLine="720"/>
      </w:pPr>
      <w:r w:rsidRPr="00D226C8">
        <w:rPr>
          <w:rStyle w:val="FootnoteReference"/>
        </w:rPr>
        <w:footnoteRef/>
      </w:r>
      <w:r w:rsidRPr="00D226C8">
        <w:t xml:space="preserve">  </w:t>
      </w:r>
      <w:r w:rsidRPr="00D226C8">
        <w:rPr>
          <w:i/>
        </w:rPr>
        <w:t>See United States v. Lewis</w:t>
      </w:r>
      <w:r w:rsidRPr="00D226C8">
        <w:t>, 672 F.3d 232, 237-38 (3d Cir. 2012) (holding that</w:t>
      </w:r>
      <w:r w:rsidR="00900369">
        <w:t xml:space="preserve"> </w:t>
      </w:r>
      <w:r w:rsidRPr="00D226C8">
        <w:t>illegally tinted car windows could not justify stop of car absent any testimony that officers noticed the tinting prior to making the stop).</w:t>
      </w:r>
      <w:r w:rsidR="009E2D6A" w:rsidRPr="003B786C">
        <w:t xml:space="preserve"> In </w:t>
      </w:r>
      <w:r w:rsidR="009E2D6A" w:rsidRPr="003B786C">
        <w:rPr>
          <w:i/>
        </w:rPr>
        <w:t>Kansas v. Glover</w:t>
      </w:r>
      <w:r w:rsidR="009E2D6A" w:rsidRPr="003B786C">
        <w:t xml:space="preserve">, 140 S. Ct. 1183 (2020), the Supreme Court held that it is reasonable to infer that the driver of a car is likely its owner, even if the owner’s license has been revoked, but emphasized that additional facts—such as a gender and major age difference between the driver and the registered owner—might dispel reasonable suspicion. </w:t>
      </w:r>
      <w:r w:rsidR="009E2D6A" w:rsidRPr="003B786C">
        <w:rPr>
          <w:i/>
        </w:rPr>
        <w:t>Id</w:t>
      </w:r>
      <w:r w:rsidR="009E2D6A" w:rsidRPr="003B786C">
        <w:t xml:space="preserve">. at 1191. A concurring opinion stated the result might be different if the owner’s license had been suspended rather than revoked because the grounds for suspension may have more to do with being poor than with proclivity for breaking driving laws. </w:t>
      </w:r>
      <w:r w:rsidR="009E2D6A" w:rsidRPr="003B786C">
        <w:rPr>
          <w:i/>
        </w:rPr>
        <w:t>Id</w:t>
      </w:r>
      <w:r w:rsidR="009E2D6A" w:rsidRPr="003B786C">
        <w:t>. at 1192 (Kagan, J., joined by Ginsburg, J.).</w:t>
      </w:r>
    </w:p>
    <w:p w14:paraId="49154ECB" w14:textId="77777777" w:rsidR="00E77E6F" w:rsidRPr="00D226C8" w:rsidRDefault="00E77E6F" w:rsidP="00900369">
      <w:pPr>
        <w:spacing w:after="240"/>
        <w:ind w:firstLine="720"/>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21">
    <w:p w14:paraId="517CAED7" w14:textId="77777777" w:rsidR="00E77E6F" w:rsidRPr="00D226C8" w:rsidRDefault="00E77E6F" w:rsidP="00900369">
      <w:pPr>
        <w:ind w:firstLine="720"/>
      </w:pPr>
      <w:r w:rsidRPr="00D226C8">
        <w:rPr>
          <w:rStyle w:val="FootnoteReference"/>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E77E6F" w:rsidRPr="00D226C8" w:rsidRDefault="00E77E6F" w:rsidP="00F506A3">
      <w:pPr>
        <w:ind w:firstLine="720"/>
        <w:mirrorIndents/>
      </w:pPr>
    </w:p>
    <w:p w14:paraId="0722C18D" w14:textId="6FED45BB" w:rsidR="00E77E6F" w:rsidRPr="00042D53" w:rsidRDefault="00E77E6F" w:rsidP="001A260B">
      <w:pPr>
        <w:spacing w:after="240"/>
        <w:ind w:firstLine="720"/>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r>
        <w:rPr>
          <w:iCs/>
        </w:rPr>
        <w:t>;</w:t>
      </w:r>
      <w:r w:rsidR="00A65B98">
        <w:rPr>
          <w:iCs/>
        </w:rPr>
        <w:t xml:space="preserve"> </w:t>
      </w:r>
      <w:r w:rsidR="00A65B98" w:rsidRPr="00A65B98">
        <w:rPr>
          <w:i/>
          <w:iCs/>
        </w:rPr>
        <w:t>United States v. Torres</w:t>
      </w:r>
      <w:r w:rsidR="00A65B98" w:rsidRPr="00A65B98">
        <w:rPr>
          <w:iCs/>
        </w:rPr>
        <w:t xml:space="preserve">, 961 F.3d 618, 624 (3d Cir. 2020) (upholding stop because </w:t>
      </w:r>
      <w:r w:rsidR="00A65B98" w:rsidRPr="00A65B98">
        <w:t xml:space="preserve">“the tipster had just witnessed the alleged criminal activity” in a “high-crime area,” and </w:t>
      </w:r>
      <w:r w:rsidR="00A65B98" w:rsidRPr="00A65B98">
        <w:rPr>
          <w:iCs/>
        </w:rPr>
        <w:t xml:space="preserve">officer had </w:t>
      </w:r>
      <w:r w:rsidR="00A65B98" w:rsidRPr="00A65B98">
        <w:t>“interacted with the tipster face-to-face and thus could assess his credibility” and “would likely be able to hold the man accountable if his allegation were untrue,” even though he “did not know the tipster’s name or his car’s license plate number,” because “he did know what the man looked like and the make of the car that he drove”);</w:t>
      </w:r>
      <w:r w:rsidR="00A65B98">
        <w:t xml:space="preserve"> </w:t>
      </w:r>
      <w:r w:rsidRPr="00042D53">
        <w:rPr>
          <w:i/>
          <w:iCs/>
        </w:rPr>
        <w:t>United States v. McCants</w:t>
      </w:r>
      <w:r w:rsidRPr="00042D53">
        <w:rPr>
          <w:iCs/>
        </w:rPr>
        <w:t>, 920 F.3d 169, 177 (3d Cir.)</w:t>
      </w:r>
      <w:r w:rsidR="006A3791">
        <w:rPr>
          <w:iCs/>
        </w:rPr>
        <w:t>,</w:t>
      </w:r>
      <w:r w:rsidR="00EF520D">
        <w:rPr>
          <w:iCs/>
        </w:rPr>
        <w:t xml:space="preserve"> </w:t>
      </w:r>
      <w:r w:rsidR="00024C11" w:rsidRPr="00024C11">
        <w:rPr>
          <w:i/>
        </w:rPr>
        <w:t>vacated and remanded for further consideration based on an intervening decision</w:t>
      </w:r>
      <w:r w:rsidR="00024C11" w:rsidRPr="00024C11">
        <w:rPr>
          <w:iCs/>
        </w:rPr>
        <w:t xml:space="preserve">, 140 S. Ct. 375 (2019), </w:t>
      </w:r>
      <w:r w:rsidR="00024C11" w:rsidRPr="00024C11">
        <w:rPr>
          <w:i/>
        </w:rPr>
        <w:t>original opinion reissued after defendant abandoned challenge based on that decision</w:t>
      </w:r>
      <w:r w:rsidR="00024C11" w:rsidRPr="00024C11">
        <w:rPr>
          <w:iCs/>
        </w:rPr>
        <w:t>, 952 F.3d 416, 424 (3d Cir. 2020)</w:t>
      </w:r>
      <w:r w:rsidR="00024C11">
        <w:rPr>
          <w:iCs/>
        </w:rPr>
        <w:t xml:space="preserve"> </w:t>
      </w:r>
      <w:r w:rsidRPr="00042D53">
        <w:rPr>
          <w:iCs/>
        </w:rPr>
        <w:t>(holding that police officers had reasonable suspicion where anonymous “caller used the 911 system to report an eyewitness account of domestic violence and provided the officers with a detailed description of the suspect and location, both of which were quickly confirmed by the police”).</w:t>
      </w:r>
    </w:p>
  </w:footnote>
  <w:footnote w:id="222">
    <w:p w14:paraId="5B67F9A4" w14:textId="77777777" w:rsidR="00E77E6F" w:rsidRPr="00D226C8" w:rsidRDefault="00E77E6F" w:rsidP="00F506A3">
      <w:pPr>
        <w:spacing w:after="240"/>
        <w:ind w:firstLine="720"/>
        <w:mirrorIndents/>
      </w:pPr>
      <w:r w:rsidRPr="00D226C8">
        <w:rPr>
          <w:rStyle w:val="FootnoteReference"/>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23">
    <w:p w14:paraId="3EE0E3FE" w14:textId="77777777" w:rsidR="00E77E6F" w:rsidRPr="00D226C8" w:rsidRDefault="00E77E6F" w:rsidP="00F506A3">
      <w:pPr>
        <w:spacing w:after="240"/>
        <w:ind w:firstLine="720"/>
        <w:mirrorIndents/>
      </w:pPr>
      <w:r w:rsidRPr="00D226C8">
        <w:rPr>
          <w:rStyle w:val="FootnoteReference"/>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24">
    <w:p w14:paraId="549751D3" w14:textId="77777777" w:rsidR="00E77E6F" w:rsidRPr="00D226C8" w:rsidRDefault="00E77E6F" w:rsidP="00B550F3">
      <w:pPr>
        <w:ind w:firstLine="720"/>
      </w:pPr>
      <w:r w:rsidRPr="00D226C8">
        <w:rPr>
          <w:rStyle w:val="FootnoteReference"/>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[the] mistake of law did not render the traffic stop unconstitutional”).</w:t>
      </w:r>
    </w:p>
    <w:p w14:paraId="4C2B0197" w14:textId="77777777" w:rsidR="00E77E6F" w:rsidRPr="00D226C8" w:rsidRDefault="00E77E6F" w:rsidP="00F506A3">
      <w:pPr>
        <w:ind w:firstLine="720"/>
        <w:mirrorIndents/>
      </w:pPr>
    </w:p>
  </w:footnote>
  <w:footnote w:id="225">
    <w:p w14:paraId="28E8D3F3" w14:textId="1B14DD1B" w:rsidR="00E77E6F" w:rsidRPr="00D226C8" w:rsidRDefault="00E77E6F" w:rsidP="00B550F3">
      <w:pPr>
        <w:spacing w:after="240"/>
        <w:ind w:firstLine="720"/>
      </w:pPr>
      <w:r w:rsidRPr="00D226C8">
        <w:rPr>
          <w:rStyle w:val="FootnoteReference"/>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r w:rsidRPr="008D790E">
        <w:t>)</w:t>
      </w:r>
      <w:r w:rsidR="006F0FAB" w:rsidRPr="008D790E">
        <w:t xml:space="preserve">; </w:t>
      </w:r>
      <w:r w:rsidR="006F0FAB" w:rsidRPr="008D790E">
        <w:rPr>
          <w:i/>
        </w:rPr>
        <w:t>United States v. Torres</w:t>
      </w:r>
      <w:r w:rsidR="006F0FAB" w:rsidRPr="008D790E">
        <w:t>, 961 F.3d 618 (3d Cir. 2020) (holding that a seizure was a stop rather than an arrest because “thirty-five seconds elapsed between the time when [the officer] ordered Torres to stop and when police secured Torres’s firearm”).</w:t>
      </w:r>
      <w:r w:rsidR="006F0FAB" w:rsidRPr="008D790E">
        <w:rPr>
          <w:rFonts w:ascii="Century Schoolbook" w:hAnsi="Century Schoolbook"/>
        </w:rPr>
        <w:t xml:space="preserve">  </w:t>
      </w:r>
    </w:p>
  </w:footnote>
  <w:footnote w:id="226">
    <w:p w14:paraId="0717DFC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rPr>
        <w:t>See United States v. Navedo</w:t>
      </w:r>
      <w:r w:rsidRPr="00D226C8">
        <w:t xml:space="preserve">, 694 F.3d 463, 474 (3d Cir. 2012) (“Unprovoked flight can only elevate reasonable suspicion to probable cause if police have ‘reasonably trustworthy information or circumstances’ to believe that an individual is engaged in criminal activity ….”) (quoting </w:t>
      </w:r>
      <w:r w:rsidRPr="00D226C8">
        <w:rPr>
          <w:i/>
        </w:rPr>
        <w:t>United States v. Laville</w:t>
      </w:r>
      <w:r w:rsidRPr="00D226C8">
        <w:t>, 480 F.3d 187, 194 (3d Cir. 2007)).</w:t>
      </w:r>
    </w:p>
  </w:footnote>
  <w:footnote w:id="227">
    <w:p w14:paraId="39F1A319"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paragraph only if the defendant disputes that an arrest occurred.</w:t>
      </w:r>
    </w:p>
  </w:footnote>
  <w:footnote w:id="228">
    <w:p w14:paraId="060AD7F1" w14:textId="77777777" w:rsidR="00E77E6F" w:rsidRPr="00D226C8" w:rsidRDefault="00E77E6F" w:rsidP="00F506A3">
      <w:pPr>
        <w:spacing w:after="240"/>
        <w:ind w:firstLine="720"/>
        <w:mirrorIndents/>
      </w:pPr>
      <w:r w:rsidRPr="00D226C8">
        <w:rPr>
          <w:rStyle w:val="FootnoteReference"/>
        </w:rPr>
        <w:footnoteRef/>
      </w:r>
      <w:r w:rsidRPr="00D226C8">
        <w:t xml:space="preserve">  Include this phrase only if the defendant disputes that an arrest occurred.</w:t>
      </w:r>
    </w:p>
  </w:footnote>
  <w:footnote w:id="229">
    <w:p w14:paraId="690AF491" w14:textId="77777777" w:rsidR="00E77E6F" w:rsidRPr="00D226C8" w:rsidRDefault="00E77E6F" w:rsidP="00F506A3">
      <w:pPr>
        <w:spacing w:after="240"/>
        <w:ind w:firstLine="720"/>
        <w:mirrorIndents/>
      </w:pPr>
      <w:r w:rsidRPr="00D226C8">
        <w:rPr>
          <w:rStyle w:val="FootnoteReference"/>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30">
    <w:p w14:paraId="64554B78" w14:textId="77777777" w:rsidR="00E77E6F" w:rsidRPr="00D226C8" w:rsidRDefault="00E77E6F" w:rsidP="00F506A3">
      <w:pPr>
        <w:spacing w:after="240"/>
        <w:ind w:firstLine="720"/>
        <w:mirrorIndents/>
      </w:pPr>
      <w:r w:rsidRPr="00D226C8">
        <w:rPr>
          <w:rStyle w:val="FootnoteReference"/>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31">
    <w:p w14:paraId="373D30E8" w14:textId="77777777" w:rsidR="00E77E6F" w:rsidRPr="00D226C8" w:rsidRDefault="00E77E6F" w:rsidP="00F506A3">
      <w:pPr>
        <w:spacing w:after="240"/>
        <w:ind w:firstLine="720"/>
        <w:mirrorIndents/>
      </w:pPr>
      <w:r w:rsidRPr="00D226C8">
        <w:rPr>
          <w:rStyle w:val="FootnoteReference"/>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32">
    <w:p w14:paraId="418A06DA" w14:textId="77777777" w:rsidR="00E77E6F" w:rsidRPr="00D226C8" w:rsidRDefault="00E77E6F" w:rsidP="00F506A3">
      <w:pPr>
        <w:ind w:firstLine="720"/>
        <w:mirrorIndents/>
      </w:pPr>
      <w:r w:rsidRPr="00D226C8">
        <w:rPr>
          <w:rStyle w:val="FootnoteReference"/>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E77E6F" w:rsidRPr="00D226C8" w:rsidRDefault="00E77E6F" w:rsidP="00F506A3">
      <w:pPr>
        <w:ind w:firstLine="720"/>
        <w:mirrorIndents/>
      </w:pPr>
    </w:p>
    <w:p w14:paraId="6735B97A" w14:textId="5AEF6814" w:rsidR="00E77E6F" w:rsidRPr="00D226C8" w:rsidRDefault="00E77E6F" w:rsidP="00F506A3">
      <w:pPr>
        <w:spacing w:after="240"/>
        <w:ind w:firstLine="720"/>
        <w:mirrorIndents/>
      </w:pPr>
      <w:r w:rsidRPr="00D226C8">
        <w:t xml:space="preserve">Whether the seizure rises to the level of an arrest (so as to require probable cause) depends on the circumstances.  </w:t>
      </w:r>
      <w:r w:rsidRPr="00D226C8">
        <w:rPr>
          <w:i/>
          <w:iCs/>
        </w:rPr>
        <w:t>See, e.g., Kaupp v. Texas</w:t>
      </w:r>
      <w:r w:rsidRPr="00D226C8">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sidRPr="00D226C8">
        <w:rPr>
          <w:i/>
          <w:iCs/>
        </w:rPr>
        <w:t>Dunaway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t xml:space="preserve">; </w:t>
      </w:r>
      <w:r w:rsidRPr="00672C74">
        <w:rPr>
          <w:i/>
        </w:rPr>
        <w:t>United State v. Wrensford</w:t>
      </w:r>
      <w:r w:rsidRPr="00672C74">
        <w:t>, 866 F.3d 76 (3d Cir. 2017) (holding that involuntary transportation to the police station and detention in a cell constituted an arrest)</w:t>
      </w:r>
      <w:r>
        <w:t>;</w:t>
      </w:r>
      <w:r w:rsidRPr="009D7FE9">
        <w:rPr>
          <w:i/>
        </w:rPr>
        <w:t xml:space="preserve"> </w:t>
      </w:r>
      <w:r w:rsidRPr="00774721">
        <w:rPr>
          <w:i/>
        </w:rPr>
        <w:t>United States v. Foster</w:t>
      </w:r>
      <w:r w:rsidRPr="00774721">
        <w:t>, 891 F.3d 93, 106–07 (3d Cir. 2018)</w:t>
      </w:r>
      <w:r>
        <w:t xml:space="preserve"> (holding that </w:t>
      </w:r>
      <w:r w:rsidRPr="00774721">
        <w:t xml:space="preserve">the scope of a permissible </w:t>
      </w:r>
      <w:r w:rsidRPr="00774721">
        <w:rPr>
          <w:i/>
        </w:rPr>
        <w:t>Terry</w:t>
      </w:r>
      <w:r w:rsidRPr="00774721">
        <w:t xml:space="preserve"> stop was not exceeded even though the suspect was put in handcuffs and transported a short distance for identification</w:t>
      </w:r>
      <w:r>
        <w:t>)</w:t>
      </w:r>
      <w:r w:rsidRPr="00774721">
        <w:t>.</w:t>
      </w:r>
    </w:p>
  </w:footnote>
  <w:footnote w:id="233">
    <w:p w14:paraId="131966D3"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34">
    <w:p w14:paraId="508A5689" w14:textId="77777777" w:rsidR="00E77E6F" w:rsidRPr="00D226C8" w:rsidRDefault="00E77E6F" w:rsidP="00F506A3">
      <w:pPr>
        <w:ind w:firstLine="720"/>
        <w:mirrorIndents/>
      </w:pPr>
      <w:r w:rsidRPr="00D226C8">
        <w:rPr>
          <w:rStyle w:val="FootnoteReference"/>
        </w:rPr>
        <w:footnoteRef/>
      </w:r>
      <w:r w:rsidRPr="00D226C8">
        <w:t xml:space="preserve">  Discussing the issuance of search warrants, the Court has held:</w:t>
      </w:r>
    </w:p>
    <w:p w14:paraId="6626B436" w14:textId="77777777" w:rsidR="00E77E6F" w:rsidRPr="00D226C8" w:rsidRDefault="00E77E6F" w:rsidP="00F506A3">
      <w:pPr>
        <w:ind w:firstLine="720"/>
        <w:mirrorIndents/>
      </w:pPr>
    </w:p>
    <w:p w14:paraId="75DC71C7" w14:textId="77777777" w:rsidR="00E77E6F" w:rsidRPr="00D226C8" w:rsidRDefault="00E77E6F" w:rsidP="00F506A3">
      <w:pPr>
        <w:ind w:left="720" w:right="720" w:firstLine="720"/>
        <w:mirrorIndents/>
      </w:pPr>
      <w:r w:rsidRPr="00D226C8">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E77E6F" w:rsidRPr="00D226C8" w:rsidRDefault="00E77E6F" w:rsidP="00F506A3">
      <w:pPr>
        <w:ind w:firstLine="720"/>
        <w:mirrorIndents/>
      </w:pPr>
    </w:p>
    <w:p w14:paraId="6A2E6168" w14:textId="77777777" w:rsidR="00E77E6F" w:rsidRPr="00D226C8" w:rsidRDefault="00E77E6F" w:rsidP="00F506A3">
      <w:pPr>
        <w:spacing w:after="240"/>
        <w:mirrorIndents/>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35">
    <w:p w14:paraId="105BBB89" w14:textId="77777777" w:rsidR="00E77E6F" w:rsidRPr="00D226C8" w:rsidRDefault="00E77E6F" w:rsidP="00F506A3">
      <w:pPr>
        <w:spacing w:after="240"/>
        <w:ind w:firstLine="720"/>
        <w:mirrorIndents/>
      </w:pPr>
      <w:r w:rsidRPr="00D226C8">
        <w:rPr>
          <w:rStyle w:val="FootnoteReference"/>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p>
    <w:p w14:paraId="2A3627B3" w14:textId="59A8A043" w:rsidR="00E77E6F" w:rsidRPr="00D226C8" w:rsidRDefault="00E77E6F" w:rsidP="00F506A3">
      <w:pPr>
        <w:spacing w:after="240"/>
        <w:ind w:firstLine="720"/>
        <w:mirrorIndents/>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r w:rsidRPr="00D226C8">
        <w:t>at 2094-96</w:t>
      </w:r>
      <w:r>
        <w:t>;</w:t>
      </w:r>
      <w:r w:rsidRPr="008822DE">
        <w:t xml:space="preserve"> </w:t>
      </w:r>
      <w:r w:rsidRPr="00DA4A1F">
        <w:rPr>
          <w:i/>
        </w:rPr>
        <w:t>see also</w:t>
      </w:r>
      <w:r w:rsidRPr="008822DE">
        <w:t xml:space="preserve"> </w:t>
      </w:r>
      <w:r w:rsidRPr="008822DE">
        <w:rPr>
          <w:i/>
        </w:rPr>
        <w:t>Lozman v. City of Riviera Beach, Fla.</w:t>
      </w:r>
      <w:r w:rsidRPr="008822DE">
        <w:t>, 138 S. Ct. 1945, 1954-55 (2018) (holding that because the plaintiff sued the city itself—based on the allegation that the city (through its legislators) formed a premeditated plan to intimidate him in retaliation for his speech and those same high officers ordered his arrest—probable cause did not defeat the claim, but not deciding whether probable cause would defeat a claim against an arresting officer who was the one alleged to have engaged in the retaliation)</w:t>
      </w:r>
      <w:r>
        <w:t xml:space="preserve">; </w:t>
      </w:r>
      <w:r w:rsidRPr="00E67699">
        <w:rPr>
          <w:i/>
        </w:rPr>
        <w:t>Nieves v. Bartlett</w:t>
      </w:r>
      <w:r w:rsidRPr="00E67699">
        <w:t>, 139 S. Ct. 1715, 1727 (2019) (holding that “probable cause should generally defeat a retaliatory arrest claim,” but that “the no-probable-cause requirement should not apply when a plaintiff presents objective evidence that he was arrested when otherwise similarly situated individuals not engaged in the same sort of protected speech had not been”).</w:t>
      </w:r>
    </w:p>
  </w:footnote>
  <w:footnote w:id="236">
    <w:p w14:paraId="7A9DC8F4" w14:textId="0052695C" w:rsidR="00E77E6F" w:rsidRPr="00D226C8" w:rsidRDefault="00E77E6F" w:rsidP="00F506A3">
      <w:pPr>
        <w:spacing w:after="240"/>
        <w:ind w:firstLine="720"/>
        <w:mirrorIndents/>
      </w:pPr>
      <w:r w:rsidRPr="00D226C8">
        <w:rPr>
          <w:rStyle w:val="FootnoteReference"/>
        </w:rPr>
        <w:footnoteRef/>
      </w:r>
      <w:r w:rsidRPr="00D226C8">
        <w:t xml:space="preserve">  “[T]he common law presumption raised by a magistrate</w:t>
      </w:r>
      <w:r>
        <w:t>’</w:t>
      </w:r>
      <w:r w:rsidRPr="00D226C8">
        <w:t xml:space="preserve">s prior finding that probable cause exists does not apply to section 1983 actions.”  </w:t>
      </w:r>
      <w:r w:rsidRPr="00D226C8">
        <w:rPr>
          <w:i/>
          <w:iCs/>
        </w:rPr>
        <w:t>Merkle v. Upper Dublin School Dist.</w:t>
      </w:r>
      <w:r w:rsidRPr="00D226C8">
        <w:t>, 211 F.3d 782, 789 (3d Cir. 2000).</w:t>
      </w:r>
    </w:p>
  </w:footnote>
  <w:footnote w:id="237">
    <w:p w14:paraId="12332B0F" w14:textId="77777777" w:rsidR="00E77E6F" w:rsidRPr="00D226C8" w:rsidRDefault="00E77E6F" w:rsidP="00F506A3">
      <w:pPr>
        <w:ind w:firstLine="720"/>
        <w:mirrorIndents/>
      </w:pPr>
      <w:r w:rsidRPr="00D226C8">
        <w:rPr>
          <w:rStyle w:val="FootnoteReference"/>
        </w:rPr>
        <w:footnoteRef/>
      </w:r>
      <w:r w:rsidRPr="00D226C8">
        <w:t xml:space="preserve">  By contrast, another Circuit has shifted the burden of production but not the burden of proof:</w:t>
      </w:r>
    </w:p>
    <w:p w14:paraId="5007A003" w14:textId="77777777" w:rsidR="00E77E6F" w:rsidRPr="00D226C8" w:rsidRDefault="00E77E6F" w:rsidP="00F506A3">
      <w:pPr>
        <w:ind w:firstLine="720"/>
        <w:mirrorIndents/>
      </w:pPr>
    </w:p>
    <w:p w14:paraId="4F926A75" w14:textId="77777777" w:rsidR="00E77E6F" w:rsidRPr="00D226C8" w:rsidRDefault="00E77E6F" w:rsidP="00F506A3">
      <w:pPr>
        <w:ind w:left="720" w:right="720" w:firstLine="720"/>
        <w:mirrorIndents/>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E77E6F" w:rsidRPr="00D226C8" w:rsidRDefault="00E77E6F" w:rsidP="00F506A3">
      <w:pPr>
        <w:ind w:firstLine="720"/>
        <w:mirrorIndents/>
      </w:pPr>
    </w:p>
    <w:p w14:paraId="1EB6235A" w14:textId="77777777" w:rsidR="00E77E6F" w:rsidRPr="00D226C8" w:rsidRDefault="00E77E6F" w:rsidP="00F506A3">
      <w:pPr>
        <w:spacing w:after="240"/>
        <w:mirrorIndents/>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38">
    <w:p w14:paraId="4C76F58F"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r w:rsidRPr="00D226C8">
        <w:t xml:space="preserve">at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r w:rsidRPr="00D226C8">
        <w:t xml:space="preserve">at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E77E6F" w:rsidRPr="00D226C8" w:rsidRDefault="00E77E6F" w:rsidP="00F506A3">
      <w:pPr>
        <w:ind w:firstLine="720"/>
        <w:mirrorIndents/>
      </w:pPr>
    </w:p>
    <w:p w14:paraId="327EF56E" w14:textId="77777777" w:rsidR="00E77E6F" w:rsidRPr="00D226C8" w:rsidRDefault="00E77E6F" w:rsidP="00F506A3">
      <w:pPr>
        <w:spacing w:after="240"/>
        <w:ind w:firstLine="720"/>
        <w:mirrorIndents/>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39">
    <w:p w14:paraId="4B9A4664" w14:textId="77777777" w:rsidR="00E77E6F" w:rsidRPr="00D226C8" w:rsidRDefault="00E77E6F" w:rsidP="00F506A3">
      <w:pPr>
        <w:spacing w:after="240"/>
        <w:ind w:firstLine="720"/>
        <w:mirrorIndents/>
      </w:pPr>
      <w:r w:rsidRPr="00D226C8">
        <w:rPr>
          <w:rStyle w:val="FootnoteReference"/>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40">
    <w:p w14:paraId="788B4477" w14:textId="77777777" w:rsidR="00E77E6F" w:rsidRPr="00D226C8" w:rsidRDefault="00E77E6F" w:rsidP="00F506A3">
      <w:pPr>
        <w:spacing w:after="240"/>
        <w:ind w:firstLine="720"/>
        <w:mirrorIndents/>
      </w:pPr>
      <w:r w:rsidRPr="00D226C8">
        <w:rPr>
          <w:rStyle w:val="FootnoteReference"/>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41">
    <w:p w14:paraId="11CE76C7"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42">
    <w:p w14:paraId="38AF7959" w14:textId="77777777" w:rsidR="00E77E6F" w:rsidRPr="00D226C8" w:rsidRDefault="00E77E6F" w:rsidP="00F506A3">
      <w:pPr>
        <w:ind w:firstLine="720"/>
        <w:mirrorIndents/>
      </w:pPr>
      <w:r w:rsidRPr="00D226C8">
        <w:rPr>
          <w:rStyle w:val="FootnoteReference"/>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E77E6F" w:rsidRPr="00D226C8" w:rsidRDefault="00E77E6F" w:rsidP="00F506A3">
      <w:pPr>
        <w:ind w:firstLine="720"/>
        <w:mirrorIndents/>
      </w:pPr>
    </w:p>
    <w:p w14:paraId="2C647410" w14:textId="77777777" w:rsidR="00E77E6F" w:rsidRPr="00D226C8" w:rsidRDefault="00E77E6F" w:rsidP="00F506A3">
      <w:pPr>
        <w:spacing w:after="240"/>
        <w:ind w:firstLine="720"/>
        <w:mirrorIndents/>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43">
    <w:p w14:paraId="24C550D9" w14:textId="77777777" w:rsidR="00E77E6F" w:rsidRPr="00D226C8" w:rsidRDefault="00E77E6F" w:rsidP="00F506A3">
      <w:pPr>
        <w:ind w:firstLine="720"/>
        <w:mirrorIndents/>
      </w:pPr>
      <w:r w:rsidRPr="00D226C8">
        <w:rPr>
          <w:rStyle w:val="FootnoteReference"/>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E77E6F" w:rsidRPr="00D226C8" w:rsidRDefault="00E77E6F" w:rsidP="00F506A3">
      <w:pPr>
        <w:ind w:firstLine="720"/>
        <w:mirrorIndents/>
      </w:pPr>
    </w:p>
    <w:p w14:paraId="7EB502F7" w14:textId="42D1DAFE" w:rsidR="00E77E6F" w:rsidRPr="00D226C8" w:rsidRDefault="00E77E6F" w:rsidP="00F506A3">
      <w:pPr>
        <w:ind w:firstLine="720"/>
        <w:mirrorIndents/>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t>“</w:t>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r>
        <w:t xml:space="preserve"> </w:t>
      </w: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footnote>
  <w:footnote w:id="244">
    <w:p w14:paraId="013FB180" w14:textId="77777777" w:rsidR="00E77E6F" w:rsidRPr="00D226C8" w:rsidRDefault="00E77E6F" w:rsidP="00F506A3">
      <w:pPr>
        <w:spacing w:after="240"/>
        <w:ind w:firstLine="720"/>
        <w:mirrorIndents/>
      </w:pPr>
      <w:r w:rsidRPr="00D226C8">
        <w:rPr>
          <w:rStyle w:val="FootnoteReference"/>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45">
    <w:p w14:paraId="0389210B" w14:textId="77777777" w:rsidR="00E77E6F" w:rsidRPr="00D226C8" w:rsidRDefault="00E77E6F" w:rsidP="00F506A3">
      <w:pPr>
        <w:spacing w:after="240"/>
        <w:ind w:firstLine="720"/>
        <w:mirrorIndents/>
      </w:pPr>
      <w:r w:rsidRPr="00D226C8">
        <w:rPr>
          <w:rStyle w:val="FootnoteReference"/>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46">
    <w:p w14:paraId="3EC5568C" w14:textId="77777777" w:rsidR="00E77E6F" w:rsidRPr="00D226C8" w:rsidRDefault="00E77E6F" w:rsidP="00F506A3">
      <w:pPr>
        <w:spacing w:after="240"/>
        <w:ind w:firstLine="720"/>
        <w:mirrorIndents/>
      </w:pPr>
      <w:r w:rsidRPr="00D226C8">
        <w:rPr>
          <w:rStyle w:val="FootnoteReference"/>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47">
    <w:p w14:paraId="33961CFF"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48">
    <w:p w14:paraId="20E33EF3" w14:textId="77777777" w:rsidR="00E77E6F" w:rsidRPr="00D226C8" w:rsidRDefault="00E77E6F" w:rsidP="00F506A3">
      <w:pPr>
        <w:ind w:firstLine="720"/>
        <w:mirrorIndents/>
      </w:pPr>
      <w:r w:rsidRPr="00D226C8">
        <w:rPr>
          <w:rStyle w:val="FootnoteReference"/>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E77E6F" w:rsidRPr="00D226C8" w:rsidRDefault="00E77E6F" w:rsidP="00F506A3">
      <w:pPr>
        <w:ind w:firstLine="720"/>
        <w:mirrorIndents/>
      </w:pPr>
    </w:p>
    <w:p w14:paraId="23FEC10F" w14:textId="77777777" w:rsidR="00E77E6F" w:rsidRPr="00D226C8" w:rsidRDefault="00E77E6F" w:rsidP="00F506A3">
      <w:pPr>
        <w:ind w:left="720" w:right="720" w:firstLine="720"/>
        <w:mirrorIndents/>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E77E6F" w:rsidRPr="00D226C8" w:rsidRDefault="00E77E6F" w:rsidP="00F506A3">
      <w:pPr>
        <w:ind w:firstLine="720"/>
        <w:mirrorIndents/>
      </w:pPr>
    </w:p>
    <w:p w14:paraId="7E298779" w14:textId="77777777" w:rsidR="00E77E6F" w:rsidRPr="00D226C8" w:rsidRDefault="00E77E6F" w:rsidP="00F506A3">
      <w:pPr>
        <w:spacing w:after="240"/>
        <w:mirrorIndents/>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49">
    <w:p w14:paraId="1A3F29DD"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at 271-72.  A second FBI agent incorporated this assertion into an affidavit in support of a search warrant application in connection with his investigation of Shields.  </w:t>
      </w:r>
      <w:r w:rsidRPr="00D226C8">
        <w:rPr>
          <w:i/>
          <w:iCs/>
        </w:rPr>
        <w:t>See id.</w:t>
      </w:r>
      <w:r w:rsidRPr="00D226C8">
        <w:t xml:space="preserve"> at 272-73.  It was subsequently discovered that the assertion concerning automatic subscription was false.  </w:t>
      </w:r>
      <w:r w:rsidRPr="00D226C8">
        <w:rPr>
          <w:i/>
          <w:iCs/>
        </w:rPr>
        <w:t>See id.</w:t>
      </w:r>
      <w:r w:rsidRPr="00D226C8">
        <w:t xml:space="preserve"> at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at 277; thus, </w:t>
      </w:r>
      <w:r w:rsidRPr="00D226C8">
        <w:rPr>
          <w:i/>
          <w:iCs/>
        </w:rPr>
        <w:t>Shields</w:t>
      </w:r>
      <w:r w:rsidRPr="00D226C8">
        <w:t>’ discussion of laundering a falsehood through an unwitting affiant is dictum.</w:t>
      </w:r>
    </w:p>
  </w:footnote>
  <w:footnote w:id="250">
    <w:p w14:paraId="0435D556" w14:textId="77777777" w:rsidR="00E77E6F" w:rsidRPr="00D226C8" w:rsidRDefault="00E77E6F" w:rsidP="00F506A3">
      <w:pPr>
        <w:spacing w:after="240"/>
        <w:ind w:firstLine="720"/>
        <w:mirrorIndents/>
      </w:pPr>
      <w:r w:rsidRPr="00D226C8">
        <w:rPr>
          <w:rStyle w:val="FootnoteReference"/>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51">
    <w:p w14:paraId="2045F3C0"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52">
    <w:p w14:paraId="36A4C65F" w14:textId="77777777" w:rsidR="00E77E6F" w:rsidRPr="00D226C8" w:rsidRDefault="00E77E6F" w:rsidP="00F506A3">
      <w:pPr>
        <w:spacing w:after="240"/>
        <w:ind w:firstLine="720"/>
        <w:mirrorIndents/>
      </w:pPr>
      <w:r w:rsidRPr="00D226C8">
        <w:rPr>
          <w:rStyle w:val="FootnoteReference"/>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at 269-70.</w:t>
      </w:r>
    </w:p>
  </w:footnote>
  <w:footnote w:id="253">
    <w:p w14:paraId="6A5AF823" w14:textId="77777777" w:rsidR="00E77E6F" w:rsidRPr="00D226C8" w:rsidRDefault="00E77E6F" w:rsidP="00F506A3">
      <w:pPr>
        <w:spacing w:after="240"/>
        <w:ind w:firstLine="720"/>
        <w:mirrorIndents/>
      </w:pPr>
      <w:r w:rsidRPr="00D226C8">
        <w:rPr>
          <w:rStyle w:val="FootnoteReference"/>
        </w:rPr>
        <w:footnoteRef/>
      </w:r>
      <w:r w:rsidRPr="00D226C8">
        <w:t xml:space="preserve">  See Comment for a discussion of the burden of proof with respect to this element.</w:t>
      </w:r>
    </w:p>
  </w:footnote>
  <w:footnote w:id="254">
    <w:p w14:paraId="3EEE3773" w14:textId="30576845" w:rsidR="00E77E6F" w:rsidRPr="00D226C8" w:rsidRDefault="00E77E6F" w:rsidP="00F506A3">
      <w:pPr>
        <w:spacing w:after="240"/>
        <w:ind w:firstLine="720"/>
        <w:mirrorIndents/>
      </w:pPr>
      <w:r w:rsidRPr="00D226C8">
        <w:rPr>
          <w:rStyle w:val="FootnoteReference"/>
        </w:rPr>
        <w:footnoteRef/>
      </w:r>
      <w:r w:rsidRPr="00D226C8">
        <w:t xml:space="preserve">  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55">
    <w:p w14:paraId="53D1FD5C" w14:textId="77777777" w:rsidR="00E77E6F" w:rsidRPr="00D226C8" w:rsidRDefault="00E77E6F" w:rsidP="00F506A3">
      <w:pPr>
        <w:spacing w:after="240"/>
        <w:ind w:firstLine="720"/>
        <w:mirrorIndents/>
      </w:pPr>
      <w:r w:rsidRPr="00D226C8">
        <w:rPr>
          <w:rStyle w:val="FootnoteReference"/>
        </w:rPr>
        <w:footnoteRef/>
      </w:r>
      <w:r w:rsidRPr="00D226C8">
        <w:t xml:space="preserve">  The defendant’s initiation of the proceeding will often be undisputed.  If possible, the court should rule as a matter of law on the questions of favorable termination and of seizure.</w:t>
      </w:r>
    </w:p>
  </w:footnote>
  <w:footnote w:id="256">
    <w:p w14:paraId="39F1904F" w14:textId="77777777" w:rsidR="00E77E6F" w:rsidRPr="00D226C8" w:rsidRDefault="00E77E6F" w:rsidP="00F506A3">
      <w:pPr>
        <w:spacing w:after="240"/>
        <w:ind w:firstLine="720"/>
        <w:mirrorIndents/>
      </w:pPr>
      <w:r w:rsidRPr="00D226C8">
        <w:rPr>
          <w:rStyle w:val="FootnoteReference"/>
        </w:rPr>
        <w:footnoteRef/>
      </w:r>
      <w:r w:rsidRPr="00D226C8">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sidRPr="00D226C8">
        <w:rPr>
          <w:i/>
          <w:iCs/>
        </w:rPr>
        <w:t>See Albright</w:t>
      </w:r>
      <w:r w:rsidRPr="00D226C8">
        <w:t xml:space="preserve">, 510 U.S. at 275-76 (Scalia, J., concurring).  Justice Ginsburg also concurred in the plurality opinion.  </w:t>
      </w:r>
      <w:r w:rsidRPr="00D226C8">
        <w:rPr>
          <w:i/>
          <w:iCs/>
        </w:rPr>
        <w:t>See id.</w:t>
      </w:r>
      <w:r w:rsidRPr="00D226C8">
        <w:t xml:space="preserve"> at 276 (Ginsburg, J., concurring).</w:t>
      </w:r>
    </w:p>
  </w:footnote>
  <w:footnote w:id="257">
    <w:p w14:paraId="0339F108" w14:textId="77777777" w:rsidR="00E77E6F" w:rsidRPr="00D226C8" w:rsidRDefault="00E77E6F" w:rsidP="00F506A3">
      <w:pPr>
        <w:spacing w:after="240"/>
        <w:ind w:firstLine="720"/>
        <w:mirrorIndents/>
      </w:pPr>
      <w:r w:rsidRPr="00D226C8">
        <w:rPr>
          <w:rStyle w:val="FootnoteReference"/>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58">
    <w:p w14:paraId="60E07A93" w14:textId="77777777" w:rsidR="00E77E6F" w:rsidRPr="00D226C8" w:rsidRDefault="00E77E6F" w:rsidP="00F506A3">
      <w:pPr>
        <w:spacing w:after="240"/>
        <w:ind w:firstLine="720"/>
        <w:mirrorIndents/>
      </w:pPr>
      <w:r w:rsidRPr="00D226C8">
        <w:rPr>
          <w:rStyle w:val="FootnoteReference"/>
        </w:rPr>
        <w:footnoteRef/>
      </w:r>
      <w:r w:rsidRPr="00D226C8">
        <w:t xml:space="preserve">  “Although Fourth Amendment seizure principles may in some circumstances have implications in the period between arrest and trial, . . . posttrial incarceration does not qualify as a Fourth Amendment seizure.”  </w:t>
      </w:r>
      <w:r w:rsidRPr="00D226C8">
        <w:rPr>
          <w:i/>
          <w:iCs/>
        </w:rPr>
        <w:t>Torres</w:t>
      </w:r>
      <w:r w:rsidRPr="00D226C8">
        <w:t>, 163 F.3d at 174.</w:t>
      </w:r>
    </w:p>
  </w:footnote>
  <w:footnote w:id="259">
    <w:p w14:paraId="1ECB3BDD" w14:textId="77777777" w:rsidR="00E77E6F" w:rsidRPr="00D226C8" w:rsidRDefault="00E77E6F" w:rsidP="00F506A3">
      <w:pPr>
        <w:spacing w:after="240"/>
        <w:ind w:firstLine="720"/>
        <w:mirrorIndents/>
      </w:pPr>
      <w:r w:rsidRPr="00D226C8">
        <w:rPr>
          <w:rStyle w:val="FootnoteReference"/>
        </w:rPr>
        <w:footnoteRef/>
      </w:r>
      <w:r w:rsidRPr="00D226C8">
        <w:t xml:space="preserve">  The </w:t>
      </w:r>
      <w:r w:rsidRPr="00D226C8">
        <w:rPr>
          <w:i/>
          <w:iCs/>
        </w:rPr>
        <w:t>Smith</w:t>
      </w:r>
      <w:r w:rsidRPr="00D226C8">
        <w:t xml:space="preserve"> court also stated that “[a]ctual innocence is not required for a common law favorable termination.”  </w:t>
      </w:r>
      <w:r w:rsidRPr="00D226C8">
        <w:rPr>
          <w:i/>
          <w:iCs/>
        </w:rPr>
        <w:t>Smith</w:t>
      </w:r>
      <w:r w:rsidRPr="00D226C8">
        <w:t>, 87 F.3d at 113 (citing Restatement of the Law of Torts §§ 659, 660 (1938)).</w:t>
      </w:r>
    </w:p>
  </w:footnote>
  <w:footnote w:id="260">
    <w:p w14:paraId="75C44B53" w14:textId="77777777" w:rsidR="00E77E6F" w:rsidRPr="00D226C8" w:rsidRDefault="00E77E6F" w:rsidP="00F506A3">
      <w:pPr>
        <w:ind w:firstLine="720"/>
        <w:mirrorIndents/>
      </w:pPr>
      <w:r w:rsidRPr="00D226C8">
        <w:rPr>
          <w:rStyle w:val="FootnoteReference"/>
        </w:rPr>
        <w:footnoteRef/>
      </w:r>
      <w:r w:rsidRPr="00D226C8">
        <w:t xml:space="preserve">  The Court of Appeals applied the common-law elements in </w:t>
      </w:r>
      <w:r w:rsidRPr="00D226C8">
        <w:rPr>
          <w:i/>
          <w:iCs/>
        </w:rPr>
        <w:t>Hilfirty v. Shipman</w:t>
      </w:r>
      <w:r w:rsidRPr="00D226C8">
        <w:t xml:space="preserve">, 91 F.3d 573, 579 (3d Cir. 1996) (“In order to state a prima facie case for a section 1983 claim of malicious prosecution, the plaintiff must establish the elements of the common law tort as it has developed over time.”).   However, the </w:t>
      </w:r>
      <w:r w:rsidRPr="00D226C8">
        <w:rPr>
          <w:i/>
          <w:iCs/>
        </w:rPr>
        <w:t>Hilfirty</w:t>
      </w:r>
      <w:r w:rsidRPr="00D226C8">
        <w:t xml:space="preserve"> court did not mention </w:t>
      </w:r>
      <w:r w:rsidRPr="00D226C8">
        <w:rPr>
          <w:i/>
          <w:iCs/>
        </w:rPr>
        <w:t>Albright</w:t>
      </w:r>
      <w:r w:rsidRPr="00D226C8">
        <w:t xml:space="preserve">, so </w:t>
      </w:r>
      <w:r w:rsidRPr="00D226C8">
        <w:rPr>
          <w:i/>
          <w:iCs/>
        </w:rPr>
        <w:t>Hilfirty</w:t>
      </w:r>
      <w:r w:rsidRPr="00D226C8">
        <w:t xml:space="preserve"> does not shed light on the test that should apply post-</w:t>
      </w:r>
      <w:r w:rsidRPr="00D226C8">
        <w:rPr>
          <w:i/>
          <w:iCs/>
        </w:rPr>
        <w:t>Albright</w:t>
      </w:r>
      <w:r w:rsidRPr="00D226C8">
        <w:t xml:space="preserve">.  </w:t>
      </w:r>
      <w:r w:rsidRPr="00D226C8">
        <w:rPr>
          <w:i/>
          <w:iCs/>
        </w:rPr>
        <w:t>But see Nawrocki v. Tp. of Coolbaugh</w:t>
      </w:r>
      <w:r w:rsidRPr="00D226C8">
        <w:t xml:space="preserve">, 34 Fed. Appx. 832, 837 (3d Cir. April 8, 2002) (nonprecedential opinion) (citing </w:t>
      </w:r>
      <w:r w:rsidRPr="00D226C8">
        <w:rPr>
          <w:i/>
          <w:iCs/>
        </w:rPr>
        <w:t>Hilfirty</w:t>
      </w:r>
      <w:r w:rsidRPr="00D226C8">
        <w:t xml:space="preserve"> for the proposition that “</w:t>
      </w:r>
      <w:r w:rsidRPr="00D226C8">
        <w:rPr>
          <w:i/>
          <w:iCs/>
        </w:rPr>
        <w:t>Albright</w:t>
      </w:r>
      <w:r w:rsidRPr="00D226C8">
        <w:t xml:space="preserve"> left standing” the requirement that Section 1983 plaintiffs establish the common-law elements).</w:t>
      </w:r>
    </w:p>
    <w:p w14:paraId="12E09BC8" w14:textId="77777777" w:rsidR="00E77E6F" w:rsidRPr="00D226C8" w:rsidRDefault="00E77E6F" w:rsidP="00F506A3">
      <w:pPr>
        <w:ind w:firstLine="720"/>
        <w:mirrorIndents/>
      </w:pPr>
    </w:p>
    <w:p w14:paraId="068A9848" w14:textId="1FEF0B9F" w:rsidR="00E77E6F" w:rsidRPr="00D226C8" w:rsidRDefault="00E77E6F" w:rsidP="00F506A3">
      <w:pPr>
        <w:spacing w:after="240"/>
        <w:ind w:firstLine="720"/>
        <w:mirrorIndents/>
      </w:pPr>
      <w:r w:rsidRPr="00D226C8">
        <w:t xml:space="preserve">In </w:t>
      </w:r>
      <w:r w:rsidRPr="00D226C8">
        <w:rPr>
          <w:i/>
          <w:iCs/>
        </w:rPr>
        <w:t>Merkle v. Upper Dublin School Dist.</w:t>
      </w:r>
      <w:r w:rsidRPr="00D226C8">
        <w:t xml:space="preserve">, the Court of Appeals held that the district court had erred in failing to require proof of a Bill of Rights violation, but the </w:t>
      </w:r>
      <w:r w:rsidRPr="00D226C8">
        <w:rPr>
          <w:i/>
          <w:iCs/>
        </w:rPr>
        <w:t>Merkle</w:t>
      </w:r>
      <w:r w:rsidRPr="00D226C8">
        <w:t xml:space="preserve"> majority did not appear to take issue with the district court’s assumption that the plaintiff must establish the common law malicious prosecution elements.  </w:t>
      </w:r>
      <w:r w:rsidRPr="00D226C8">
        <w:rPr>
          <w:i/>
          <w:iCs/>
        </w:rPr>
        <w:t>See Merkle</w:t>
      </w:r>
      <w:r w:rsidRPr="00D226C8">
        <w:t xml:space="preserve">, 211 F.3d at 792; </w:t>
      </w:r>
      <w:r w:rsidRPr="00D226C8">
        <w:rPr>
          <w:i/>
          <w:iCs/>
        </w:rPr>
        <w:t xml:space="preserve">see also id. </w:t>
      </w:r>
      <w:r w:rsidRPr="00D226C8">
        <w:t>at 794 (“We believe that whether these defendants</w:t>
      </w:r>
      <w:r>
        <w:t>’</w:t>
      </w:r>
      <w:r w:rsidRPr="00D226C8">
        <w:t xml:space="preserve">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sidRPr="00D226C8">
        <w:rPr>
          <w:i/>
          <w:iCs/>
        </w:rPr>
        <w:t>See Merkle</w:t>
      </w:r>
      <w:r w:rsidRPr="00D226C8">
        <w:t>, 211 F.3d at 791, 795-96.</w:t>
      </w:r>
    </w:p>
  </w:footnote>
  <w:footnote w:id="261">
    <w:p w14:paraId="4B5EE3DE" w14:textId="77777777" w:rsidR="00E77E6F" w:rsidRPr="00D226C8" w:rsidRDefault="00E77E6F" w:rsidP="00F506A3">
      <w:pPr>
        <w:spacing w:after="240"/>
        <w:ind w:firstLine="720"/>
        <w:mirrorIndents/>
      </w:pPr>
      <w:r w:rsidRPr="00D226C8">
        <w:rPr>
          <w:rStyle w:val="FootnoteReference"/>
        </w:rPr>
        <w:footnoteRef/>
      </w:r>
      <w:r w:rsidRPr="00D226C8">
        <w:t xml:space="preserve">  The relevant claim in </w:t>
      </w:r>
      <w:r w:rsidRPr="00D226C8">
        <w:rPr>
          <w:i/>
          <w:iCs/>
        </w:rPr>
        <w:t>Gilles</w:t>
      </w:r>
      <w:r w:rsidRPr="00D226C8">
        <w:t xml:space="preserve"> asserted a First Amendment violation and did not sound in malicious prosecution, </w:t>
      </w:r>
      <w:r w:rsidRPr="00D226C8">
        <w:rPr>
          <w:i/>
          <w:iCs/>
        </w:rPr>
        <w:t>see Gilles</w:t>
      </w:r>
      <w:r w:rsidRPr="00D226C8">
        <w:t xml:space="preserve">, 427 F.3d at 203, but the Court of Appeals found </w:t>
      </w:r>
      <w:r w:rsidRPr="00D226C8">
        <w:rPr>
          <w:i/>
          <w:iCs/>
        </w:rPr>
        <w:t>Heck</w:t>
      </w:r>
      <w:r w:rsidRPr="00D226C8">
        <w:t xml:space="preserve">’s reasoning “equally applicable” to the First Amendment claim and thus applied </w:t>
      </w:r>
      <w:r w:rsidRPr="00D226C8">
        <w:rPr>
          <w:i/>
          <w:iCs/>
        </w:rPr>
        <w:t>Heck</w:t>
      </w:r>
      <w:r w:rsidRPr="00D226C8">
        <w:t xml:space="preserve">’s favorable-termination requirement, </w:t>
      </w:r>
      <w:r w:rsidRPr="00D226C8">
        <w:rPr>
          <w:i/>
          <w:iCs/>
        </w:rPr>
        <w:t xml:space="preserve">id. </w:t>
      </w:r>
      <w:r w:rsidRPr="00D226C8">
        <w:t>at 209.</w:t>
      </w:r>
    </w:p>
  </w:footnote>
  <w:footnote w:id="262">
    <w:p w14:paraId="1258ABD2" w14:textId="3F007FE6" w:rsidR="00E77E6F" w:rsidRPr="00D226C8" w:rsidRDefault="00E77E6F" w:rsidP="00F506A3">
      <w:pPr>
        <w:ind w:firstLine="720"/>
        <w:mirrorIndents/>
      </w:pPr>
      <w:r w:rsidRPr="00D226C8">
        <w:rPr>
          <w:rStyle w:val="FootnoteReference"/>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E77E6F" w:rsidRPr="00D226C8" w:rsidRDefault="00E77E6F" w:rsidP="00F506A3">
      <w:pPr>
        <w:ind w:firstLine="720"/>
        <w:mirrorIndents/>
      </w:pPr>
    </w:p>
    <w:p w14:paraId="7AF9786F" w14:textId="77777777" w:rsidR="00E77E6F" w:rsidRPr="00D226C8" w:rsidRDefault="00E77E6F" w:rsidP="00F506A3">
      <w:pPr>
        <w:ind w:firstLine="720"/>
        <w:mirrorIndents/>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r w:rsidRPr="00D226C8">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E77E6F" w:rsidRPr="00D226C8" w:rsidRDefault="00E77E6F" w:rsidP="00F506A3">
      <w:pPr>
        <w:ind w:firstLine="720"/>
        <w:mirrorIndents/>
      </w:pPr>
    </w:p>
    <w:p w14:paraId="1C2938A8" w14:textId="77777777" w:rsidR="00E77E6F" w:rsidRPr="00D226C8" w:rsidRDefault="00E77E6F" w:rsidP="00F506A3">
      <w:pPr>
        <w:ind w:left="720" w:right="720" w:firstLine="720"/>
        <w:mirrorIndents/>
      </w:pPr>
      <w:r w:rsidRPr="00D226C8">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E77E6F" w:rsidRPr="00D226C8" w:rsidRDefault="00E77E6F" w:rsidP="00F506A3">
      <w:pPr>
        <w:ind w:firstLine="720"/>
        <w:mirrorIndents/>
      </w:pPr>
    </w:p>
    <w:p w14:paraId="6D9A9992" w14:textId="77777777" w:rsidR="00E77E6F" w:rsidRPr="00D226C8" w:rsidRDefault="00E77E6F" w:rsidP="00F506A3">
      <w:pPr>
        <w:spacing w:after="240"/>
        <w:mirrorIndents/>
      </w:pPr>
      <w:r w:rsidRPr="00D226C8">
        <w:rPr>
          <w:i/>
          <w:iCs/>
        </w:rPr>
        <w:t>Pitts</w:t>
      </w:r>
      <w:r w:rsidRPr="00D226C8">
        <w:t>, 646 F.3d at 158 n.4.</w:t>
      </w:r>
    </w:p>
  </w:footnote>
  <w:footnote w:id="263">
    <w:p w14:paraId="5F027664" w14:textId="77777777" w:rsidR="00E77E6F" w:rsidRPr="00D226C8" w:rsidRDefault="00E77E6F" w:rsidP="00F506A3">
      <w:pPr>
        <w:ind w:firstLine="720"/>
        <w:mirrorIndents/>
      </w:pPr>
      <w:r w:rsidRPr="00D226C8">
        <w:rPr>
          <w:rStyle w:val="FootnoteReference"/>
        </w:rPr>
        <w:footnoteRef/>
      </w:r>
      <w:r w:rsidRPr="00D226C8">
        <w:t xml:space="preserve">  The defendant might also argue that a grand jury indictment breaks the chain of causation.  The Court of Appeals has explained the concept of superseding causes:</w:t>
      </w:r>
    </w:p>
    <w:p w14:paraId="7C84BA02" w14:textId="77777777" w:rsidR="00E77E6F" w:rsidRPr="00D226C8" w:rsidRDefault="00E77E6F" w:rsidP="00F506A3">
      <w:pPr>
        <w:ind w:firstLine="720"/>
        <w:mirrorIndents/>
      </w:pPr>
    </w:p>
    <w:p w14:paraId="0AE0DD36" w14:textId="77777777" w:rsidR="00E77E6F" w:rsidRPr="00D226C8" w:rsidRDefault="00E77E6F" w:rsidP="00F506A3">
      <w:pPr>
        <w:ind w:left="720" w:right="720" w:firstLine="720"/>
        <w:mirrorIndents/>
      </w:pPr>
      <w:r w:rsidRPr="00D226C8">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E77E6F" w:rsidRPr="00D226C8" w:rsidRDefault="00E77E6F" w:rsidP="00F506A3">
      <w:pPr>
        <w:ind w:firstLine="720"/>
        <w:mirrorIndents/>
      </w:pPr>
    </w:p>
    <w:p w14:paraId="550A51BC" w14:textId="3455F214" w:rsidR="00E77E6F" w:rsidRPr="00D226C8" w:rsidRDefault="00E77E6F" w:rsidP="00F506A3">
      <w:pPr>
        <w:spacing w:after="240"/>
        <w:mirrorIndents/>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64">
    <w:p w14:paraId="07EE7756" w14:textId="77777777" w:rsidR="00E77E6F" w:rsidRPr="00D226C8" w:rsidRDefault="00E77E6F" w:rsidP="00F506A3">
      <w:pPr>
        <w:spacing w:after="240"/>
        <w:ind w:firstLine="720"/>
        <w:mirrorIndents/>
      </w:pPr>
      <w:r w:rsidRPr="00D226C8">
        <w:rPr>
          <w:rStyle w:val="FootnoteReference"/>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65">
    <w:p w14:paraId="6264D025" w14:textId="77777777" w:rsidR="00E77E6F" w:rsidRPr="00D226C8" w:rsidRDefault="00E77E6F" w:rsidP="00F506A3">
      <w:pPr>
        <w:spacing w:after="240"/>
        <w:ind w:firstLine="720"/>
        <w:mirrorIndents/>
      </w:pPr>
      <w:r w:rsidRPr="00D226C8">
        <w:rPr>
          <w:rStyle w:val="FootnoteReference"/>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E77E6F" w:rsidRPr="00D226C8" w:rsidRDefault="00E77E6F" w:rsidP="00F506A3">
      <w:pPr>
        <w:spacing w:after="240"/>
        <w:ind w:firstLine="720"/>
        <w:mirrorIndents/>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66">
    <w:p w14:paraId="0A535EA4" w14:textId="24AF146D" w:rsidR="00E77E6F" w:rsidRPr="00D226C8" w:rsidRDefault="00E77E6F" w:rsidP="00F506A3">
      <w:pPr>
        <w:ind w:firstLine="720"/>
        <w:mirrorIndents/>
      </w:pPr>
      <w:r w:rsidRPr="00D226C8">
        <w:rPr>
          <w:rStyle w:val="FootnoteReference"/>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288 F.3d 532, 542 (3d Cir. 2002) (“[W]henever the ch</w:t>
      </w:r>
      <w:r>
        <w:t>allenge ultimately attacks the ‘</w:t>
      </w:r>
      <w:r w:rsidRPr="00D226C8">
        <w:t>core of habeas</w:t>
      </w:r>
      <w:r>
        <w:t>’</w:t>
      </w:r>
      <w:r w:rsidRPr="00D226C8">
        <w:t xml:space="preserve">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E77E6F" w:rsidRPr="00D226C8" w:rsidRDefault="00E77E6F" w:rsidP="00F506A3">
      <w:pPr>
        <w:ind w:firstLine="720"/>
        <w:mirrorIndents/>
      </w:pPr>
    </w:p>
    <w:p w14:paraId="4CD2E32B" w14:textId="77777777" w:rsidR="00E77E6F" w:rsidRPr="00D226C8" w:rsidRDefault="00E77E6F" w:rsidP="00F506A3">
      <w:pPr>
        <w:spacing w:after="240"/>
        <w:ind w:firstLine="720"/>
        <w:mirrorIndents/>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67">
    <w:p w14:paraId="5161BF50" w14:textId="2F4F5EE0"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w:t>
      </w:r>
      <w:r>
        <w:t>, dissenting) (“Given the Court’</w:t>
      </w:r>
      <w:r w:rsidRPr="00D226C8">
        <w:t>s holding that petitioner does not have a remedy under the habeas statute, it is perfectly clear, as Justice S</w:t>
      </w:r>
      <w:r>
        <w:t xml:space="preserve">outer </w:t>
      </w:r>
      <w:r w:rsidRPr="00D226C8">
        <w:t>explains, that he may bring an action under 42 U.S.C. § 1983.”).</w:t>
      </w:r>
    </w:p>
  </w:footnote>
  <w:footnote w:id="268">
    <w:p w14:paraId="2DF53FF9" w14:textId="77777777" w:rsidR="00E77E6F" w:rsidRPr="00D226C8" w:rsidRDefault="00E77E6F" w:rsidP="00F506A3">
      <w:pPr>
        <w:ind w:firstLine="720"/>
        <w:mirrorIndents/>
      </w:pPr>
      <w:r w:rsidRPr="00D226C8">
        <w:rPr>
          <w:rStyle w:val="FootnoteReference"/>
        </w:rPr>
        <w:footnoteRef/>
      </w:r>
      <w:r w:rsidRPr="00D226C8">
        <w:t xml:space="preserve">  The Court of Appeals explained:</w:t>
      </w:r>
    </w:p>
    <w:p w14:paraId="34A3FA1E" w14:textId="77777777" w:rsidR="00E77E6F" w:rsidRPr="00D226C8" w:rsidRDefault="00E77E6F" w:rsidP="00F506A3">
      <w:pPr>
        <w:ind w:firstLine="720"/>
        <w:mirrorIndents/>
      </w:pPr>
    </w:p>
    <w:p w14:paraId="11BF0F64" w14:textId="11378209" w:rsidR="00E77E6F" w:rsidRPr="00D226C8" w:rsidRDefault="00E77E6F" w:rsidP="00F506A3">
      <w:pPr>
        <w:ind w:left="720" w:right="720" w:firstLine="720"/>
        <w:mirrorIndents/>
      </w:pPr>
      <w:r w:rsidRPr="00D226C8">
        <w:t xml:space="preserve">We recognize that concurring and dissenting opinions in </w:t>
      </w:r>
      <w:r w:rsidRPr="00A55758">
        <w:rPr>
          <w:i/>
        </w:rPr>
        <w:t>Spencer v. Kemna</w:t>
      </w:r>
      <w:r w:rsidRPr="00D226C8">
        <w:t xml:space="preserve">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E77E6F" w:rsidRPr="00D226C8" w:rsidRDefault="00E77E6F" w:rsidP="00F506A3">
      <w:pPr>
        <w:ind w:firstLine="720"/>
        <w:mirrorIndents/>
      </w:pPr>
    </w:p>
    <w:p w14:paraId="4118AA2D" w14:textId="77777777" w:rsidR="00E77E6F" w:rsidRPr="00D226C8" w:rsidRDefault="00E77E6F" w:rsidP="00F506A3">
      <w:pPr>
        <w:spacing w:after="240"/>
        <w:mirrorIndents/>
      </w:pPr>
      <w:r w:rsidRPr="00D226C8">
        <w:rPr>
          <w:i/>
          <w:iCs/>
        </w:rPr>
        <w:t>Gilles v. Davis</w:t>
      </w:r>
      <w:r w:rsidRPr="00D226C8">
        <w:t>, 427 F.3d 197, 209-10 (3d Cir. 2005).</w:t>
      </w:r>
    </w:p>
  </w:footnote>
  <w:footnote w:id="269">
    <w:p w14:paraId="6A455F48" w14:textId="77777777" w:rsidR="00E77E6F" w:rsidRPr="00D226C8" w:rsidRDefault="00E77E6F" w:rsidP="00F506A3">
      <w:pPr>
        <w:spacing w:after="240"/>
        <w:ind w:firstLine="720"/>
        <w:mirrorIndents/>
      </w:pPr>
      <w:r w:rsidRPr="00D226C8">
        <w:rPr>
          <w:rStyle w:val="FootnoteReference"/>
        </w:rPr>
        <w:footnoteRef/>
      </w:r>
      <w:r w:rsidRPr="00D226C8">
        <w:t xml:space="preserve">  However, in a nonprecedential opinion, the Court of Appeals has read </w:t>
      </w:r>
      <w:r w:rsidRPr="00D226C8">
        <w:rPr>
          <w:i/>
          <w:iCs/>
        </w:rPr>
        <w:t>Hector</w:t>
      </w:r>
      <w:r w:rsidRPr="00D226C8">
        <w:t xml:space="preserve"> to assign the burden of proof on this issue to the plaintiff.  </w:t>
      </w:r>
      <w:r w:rsidRPr="00D226C8">
        <w:rPr>
          <w:i/>
          <w:iCs/>
        </w:rPr>
        <w:t>See Steele v. City of Erie</w:t>
      </w:r>
      <w:r w:rsidRPr="00D226C8">
        <w:t xml:space="preserve">, 113 Fed. Appx. 456, 459 (3d Cir. Oct. 20, 2004) (“In </w:t>
      </w:r>
      <w:r w:rsidRPr="00D226C8">
        <w:rPr>
          <w:i/>
          <w:iCs/>
        </w:rPr>
        <w:t>Hector</w:t>
      </w:r>
      <w:r w:rsidRPr="00D226C8">
        <w:t xml:space="preserve"> . . . , we held that a plaintiff claiming malicious prosecution must prove </w:t>
      </w:r>
      <w:r w:rsidRPr="00D226C8">
        <w:rPr>
          <w:i/>
          <w:iCs/>
        </w:rPr>
        <w:t>actual</w:t>
      </w:r>
      <w:r w:rsidRPr="00D226C8">
        <w:t xml:space="preserve"> innocence as an element of his </w:t>
      </w:r>
      <w:r w:rsidRPr="00D226C8">
        <w:rPr>
          <w:i/>
          <w:iCs/>
        </w:rPr>
        <w:t xml:space="preserve">prima facie </w:t>
      </w:r>
      <w:r w:rsidRPr="00D226C8">
        <w:t>case.”).</w:t>
      </w:r>
    </w:p>
  </w:footnote>
  <w:footnote w:id="270">
    <w:p w14:paraId="02652C52" w14:textId="77777777" w:rsidR="00E77E6F" w:rsidRPr="00D226C8" w:rsidRDefault="00E77E6F" w:rsidP="00F506A3">
      <w:pPr>
        <w:spacing w:after="240"/>
        <w:ind w:firstLine="720"/>
        <w:mirrorIndents/>
      </w:pPr>
      <w:r w:rsidRPr="00D226C8">
        <w:rPr>
          <w:rStyle w:val="FootnoteReference"/>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71">
    <w:p w14:paraId="7E61ED1F"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third party.</w:t>
      </w:r>
    </w:p>
  </w:footnote>
  <w:footnote w:id="272">
    <w:p w14:paraId="0DD2CC55" w14:textId="77777777" w:rsidR="00E77E6F" w:rsidRPr="00D226C8" w:rsidRDefault="00E77E6F" w:rsidP="00F506A3">
      <w:pPr>
        <w:spacing w:after="240"/>
        <w:ind w:firstLine="720"/>
        <w:mirrorIndents/>
      </w:pPr>
      <w:r w:rsidRPr="00D226C8">
        <w:rPr>
          <w:rStyle w:val="FootnoteReference"/>
        </w:rPr>
        <w:footnoteRef/>
      </w:r>
      <w:r w:rsidRPr="00D226C8">
        <w:t xml:space="preserve"> Use this phrase if the plaintiff claims harm from a source other than an individual (e.g., from a medical problem).</w:t>
      </w:r>
    </w:p>
  </w:footnote>
  <w:footnote w:id="273">
    <w:p w14:paraId="6AF58C0D" w14:textId="77777777" w:rsidR="00E77E6F" w:rsidRPr="00D226C8" w:rsidRDefault="00E77E6F" w:rsidP="00F506A3">
      <w:pPr>
        <w:spacing w:after="240"/>
        <w:ind w:firstLine="720"/>
        <w:mirrorIndents/>
      </w:pPr>
      <w:r w:rsidRPr="00D226C8">
        <w:rPr>
          <w:rStyle w:val="FootnoteReference"/>
        </w:rPr>
        <w:footnoteRef/>
      </w:r>
      <w:r w:rsidRPr="00D226C8">
        <w:t xml:space="preserve"> Select the appropriate level of culpability.  See Comment for a discussion of this element.</w:t>
      </w:r>
    </w:p>
  </w:footnote>
  <w:footnote w:id="274">
    <w:p w14:paraId="690AD13F" w14:textId="32243D31" w:rsidR="00E77E6F" w:rsidRPr="00D226C8" w:rsidRDefault="00E77E6F" w:rsidP="00F506A3">
      <w:pPr>
        <w:spacing w:after="240"/>
        <w:ind w:firstLine="720"/>
        <w:mirrorIndents/>
      </w:pPr>
      <w:r w:rsidRPr="00D226C8">
        <w:rPr>
          <w:rStyle w:val="FootnoteReference"/>
        </w:rPr>
        <w:footnoteRef/>
      </w:r>
      <w:r w:rsidRPr="00D226C8">
        <w:t xml:space="preserve">  This option can be used if the court concludes that the requisite level of culpability is subjective deliberate indifference.  </w:t>
      </w:r>
      <w:r w:rsidRPr="0052168C">
        <w:rPr>
          <w:i/>
        </w:rPr>
        <w:t>See</w:t>
      </w:r>
      <w:r w:rsidRPr="00D226C8">
        <w:t xml:space="preserve"> Comment.</w:t>
      </w:r>
    </w:p>
  </w:footnote>
  <w:footnote w:id="275">
    <w:p w14:paraId="5F0A47E9"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76">
    <w:p w14:paraId="06B85154" w14:textId="7CC3870D" w:rsidR="00E77E6F" w:rsidRDefault="00E77E6F" w:rsidP="00F506A3">
      <w:pPr>
        <w:shd w:val="clear" w:color="auto" w:fill="FFFFFF" w:themeFill="background1"/>
        <w:spacing w:after="240"/>
        <w:ind w:firstLine="720"/>
        <w:mirrorIndents/>
      </w:pPr>
      <w:r w:rsidRPr="0052168C">
        <w:rPr>
          <w:rStyle w:val="FootnoteReference"/>
        </w:rPr>
        <w:footnoteRef/>
      </w:r>
      <w:r>
        <w:t xml:space="preserve"> </w:t>
      </w:r>
      <w:r w:rsidRPr="00D226C8">
        <w:t xml:space="preserve"> </w:t>
      </w:r>
      <w:r w:rsidRPr="00CD3984">
        <w:t xml:space="preserve">This option can be used if the court concludes that the requisite level of culpability is objective deliberate indifference. </w:t>
      </w:r>
      <w:r w:rsidRPr="00CD3984">
        <w:rPr>
          <w:i/>
        </w:rPr>
        <w:t>See</w:t>
      </w:r>
      <w:r w:rsidRPr="00CD3984">
        <w:t xml:space="preserve"> Comment.</w:t>
      </w:r>
    </w:p>
  </w:footnote>
  <w:footnote w:id="277">
    <w:p w14:paraId="2875904F" w14:textId="6BE81550" w:rsidR="00E77E6F" w:rsidRPr="00D226C8" w:rsidRDefault="00E77E6F" w:rsidP="00F506A3">
      <w:pPr>
        <w:spacing w:after="240"/>
        <w:ind w:firstLine="720"/>
        <w:mirrorIndents/>
      </w:pPr>
      <w:r w:rsidRPr="00D226C8">
        <w:rPr>
          <w:rStyle w:val="FootnoteReference"/>
        </w:rPr>
        <w:footnoteRef/>
      </w:r>
      <w:r w:rsidRPr="00D226C8">
        <w:t xml:space="preserve">  This option is designed for use in cases where the requisite level of culpability is </w:t>
      </w:r>
      <w:r w:rsidRPr="00D6488F">
        <w:rPr>
          <w:bCs/>
        </w:rPr>
        <w:t>conscious disregard of a great risk of serious harm</w:t>
      </w:r>
      <w:r w:rsidRPr="00D226C8">
        <w:t xml:space="preserve">.  </w:t>
      </w:r>
      <w:r w:rsidRPr="00D226C8">
        <w:rPr>
          <w:i/>
          <w:iCs/>
        </w:rPr>
        <w:t>See</w:t>
      </w:r>
      <w:r w:rsidRPr="00D226C8">
        <w:t xml:space="preserve"> Comment.</w:t>
      </w:r>
    </w:p>
  </w:footnote>
  <w:footnote w:id="278">
    <w:p w14:paraId="412DF84C" w14:textId="77777777" w:rsidR="00E77E6F" w:rsidRPr="00D226C8" w:rsidRDefault="00E77E6F" w:rsidP="00F506A3">
      <w:pPr>
        <w:spacing w:after="240"/>
        <w:ind w:firstLine="720"/>
        <w:mirrorIndents/>
      </w:pPr>
      <w:r w:rsidRPr="00D226C8">
        <w:rPr>
          <w:rStyle w:val="FootnoteReference"/>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79">
    <w:p w14:paraId="1B9B4E08" w14:textId="77777777" w:rsidR="00E77E6F" w:rsidRPr="00D226C8" w:rsidRDefault="00E77E6F" w:rsidP="00F506A3">
      <w:pPr>
        <w:spacing w:after="240"/>
        <w:ind w:firstLine="720"/>
        <w:mirrorIndents/>
      </w:pPr>
      <w:r w:rsidRPr="00D226C8">
        <w:rPr>
          <w:rStyle w:val="FootnoteReference"/>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r w:rsidRPr="00D226C8">
        <w:t>at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80">
    <w:p w14:paraId="300D5B4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at 423 (Nygaard, J., concurring) (stating that he did “not disagree with [Judge Stapleton’s] analysis as far as it goes” but that the crux of the case was the plaintiff’s failure to show an affirmative act on the part of the police).</w:t>
      </w:r>
    </w:p>
  </w:footnote>
  <w:footnote w:id="281">
    <w:p w14:paraId="6CC470D3" w14:textId="094CA747" w:rsidR="00E77E6F" w:rsidRPr="00D226C8" w:rsidRDefault="00E77E6F" w:rsidP="00F506A3">
      <w:pPr>
        <w:shd w:val="clear" w:color="auto" w:fill="FFFFFF" w:themeFill="background1"/>
        <w:spacing w:after="240"/>
        <w:ind w:firstLine="720"/>
        <w:mirrorIndents/>
      </w:pPr>
      <w:r w:rsidRPr="00A55758">
        <w:rPr>
          <w:rStyle w:val="FootnoteReference"/>
        </w:rPr>
        <w:footnoteRef/>
      </w:r>
      <w:r w:rsidRPr="00A55758">
        <w:rPr>
          <w:vertAlign w:val="superscript"/>
        </w:rPr>
        <w:t xml:space="preserve"> </w:t>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 xml:space="preserve">girlfriend and Phillips would </w:t>
      </w:r>
      <w:r>
        <w:t>“</w:t>
      </w:r>
      <w:r w:rsidRPr="00D226C8">
        <w:t>pay for putting him in his present situation.</w:t>
      </w:r>
      <w:r>
        <w:t>”</w:t>
      </w:r>
      <w:r w:rsidRPr="00D226C8">
        <w:t xml:space="preserve">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82">
    <w:p w14:paraId="47293621" w14:textId="5EF77749" w:rsidR="00E77E6F" w:rsidRDefault="00E77E6F" w:rsidP="00F506A3">
      <w:pPr>
        <w:shd w:val="clear" w:color="auto" w:fill="FFFFFF" w:themeFill="background1"/>
        <w:ind w:firstLine="720"/>
        <w:mirrorIndents/>
        <w:jc w:val="both"/>
      </w:pPr>
      <w:r w:rsidRPr="00A55758">
        <w:rPr>
          <w:rStyle w:val="FootnoteReference"/>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at 309 &amp; n.13.</w:t>
      </w:r>
    </w:p>
    <w:p w14:paraId="130E63FC" w14:textId="77777777" w:rsidR="00E77E6F" w:rsidRDefault="00E77E6F" w:rsidP="00F506A3">
      <w:pPr>
        <w:shd w:val="clear" w:color="auto" w:fill="FFFFFF" w:themeFill="background1"/>
        <w:ind w:firstLine="720"/>
        <w:mirrorIndents/>
        <w:jc w:val="both"/>
      </w:pPr>
    </w:p>
    <w:p w14:paraId="2A1E85C7" w14:textId="617B5C96" w:rsidR="00E77E6F" w:rsidRPr="00C00A31" w:rsidRDefault="00E77E6F" w:rsidP="00F506A3">
      <w:pPr>
        <w:shd w:val="clear" w:color="auto" w:fill="FFFFFF" w:themeFill="background1"/>
        <w:ind w:firstLine="720"/>
        <w:mirrorIndents/>
        <w:jc w:val="both"/>
      </w:pPr>
      <w:r w:rsidRPr="00C00A31">
        <w:rPr>
          <w:i/>
        </w:rPr>
        <w:t>See also</w:t>
      </w:r>
      <w:r w:rsidRPr="00C00A31">
        <w:t xml:space="preserve"> </w:t>
      </w:r>
      <w:r w:rsidRPr="00C00A31">
        <w:rPr>
          <w:i/>
          <w:iCs/>
        </w:rPr>
        <w:t>Rivas v. City of Passaic</w:t>
      </w:r>
      <w:r w:rsidRPr="00C00A31">
        <w:t>, 365 F.3d 181, 184, 196 (3d Cir. 2004) (holding that emergency medical technicians “who responded to an emergency in an apartment where a middle</w:t>
      </w:r>
      <w:r w:rsidRPr="00C00A31">
        <w:noBreakHyphen/>
        <w:t>aged man was experiencing a seizure” would be held to have violated substantive due process only if they “consciously disregard[ed] a substantial risk that [the man] would be seriously harmed by their actions”)</w:t>
      </w:r>
      <w:r w:rsidRPr="00C00A31">
        <w:rPr>
          <w:i/>
          <w:iCs/>
        </w:rPr>
        <w:t xml:space="preserve"> id.</w:t>
      </w:r>
      <w:r w:rsidRPr="00C00A31">
        <w:t xml:space="preserve"> at 196 (stating that this test would be met if the EMTs had falsely told police officers that the man was violent and had failed to tell the police officers that the man was suffering a seizure); </w:t>
      </w:r>
      <w:r w:rsidRPr="00C00A31">
        <w:rPr>
          <w:i/>
          <w:iCs/>
        </w:rPr>
        <w:t>cf.</w:t>
      </w:r>
      <w:r w:rsidRPr="00C00A31">
        <w:t xml:space="preserve"> </w:t>
      </w:r>
      <w:r w:rsidRPr="00C00A31">
        <w:rPr>
          <w:i/>
          <w:iCs/>
        </w:rPr>
        <w:t>Brown v. Commonwealth of Pennsylvania</w:t>
      </w:r>
      <w:r w:rsidRPr="00C00A31">
        <w:t xml:space="preserve">, 318 F.3d 473, 481 (3d Cir. 2003) (holding that “EMTs who attempted to arrive at the scene of the incident as rapidly as they could” did not behave in a way that shocks the conscience). </w:t>
      </w:r>
    </w:p>
    <w:p w14:paraId="6FFEE4DA" w14:textId="77777777" w:rsidR="00E77E6F" w:rsidRPr="00C00A31" w:rsidRDefault="00E77E6F" w:rsidP="00F506A3">
      <w:pPr>
        <w:ind w:firstLine="720"/>
        <w:mirrorIndents/>
        <w:jc w:val="both"/>
      </w:pPr>
    </w:p>
  </w:footnote>
  <w:footnote w:id="283">
    <w:p w14:paraId="6D548CB1"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84">
    <w:p w14:paraId="5FA64FFF" w14:textId="77777777" w:rsidR="00E77E6F" w:rsidRPr="00D226C8" w:rsidRDefault="00E77E6F" w:rsidP="00F506A3">
      <w:pPr>
        <w:spacing w:after="240"/>
        <w:ind w:firstLine="720"/>
        <w:mirrorIndents/>
      </w:pPr>
      <w:r w:rsidRPr="00D226C8">
        <w:rPr>
          <w:rStyle w:val="FootnoteReference"/>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r w:rsidRPr="00D226C8">
        <w:t xml:space="preserve">at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85">
    <w:p w14:paraId="0A57C07B"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6">
    <w:p w14:paraId="637FF62A"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7">
    <w:p w14:paraId="3F138E0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8">
    <w:p w14:paraId="6C3CD4D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9">
    <w:p w14:paraId="74BF5489"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90">
    <w:p w14:paraId="6B1B10C4" w14:textId="77777777" w:rsidR="00E77E6F" w:rsidRPr="00D226C8" w:rsidRDefault="00E77E6F" w:rsidP="00F506A3">
      <w:pPr>
        <w:spacing w:after="240"/>
        <w:ind w:firstLine="720"/>
        <w:mirrorIndents/>
      </w:pPr>
      <w:r w:rsidRPr="00D226C8">
        <w:rPr>
          <w:rStyle w:val="FootnoteReference"/>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91">
    <w:p w14:paraId="085F18EE"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92">
    <w:p w14:paraId="434C2153" w14:textId="77777777" w:rsidR="00E77E6F" w:rsidRPr="00D226C8" w:rsidRDefault="00E77E6F" w:rsidP="00F506A3">
      <w:pPr>
        <w:spacing w:after="240"/>
        <w:ind w:firstLine="720"/>
        <w:mirrorIndents/>
      </w:pPr>
      <w:r w:rsidRPr="00D226C8">
        <w:rPr>
          <w:rStyle w:val="FootnoteReference"/>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93">
    <w:p w14:paraId="5AA75633" w14:textId="1EBD33A4" w:rsidR="00E77E6F" w:rsidRPr="00D226C8" w:rsidRDefault="00E77E6F" w:rsidP="00F506A3">
      <w:pPr>
        <w:ind w:firstLine="720"/>
        <w:mirrorIndents/>
      </w:pPr>
      <w:r w:rsidRPr="00D226C8">
        <w:rPr>
          <w:rStyle w:val="FootnoteReference"/>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xml:space="preserve">, 523 U.S. at 843-44; compare infra note 287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E77E6F" w:rsidRPr="00D226C8" w:rsidRDefault="00E77E6F" w:rsidP="00F506A3">
      <w:pPr>
        <w:ind w:firstLine="720"/>
        <w:mirrorIndents/>
      </w:pPr>
    </w:p>
    <w:p w14:paraId="53C5A7B9" w14:textId="54E7E9D5" w:rsidR="00E77E6F" w:rsidRPr="00270CF7" w:rsidRDefault="00E77E6F" w:rsidP="00F506A3">
      <w:pPr>
        <w:ind w:firstLine="720"/>
        <w:mirrorIndents/>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r w:rsidRPr="0013305A">
        <w:t xml:space="preserve"> </w:t>
      </w:r>
      <w:r w:rsidRPr="00270CF7">
        <w:t xml:space="preserve">However, </w:t>
      </w:r>
      <w:r w:rsidRPr="00270CF7">
        <w:rPr>
          <w:i/>
        </w:rPr>
        <w:t>Lewis</w:t>
      </w:r>
      <w:r w:rsidRPr="00270CF7">
        <w:t xml:space="preserve"> was distinguished in </w:t>
      </w:r>
      <w:r w:rsidRPr="00270CF7">
        <w:rPr>
          <w:i/>
        </w:rPr>
        <w:t>Sauers v. Borough of Nesquehoning</w:t>
      </w:r>
      <w:r w:rsidRPr="00270CF7">
        <w:t xml:space="preserve">, 905 F.3d 711 (3d Cir. 2018) (stating that the intent-to-harm standard set in </w:t>
      </w:r>
      <w:r w:rsidRPr="00270CF7">
        <w:rPr>
          <w:i/>
        </w:rPr>
        <w:t>Lewis</w:t>
      </w:r>
      <w:r w:rsidRPr="00270CF7">
        <w:t xml:space="preserve"> applies when officers are responding to emergencies or making split-second decisions to pursue fleeing suspects—but not when there is no compelling justification for an officer to engage in high-speed pursuit and the officer has time to consider whether to engage in such inherently risky behavior). In some circumstances, then, Instruction 4.14 rather than 4.15 may be appropriate for a high speed pursuit. </w:t>
      </w:r>
    </w:p>
    <w:p w14:paraId="085E6850" w14:textId="77777777" w:rsidR="00E77E6F" w:rsidRPr="00D226C8" w:rsidRDefault="00E77E6F" w:rsidP="00F506A3">
      <w:pPr>
        <w:ind w:firstLine="720"/>
        <w:mirrorIndents/>
      </w:pPr>
    </w:p>
  </w:footnote>
  <w:footnote w:id="294">
    <w:p w14:paraId="4A164429" w14:textId="28D48C79" w:rsidR="00E77E6F" w:rsidRPr="00D226C8" w:rsidRDefault="00E77E6F" w:rsidP="00F506A3">
      <w:pPr>
        <w:ind w:firstLine="720"/>
        <w:mirrorIndents/>
      </w:pPr>
      <w:r w:rsidRPr="00D226C8">
        <w:rPr>
          <w:rStyle w:val="FootnoteReference"/>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E77E6F" w:rsidRPr="00D226C8" w:rsidRDefault="00E77E6F" w:rsidP="00F506A3">
      <w:pPr>
        <w:ind w:firstLine="720"/>
        <w:mirrorIndents/>
      </w:pPr>
    </w:p>
    <w:p w14:paraId="5341B667" w14:textId="77777777" w:rsidR="00E77E6F" w:rsidRPr="00D226C8" w:rsidRDefault="00E77E6F" w:rsidP="00F506A3">
      <w:pPr>
        <w:ind w:left="720" w:right="720" w:firstLine="720"/>
        <w:mirrorIndents/>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E77E6F" w:rsidRPr="00D226C8" w:rsidRDefault="00E77E6F" w:rsidP="00F506A3">
      <w:pPr>
        <w:ind w:firstLine="720"/>
        <w:mirrorIndents/>
      </w:pPr>
    </w:p>
    <w:p w14:paraId="571CF320" w14:textId="77777777" w:rsidR="00E77E6F" w:rsidRPr="00D226C8" w:rsidRDefault="00E77E6F" w:rsidP="00F506A3">
      <w:pPr>
        <w:spacing w:after="240"/>
        <w:mirrorIndents/>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95">
    <w:p w14:paraId="0CA7F336" w14:textId="77777777" w:rsidR="00E77E6F" w:rsidRPr="00D226C8" w:rsidRDefault="00E77E6F" w:rsidP="00F506A3">
      <w:pPr>
        <w:spacing w:after="240"/>
        <w:ind w:firstLine="720"/>
        <w:mirrorIndents/>
      </w:pPr>
      <w:r w:rsidRPr="00D226C8">
        <w:rPr>
          <w:rStyle w:val="FootnoteReference"/>
        </w:rPr>
        <w:footnoteRef/>
      </w:r>
      <w:r w:rsidRPr="00D226C8">
        <w:t xml:space="preserve">  If the plaintiff is someone other than the child, then the child’s name (rather than the plaintiff’s name) should be inserted in appropriate places in this instruction.</w:t>
      </w:r>
    </w:p>
  </w:footnote>
  <w:footnote w:id="296">
    <w:p w14:paraId="222A1744" w14:textId="77777777" w:rsidR="00E77E6F" w:rsidRPr="00D226C8" w:rsidRDefault="00E77E6F" w:rsidP="00F506A3">
      <w:pPr>
        <w:spacing w:after="240"/>
        <w:ind w:firstLine="720"/>
        <w:mirrorIndents/>
      </w:pPr>
      <w:r w:rsidRPr="00D226C8">
        <w:rPr>
          <w:rStyle w:val="FootnoteReference"/>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7">
    <w:p w14:paraId="43CB4B78" w14:textId="77777777" w:rsidR="00E77E6F" w:rsidRPr="00D226C8" w:rsidRDefault="00E77E6F" w:rsidP="00F506A3">
      <w:pPr>
        <w:spacing w:after="240"/>
        <w:ind w:firstLine="720"/>
        <w:mirrorIndents/>
      </w:pPr>
      <w:r w:rsidRPr="00D226C8">
        <w:rPr>
          <w:rStyle w:val="FootnoteReference"/>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8">
    <w:p w14:paraId="691B042C" w14:textId="549BC068" w:rsidR="00E77E6F" w:rsidRPr="00D226C8" w:rsidRDefault="00E77E6F" w:rsidP="00F506A3">
      <w:pPr>
        <w:spacing w:after="240"/>
        <w:ind w:firstLine="720"/>
        <w:mirrorIndents/>
      </w:pPr>
      <w:r w:rsidRPr="00D226C8">
        <w:rPr>
          <w:rStyle w:val="FootnoteReference"/>
        </w:rPr>
        <w:footnoteRef/>
      </w:r>
      <w:r w:rsidRPr="00D226C8">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n.9.</w:t>
      </w:r>
    </w:p>
  </w:footnote>
  <w:footnote w:id="299">
    <w:p w14:paraId="4C7BF40F" w14:textId="77777777" w:rsidR="00E77E6F" w:rsidRPr="00D226C8" w:rsidRDefault="00E77E6F" w:rsidP="00F506A3">
      <w:pPr>
        <w:spacing w:after="240"/>
        <w:ind w:firstLine="720"/>
        <w:mirrorIndents/>
      </w:pPr>
      <w:r w:rsidRPr="00D226C8">
        <w:rPr>
          <w:rStyle w:val="FootnoteReference"/>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300">
    <w:p w14:paraId="4A4EC8C1" w14:textId="77777777" w:rsidR="00E77E6F" w:rsidRPr="00D226C8" w:rsidRDefault="00E77E6F" w:rsidP="00F506A3">
      <w:pPr>
        <w:ind w:firstLine="720"/>
        <w:mirrorIndents/>
      </w:pPr>
      <w:r w:rsidRPr="00D226C8">
        <w:rPr>
          <w:rStyle w:val="FootnoteReference"/>
        </w:rPr>
        <w:footnoteRef/>
      </w:r>
      <w:r w:rsidRPr="00D226C8">
        <w:t xml:space="preserve">  For a discussion of this standard, see the Comment to Instruction 4.11, supra.</w:t>
      </w:r>
    </w:p>
    <w:p w14:paraId="4B785DC4" w14:textId="77777777" w:rsidR="00E77E6F" w:rsidRPr="00D226C8" w:rsidRDefault="00E77E6F" w:rsidP="00F506A3">
      <w:pPr>
        <w:spacing w:after="240"/>
        <w:ind w:firstLine="720"/>
        <w:mirrorIndents/>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5F6E" w14:textId="77777777" w:rsidR="00723FF2" w:rsidRDefault="00723FF2">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E3AE"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DF44" w14:textId="77777777" w:rsidR="00E77E6F" w:rsidRPr="004D71D9" w:rsidRDefault="00E77E6F"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E77E6F" w:rsidRDefault="00E77E6F" w:rsidP="00FD2011">
    <w:pPr>
      <w:pStyle w:val="Header"/>
      <w:jc w:val="right"/>
      <w:rPr>
        <w:rFonts w:ascii="Century Schoolbook" w:hAnsi="Century Schoolbook"/>
        <w:b/>
        <w:bCs/>
        <w:sz w:val="20"/>
        <w:szCs w:val="20"/>
      </w:rPr>
    </w:pPr>
  </w:p>
  <w:p w14:paraId="400EF254" w14:textId="6AC52108"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E89"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E4"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CF4B" w14:textId="77777777" w:rsidR="00E77E6F" w:rsidRDefault="00E77E6F"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E77E6F" w:rsidRPr="00BB5C4D" w:rsidRDefault="00E77E6F" w:rsidP="00CA1D4D">
    <w:pPr>
      <w:pStyle w:val="Header"/>
      <w:jc w:val="center"/>
    </w:pPr>
    <w:r w:rsidRPr="004D71D9">
      <w:rPr>
        <w:rFonts w:ascii="Century Schoolbook" w:hAnsi="Century Schoolbook"/>
        <w:b/>
        <w:bCs/>
        <w:sz w:val="20"/>
        <w:szCs w:val="20"/>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A771"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E77E6F" w:rsidRPr="00BB5C4D" w:rsidRDefault="00E77E6F" w:rsidP="00CA1D4D">
    <w:pPr>
      <w:pStyle w:val="Header"/>
      <w:jc w:val="right"/>
    </w:pPr>
    <w:r w:rsidRPr="004D71D9">
      <w:rPr>
        <w:rFonts w:ascii="Century Schoolbook" w:hAnsi="Century Schoolbook"/>
        <w:b/>
        <w:bCs/>
        <w:sz w:val="20"/>
        <w:szCs w:val="20"/>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FD7F"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E77E6F" w:rsidRPr="00BB5C4D" w:rsidRDefault="00E77E6F" w:rsidP="00BB5C4D">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BADE" w14:textId="77777777" w:rsidR="00E77E6F" w:rsidRPr="003618F6"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E77E6F" w:rsidRPr="00BB5C4D" w:rsidRDefault="00E77E6F" w:rsidP="00BB5C4D">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A64D" w14:textId="77777777" w:rsidR="00E77E6F" w:rsidRDefault="00E77E6F"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E77E6F" w:rsidRPr="00BB5C4D" w:rsidRDefault="00E77E6F" w:rsidP="00BB5C4D">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8EAD"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E77E6F" w:rsidRPr="00BB5C4D" w:rsidRDefault="00E77E6F" w:rsidP="00BB5C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70F7" w14:textId="77777777" w:rsidR="00723FF2" w:rsidRDefault="00723FF2">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6E4"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E77E6F" w:rsidRPr="00BB5C4D" w:rsidRDefault="00E77E6F" w:rsidP="00BB5C4D">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A78"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E77E6F" w:rsidRPr="00BB5C4D" w:rsidRDefault="00E77E6F" w:rsidP="00BB5C4D">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C8E" w14:textId="77777777" w:rsidR="00E77E6F" w:rsidRDefault="00E77E6F"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E77E6F" w:rsidRPr="00BB5C4D" w:rsidRDefault="00E77E6F" w:rsidP="00BB5C4D">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6"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E77E6F" w:rsidRPr="00BB5C4D" w:rsidRDefault="00E77E6F" w:rsidP="00BB5C4D">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4AAB"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E77E6F" w:rsidRPr="00BB5C4D" w:rsidRDefault="00E77E6F" w:rsidP="002168DC">
    <w:pPr>
      <w:pStyle w:val="Header"/>
      <w:jc w:val="cent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E84" w14:textId="77777777" w:rsidR="00E77E6F"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E77E6F" w:rsidRPr="00BB5C4D" w:rsidRDefault="00E77E6F" w:rsidP="00BB5C4D">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10DD"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E77E6F" w:rsidRPr="00BB5C4D" w:rsidRDefault="00E77E6F" w:rsidP="00BB5C4D">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CFFF" w14:textId="77777777" w:rsidR="00E77E6F" w:rsidRPr="007D4BAE" w:rsidRDefault="00E77E6F"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E77E6F" w:rsidRPr="00BB5C4D" w:rsidRDefault="00E77E6F" w:rsidP="00BB5C4D">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B8"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E77E6F" w:rsidRPr="00BB5C4D" w:rsidRDefault="00E77E6F" w:rsidP="00BB5C4D">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C86"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E77E6F" w:rsidRPr="00BB5C4D" w:rsidRDefault="00E77E6F" w:rsidP="00BB5C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5A66" w14:textId="77777777" w:rsidR="00723FF2" w:rsidRDefault="00723FF2">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0984"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E77E6F" w:rsidRPr="00BB5C4D" w:rsidRDefault="00E77E6F" w:rsidP="00BB5C4D">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E691"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E77E6F" w:rsidRPr="00BB5C4D" w:rsidRDefault="00E77E6F" w:rsidP="00BB5C4D">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2BCE"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E77E6F" w:rsidRPr="00BB5C4D" w:rsidRDefault="00E77E6F" w:rsidP="00BB5C4D">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6397"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E77E6F" w:rsidRPr="00BB5C4D" w:rsidRDefault="00E77E6F" w:rsidP="00BB5C4D">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64F5" w14:textId="77777777" w:rsidR="00E77E6F" w:rsidRPr="007D4BAE" w:rsidRDefault="00E77E6F"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E77E6F" w:rsidRPr="00BB5C4D" w:rsidRDefault="00E77E6F" w:rsidP="00BB5C4D">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E152"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E77E6F" w:rsidRPr="00BB5C4D" w:rsidRDefault="00E77E6F" w:rsidP="00BB5C4D">
    <w:pPr>
      <w:pStyle w:val="Heade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A37"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E77E6F" w:rsidRPr="00BB5C4D" w:rsidRDefault="00E77E6F" w:rsidP="00BB5C4D">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419B"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E77E6F" w:rsidRPr="00BB5C4D" w:rsidRDefault="00E77E6F" w:rsidP="00BB5C4D">
    <w:pPr>
      <w:pStyle w:val="Heade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BA6F"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E77E6F" w:rsidRPr="00BB5C4D" w:rsidRDefault="00E77E6F" w:rsidP="00BB5C4D">
    <w:pPr>
      <w:pStyle w:val="Heade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071"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E77E6F" w:rsidRPr="00BB5C4D" w:rsidRDefault="00E77E6F" w:rsidP="00BB5C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4D80"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E77E6F" w:rsidRPr="00BB5C4D" w:rsidRDefault="00E77E6F" w:rsidP="00BB5C4D">
    <w:pPr>
      <w:pStyle w:val="Head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FC4E"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E77E6F" w:rsidRPr="00BB5C4D" w:rsidRDefault="00E77E6F" w:rsidP="00BB5C4D">
    <w:pPr>
      <w:pStyle w:val="Heade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FA39" w14:textId="77777777" w:rsidR="00E77E6F" w:rsidRDefault="00E77E6F"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E77E6F" w:rsidRPr="00BB5C4D" w:rsidRDefault="00E77E6F" w:rsidP="00BB5C4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07C9"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E77E6F" w:rsidRPr="00BB5C4D" w:rsidRDefault="00E77E6F" w:rsidP="00BB5C4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D3B" w14:textId="77777777" w:rsidR="00E77E6F" w:rsidRDefault="00E77E6F"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E77E6F" w:rsidRPr="00BB5C4D" w:rsidRDefault="00E77E6F" w:rsidP="00BB5C4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7A6"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11AA" w14:textId="77777777" w:rsidR="00E77E6F" w:rsidRDefault="00E77E6F"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A9EE" w14:textId="77777777" w:rsidR="00E77E6F" w:rsidRPr="004D71D9" w:rsidRDefault="00E77E6F"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E77E6F" w:rsidRPr="00BB5C4D" w:rsidRDefault="00E77E6F" w:rsidP="002168DC">
    <w:pPr>
      <w:pStyle w:val="Header"/>
      <w:jc w:val="right"/>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010"/>
    <w:multiLevelType w:val="hybridMultilevel"/>
    <w:tmpl w:val="6F6A9558"/>
    <w:lvl w:ilvl="0" w:tplc="18A26C6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0B8"/>
    <w:multiLevelType w:val="hybridMultilevel"/>
    <w:tmpl w:val="EEB8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34506"/>
    <w:multiLevelType w:val="hybridMultilevel"/>
    <w:tmpl w:val="6BFAB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33982"/>
    <w:multiLevelType w:val="hybridMultilevel"/>
    <w:tmpl w:val="711A7834"/>
    <w:lvl w:ilvl="0" w:tplc="FF24D4E2">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236D1"/>
    <w:multiLevelType w:val="hybridMultilevel"/>
    <w:tmpl w:val="404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439C"/>
    <w:multiLevelType w:val="hybridMultilevel"/>
    <w:tmpl w:val="AF0E576A"/>
    <w:lvl w:ilvl="0" w:tplc="08D88A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1114F"/>
    <w:multiLevelType w:val="hybridMultilevel"/>
    <w:tmpl w:val="518CE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17"/>
  </w:num>
  <w:num w:numId="6">
    <w:abstractNumId w:val="8"/>
  </w:num>
  <w:num w:numId="7">
    <w:abstractNumId w:val="13"/>
  </w:num>
  <w:num w:numId="8">
    <w:abstractNumId w:val="16"/>
  </w:num>
  <w:num w:numId="9">
    <w:abstractNumId w:val="11"/>
  </w:num>
  <w:num w:numId="10">
    <w:abstractNumId w:val="1"/>
  </w:num>
  <w:num w:numId="11">
    <w:abstractNumId w:val="2"/>
  </w:num>
  <w:num w:numId="12">
    <w:abstractNumId w:val="9"/>
  </w:num>
  <w:num w:numId="13">
    <w:abstractNumId w:val="0"/>
  </w:num>
  <w:num w:numId="14">
    <w:abstractNumId w:val="14"/>
  </w:num>
  <w:num w:numId="15">
    <w:abstractNumId w:val="12"/>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0F4F"/>
    <w:rsid w:val="000111B7"/>
    <w:rsid w:val="00013A2B"/>
    <w:rsid w:val="00013CD6"/>
    <w:rsid w:val="00014EF5"/>
    <w:rsid w:val="00016403"/>
    <w:rsid w:val="00017E4E"/>
    <w:rsid w:val="000218C3"/>
    <w:rsid w:val="000232F5"/>
    <w:rsid w:val="00024C11"/>
    <w:rsid w:val="000258DC"/>
    <w:rsid w:val="00025F17"/>
    <w:rsid w:val="00031580"/>
    <w:rsid w:val="000349C7"/>
    <w:rsid w:val="00042D53"/>
    <w:rsid w:val="00043638"/>
    <w:rsid w:val="00044ACE"/>
    <w:rsid w:val="00045400"/>
    <w:rsid w:val="00047412"/>
    <w:rsid w:val="00052A5F"/>
    <w:rsid w:val="000578AD"/>
    <w:rsid w:val="00066435"/>
    <w:rsid w:val="00071EFD"/>
    <w:rsid w:val="00073595"/>
    <w:rsid w:val="0007447F"/>
    <w:rsid w:val="00074C87"/>
    <w:rsid w:val="000759A6"/>
    <w:rsid w:val="000769FA"/>
    <w:rsid w:val="00076D20"/>
    <w:rsid w:val="00077674"/>
    <w:rsid w:val="000826F5"/>
    <w:rsid w:val="000842C8"/>
    <w:rsid w:val="00087183"/>
    <w:rsid w:val="00090421"/>
    <w:rsid w:val="00094DC8"/>
    <w:rsid w:val="00094F0A"/>
    <w:rsid w:val="00096CAF"/>
    <w:rsid w:val="000A3E7C"/>
    <w:rsid w:val="000A6E7F"/>
    <w:rsid w:val="000B45C0"/>
    <w:rsid w:val="000C238D"/>
    <w:rsid w:val="000D09A4"/>
    <w:rsid w:val="000D3FBC"/>
    <w:rsid w:val="000D65B7"/>
    <w:rsid w:val="000E0259"/>
    <w:rsid w:val="000E077A"/>
    <w:rsid w:val="000E10E9"/>
    <w:rsid w:val="000E258F"/>
    <w:rsid w:val="000F1DF0"/>
    <w:rsid w:val="000F489C"/>
    <w:rsid w:val="000F531C"/>
    <w:rsid w:val="000F720A"/>
    <w:rsid w:val="00100162"/>
    <w:rsid w:val="0010024D"/>
    <w:rsid w:val="00100D7D"/>
    <w:rsid w:val="001113F7"/>
    <w:rsid w:val="001134BE"/>
    <w:rsid w:val="00117AC8"/>
    <w:rsid w:val="001203FF"/>
    <w:rsid w:val="001237D8"/>
    <w:rsid w:val="001308A5"/>
    <w:rsid w:val="00131A8B"/>
    <w:rsid w:val="0013305A"/>
    <w:rsid w:val="00133456"/>
    <w:rsid w:val="00137266"/>
    <w:rsid w:val="0015778A"/>
    <w:rsid w:val="00157DCB"/>
    <w:rsid w:val="00162A38"/>
    <w:rsid w:val="00165FA3"/>
    <w:rsid w:val="0017311F"/>
    <w:rsid w:val="00184A3B"/>
    <w:rsid w:val="00185B62"/>
    <w:rsid w:val="00187D85"/>
    <w:rsid w:val="00191CA5"/>
    <w:rsid w:val="00192CCB"/>
    <w:rsid w:val="00194424"/>
    <w:rsid w:val="001A007D"/>
    <w:rsid w:val="001A0B9C"/>
    <w:rsid w:val="001A0FA9"/>
    <w:rsid w:val="001A12C7"/>
    <w:rsid w:val="001A144C"/>
    <w:rsid w:val="001A260B"/>
    <w:rsid w:val="001A2B0D"/>
    <w:rsid w:val="001A5A28"/>
    <w:rsid w:val="001A6066"/>
    <w:rsid w:val="001A6178"/>
    <w:rsid w:val="001A7B7C"/>
    <w:rsid w:val="001B2D3B"/>
    <w:rsid w:val="001B3718"/>
    <w:rsid w:val="001B7581"/>
    <w:rsid w:val="001B783C"/>
    <w:rsid w:val="001B7B2F"/>
    <w:rsid w:val="001C0EF0"/>
    <w:rsid w:val="001C1020"/>
    <w:rsid w:val="001C2A83"/>
    <w:rsid w:val="001C3EB4"/>
    <w:rsid w:val="001C4E24"/>
    <w:rsid w:val="001C6705"/>
    <w:rsid w:val="001C7410"/>
    <w:rsid w:val="001D04F4"/>
    <w:rsid w:val="001D2816"/>
    <w:rsid w:val="001D2BFF"/>
    <w:rsid w:val="001D344E"/>
    <w:rsid w:val="001D5DE6"/>
    <w:rsid w:val="001D6838"/>
    <w:rsid w:val="001F40F6"/>
    <w:rsid w:val="0020251F"/>
    <w:rsid w:val="0021264F"/>
    <w:rsid w:val="00212C32"/>
    <w:rsid w:val="002132A8"/>
    <w:rsid w:val="00213E8C"/>
    <w:rsid w:val="00214208"/>
    <w:rsid w:val="002168DC"/>
    <w:rsid w:val="002218DA"/>
    <w:rsid w:val="00222FF7"/>
    <w:rsid w:val="002264A7"/>
    <w:rsid w:val="0023723D"/>
    <w:rsid w:val="002379FB"/>
    <w:rsid w:val="00245CC6"/>
    <w:rsid w:val="002478ED"/>
    <w:rsid w:val="00255DFC"/>
    <w:rsid w:val="00261053"/>
    <w:rsid w:val="00262A6F"/>
    <w:rsid w:val="00267BAD"/>
    <w:rsid w:val="00270CF7"/>
    <w:rsid w:val="00272457"/>
    <w:rsid w:val="002738CE"/>
    <w:rsid w:val="00280A6B"/>
    <w:rsid w:val="002868AD"/>
    <w:rsid w:val="00286EA6"/>
    <w:rsid w:val="002872C7"/>
    <w:rsid w:val="00290198"/>
    <w:rsid w:val="00291675"/>
    <w:rsid w:val="002934E7"/>
    <w:rsid w:val="002955FD"/>
    <w:rsid w:val="0029677D"/>
    <w:rsid w:val="002A4023"/>
    <w:rsid w:val="002C3524"/>
    <w:rsid w:val="002C7456"/>
    <w:rsid w:val="002D1D62"/>
    <w:rsid w:val="002D65B8"/>
    <w:rsid w:val="002D6C64"/>
    <w:rsid w:val="002E055C"/>
    <w:rsid w:val="002E1533"/>
    <w:rsid w:val="002E1D07"/>
    <w:rsid w:val="002E3699"/>
    <w:rsid w:val="002E3EA5"/>
    <w:rsid w:val="002F0028"/>
    <w:rsid w:val="002F3A26"/>
    <w:rsid w:val="003000E3"/>
    <w:rsid w:val="003054F7"/>
    <w:rsid w:val="003070B2"/>
    <w:rsid w:val="00311663"/>
    <w:rsid w:val="00313559"/>
    <w:rsid w:val="00314D4A"/>
    <w:rsid w:val="00317FFE"/>
    <w:rsid w:val="00324BC7"/>
    <w:rsid w:val="0032651A"/>
    <w:rsid w:val="00326D5E"/>
    <w:rsid w:val="00331080"/>
    <w:rsid w:val="0033112A"/>
    <w:rsid w:val="00331815"/>
    <w:rsid w:val="003412A2"/>
    <w:rsid w:val="003424A7"/>
    <w:rsid w:val="00347925"/>
    <w:rsid w:val="00355C53"/>
    <w:rsid w:val="00356C5B"/>
    <w:rsid w:val="00357E4D"/>
    <w:rsid w:val="003618F6"/>
    <w:rsid w:val="003645E2"/>
    <w:rsid w:val="003707DE"/>
    <w:rsid w:val="0037120C"/>
    <w:rsid w:val="00372245"/>
    <w:rsid w:val="003723F8"/>
    <w:rsid w:val="003779BC"/>
    <w:rsid w:val="003941F6"/>
    <w:rsid w:val="003949D6"/>
    <w:rsid w:val="003A2442"/>
    <w:rsid w:val="003A37F4"/>
    <w:rsid w:val="003A4103"/>
    <w:rsid w:val="003A4153"/>
    <w:rsid w:val="003A4271"/>
    <w:rsid w:val="003A4828"/>
    <w:rsid w:val="003A690C"/>
    <w:rsid w:val="003A6A6F"/>
    <w:rsid w:val="003B14BB"/>
    <w:rsid w:val="003B5115"/>
    <w:rsid w:val="003B6D6B"/>
    <w:rsid w:val="003B786C"/>
    <w:rsid w:val="003B78A0"/>
    <w:rsid w:val="003C45A6"/>
    <w:rsid w:val="003C7F4A"/>
    <w:rsid w:val="003D23F7"/>
    <w:rsid w:val="003D68F7"/>
    <w:rsid w:val="003D6D3C"/>
    <w:rsid w:val="003E1C61"/>
    <w:rsid w:val="003E40B5"/>
    <w:rsid w:val="003E52A8"/>
    <w:rsid w:val="003E6E50"/>
    <w:rsid w:val="003F30A6"/>
    <w:rsid w:val="003F37EB"/>
    <w:rsid w:val="003F7C83"/>
    <w:rsid w:val="004101F4"/>
    <w:rsid w:val="00413A7C"/>
    <w:rsid w:val="00417646"/>
    <w:rsid w:val="0042151A"/>
    <w:rsid w:val="00430018"/>
    <w:rsid w:val="00434E7C"/>
    <w:rsid w:val="00436C4C"/>
    <w:rsid w:val="00436F3D"/>
    <w:rsid w:val="00452FE2"/>
    <w:rsid w:val="00453E56"/>
    <w:rsid w:val="00454648"/>
    <w:rsid w:val="004552EC"/>
    <w:rsid w:val="00456364"/>
    <w:rsid w:val="00457362"/>
    <w:rsid w:val="004576EA"/>
    <w:rsid w:val="00460B22"/>
    <w:rsid w:val="004645DA"/>
    <w:rsid w:val="00474DE6"/>
    <w:rsid w:val="00477609"/>
    <w:rsid w:val="00477C00"/>
    <w:rsid w:val="004808A7"/>
    <w:rsid w:val="00483A85"/>
    <w:rsid w:val="00483D71"/>
    <w:rsid w:val="0048668A"/>
    <w:rsid w:val="004871B4"/>
    <w:rsid w:val="00492A8B"/>
    <w:rsid w:val="004A2100"/>
    <w:rsid w:val="004B3289"/>
    <w:rsid w:val="004B6CE9"/>
    <w:rsid w:val="004C0251"/>
    <w:rsid w:val="004C2023"/>
    <w:rsid w:val="004C58B3"/>
    <w:rsid w:val="004D583E"/>
    <w:rsid w:val="004D71D9"/>
    <w:rsid w:val="004E27CA"/>
    <w:rsid w:val="004E64EE"/>
    <w:rsid w:val="004F0090"/>
    <w:rsid w:val="004F02ED"/>
    <w:rsid w:val="004F34A8"/>
    <w:rsid w:val="004F6059"/>
    <w:rsid w:val="0050288B"/>
    <w:rsid w:val="00502F25"/>
    <w:rsid w:val="00504F09"/>
    <w:rsid w:val="00505C61"/>
    <w:rsid w:val="00514F00"/>
    <w:rsid w:val="00517246"/>
    <w:rsid w:val="0052168C"/>
    <w:rsid w:val="005249BE"/>
    <w:rsid w:val="00531E99"/>
    <w:rsid w:val="00533944"/>
    <w:rsid w:val="00533B63"/>
    <w:rsid w:val="00533ED3"/>
    <w:rsid w:val="00534ECE"/>
    <w:rsid w:val="0053679F"/>
    <w:rsid w:val="005407FF"/>
    <w:rsid w:val="00545498"/>
    <w:rsid w:val="00545968"/>
    <w:rsid w:val="00554ED5"/>
    <w:rsid w:val="005600F0"/>
    <w:rsid w:val="00563600"/>
    <w:rsid w:val="00567C4C"/>
    <w:rsid w:val="0057364E"/>
    <w:rsid w:val="00573AA9"/>
    <w:rsid w:val="0058314A"/>
    <w:rsid w:val="00583F4E"/>
    <w:rsid w:val="00592E7E"/>
    <w:rsid w:val="005A014B"/>
    <w:rsid w:val="005A5A64"/>
    <w:rsid w:val="005B04E3"/>
    <w:rsid w:val="005B096F"/>
    <w:rsid w:val="005B14B2"/>
    <w:rsid w:val="005B19B4"/>
    <w:rsid w:val="005B4389"/>
    <w:rsid w:val="005C03F8"/>
    <w:rsid w:val="005C6D42"/>
    <w:rsid w:val="005C6D57"/>
    <w:rsid w:val="005D5AAC"/>
    <w:rsid w:val="005E0AE1"/>
    <w:rsid w:val="005E0FA5"/>
    <w:rsid w:val="005E3571"/>
    <w:rsid w:val="005F7851"/>
    <w:rsid w:val="006000BA"/>
    <w:rsid w:val="006016E5"/>
    <w:rsid w:val="00601AF0"/>
    <w:rsid w:val="006043E4"/>
    <w:rsid w:val="00605327"/>
    <w:rsid w:val="00605F80"/>
    <w:rsid w:val="00613629"/>
    <w:rsid w:val="006174B2"/>
    <w:rsid w:val="00625E9D"/>
    <w:rsid w:val="0062691A"/>
    <w:rsid w:val="00637E70"/>
    <w:rsid w:val="00640A0E"/>
    <w:rsid w:val="00640B5E"/>
    <w:rsid w:val="00650F70"/>
    <w:rsid w:val="00652F55"/>
    <w:rsid w:val="00657FE2"/>
    <w:rsid w:val="006623E3"/>
    <w:rsid w:val="00663CA4"/>
    <w:rsid w:val="00672C74"/>
    <w:rsid w:val="006733CE"/>
    <w:rsid w:val="006764E5"/>
    <w:rsid w:val="00680BE4"/>
    <w:rsid w:val="006814A6"/>
    <w:rsid w:val="006821BC"/>
    <w:rsid w:val="006848AA"/>
    <w:rsid w:val="00691ADE"/>
    <w:rsid w:val="0069411B"/>
    <w:rsid w:val="006978E2"/>
    <w:rsid w:val="006A3791"/>
    <w:rsid w:val="006B55D6"/>
    <w:rsid w:val="006C0891"/>
    <w:rsid w:val="006C47CF"/>
    <w:rsid w:val="006C49DD"/>
    <w:rsid w:val="006C7E46"/>
    <w:rsid w:val="006D0074"/>
    <w:rsid w:val="006D1EB3"/>
    <w:rsid w:val="006D5690"/>
    <w:rsid w:val="006D6099"/>
    <w:rsid w:val="006E1D86"/>
    <w:rsid w:val="006E5BE5"/>
    <w:rsid w:val="006F0FAB"/>
    <w:rsid w:val="006F5B99"/>
    <w:rsid w:val="006F7A6F"/>
    <w:rsid w:val="00704C38"/>
    <w:rsid w:val="007073DC"/>
    <w:rsid w:val="007118E7"/>
    <w:rsid w:val="00713614"/>
    <w:rsid w:val="00720A9B"/>
    <w:rsid w:val="00721160"/>
    <w:rsid w:val="00722CAD"/>
    <w:rsid w:val="00723FF2"/>
    <w:rsid w:val="00730BE4"/>
    <w:rsid w:val="00733FCD"/>
    <w:rsid w:val="007367F0"/>
    <w:rsid w:val="00747378"/>
    <w:rsid w:val="007508F2"/>
    <w:rsid w:val="007514A3"/>
    <w:rsid w:val="00753106"/>
    <w:rsid w:val="0076126A"/>
    <w:rsid w:val="0076408F"/>
    <w:rsid w:val="00765475"/>
    <w:rsid w:val="007662ED"/>
    <w:rsid w:val="007666A1"/>
    <w:rsid w:val="00767E9C"/>
    <w:rsid w:val="00770281"/>
    <w:rsid w:val="0077088E"/>
    <w:rsid w:val="00773F35"/>
    <w:rsid w:val="0077488E"/>
    <w:rsid w:val="00782A0F"/>
    <w:rsid w:val="00784ECC"/>
    <w:rsid w:val="00787DF3"/>
    <w:rsid w:val="0079585D"/>
    <w:rsid w:val="007A02A6"/>
    <w:rsid w:val="007A7790"/>
    <w:rsid w:val="007B1B25"/>
    <w:rsid w:val="007B4BAD"/>
    <w:rsid w:val="007B6322"/>
    <w:rsid w:val="007C117F"/>
    <w:rsid w:val="007C31CE"/>
    <w:rsid w:val="007C4573"/>
    <w:rsid w:val="007C5AE4"/>
    <w:rsid w:val="007C68B4"/>
    <w:rsid w:val="007D32FF"/>
    <w:rsid w:val="007D4BAE"/>
    <w:rsid w:val="007E1FBF"/>
    <w:rsid w:val="007E6D03"/>
    <w:rsid w:val="007F1BA7"/>
    <w:rsid w:val="007F3DE4"/>
    <w:rsid w:val="007F4138"/>
    <w:rsid w:val="007F43E9"/>
    <w:rsid w:val="00802411"/>
    <w:rsid w:val="00802CC2"/>
    <w:rsid w:val="00803DF5"/>
    <w:rsid w:val="00806044"/>
    <w:rsid w:val="0080651D"/>
    <w:rsid w:val="008077E6"/>
    <w:rsid w:val="00812EC9"/>
    <w:rsid w:val="00814B56"/>
    <w:rsid w:val="00817BDE"/>
    <w:rsid w:val="00817C19"/>
    <w:rsid w:val="0082005F"/>
    <w:rsid w:val="00820AAF"/>
    <w:rsid w:val="008214B2"/>
    <w:rsid w:val="0082313A"/>
    <w:rsid w:val="008236AB"/>
    <w:rsid w:val="00826EFF"/>
    <w:rsid w:val="00830DA4"/>
    <w:rsid w:val="00833121"/>
    <w:rsid w:val="008359B4"/>
    <w:rsid w:val="00852A74"/>
    <w:rsid w:val="00853C93"/>
    <w:rsid w:val="008547A7"/>
    <w:rsid w:val="00860958"/>
    <w:rsid w:val="008628F1"/>
    <w:rsid w:val="00870297"/>
    <w:rsid w:val="008704D2"/>
    <w:rsid w:val="00877FBF"/>
    <w:rsid w:val="00880DD8"/>
    <w:rsid w:val="00881089"/>
    <w:rsid w:val="008822DE"/>
    <w:rsid w:val="00886831"/>
    <w:rsid w:val="00887C2F"/>
    <w:rsid w:val="00890D65"/>
    <w:rsid w:val="008A0E5B"/>
    <w:rsid w:val="008A36FD"/>
    <w:rsid w:val="008A4622"/>
    <w:rsid w:val="008A5A76"/>
    <w:rsid w:val="008A5C7E"/>
    <w:rsid w:val="008A70C8"/>
    <w:rsid w:val="008B1545"/>
    <w:rsid w:val="008B1780"/>
    <w:rsid w:val="008B5850"/>
    <w:rsid w:val="008B74C7"/>
    <w:rsid w:val="008C4A72"/>
    <w:rsid w:val="008C4EB9"/>
    <w:rsid w:val="008C5265"/>
    <w:rsid w:val="008D05CB"/>
    <w:rsid w:val="008D2B03"/>
    <w:rsid w:val="008D5EE0"/>
    <w:rsid w:val="008D790E"/>
    <w:rsid w:val="008D7D0D"/>
    <w:rsid w:val="008E2F38"/>
    <w:rsid w:val="008E55A2"/>
    <w:rsid w:val="008F1869"/>
    <w:rsid w:val="008F2A6A"/>
    <w:rsid w:val="008F6736"/>
    <w:rsid w:val="00900369"/>
    <w:rsid w:val="00901960"/>
    <w:rsid w:val="00901CEA"/>
    <w:rsid w:val="00903314"/>
    <w:rsid w:val="00912E12"/>
    <w:rsid w:val="00914888"/>
    <w:rsid w:val="00914917"/>
    <w:rsid w:val="00914F9C"/>
    <w:rsid w:val="00915D29"/>
    <w:rsid w:val="00930D23"/>
    <w:rsid w:val="00930E04"/>
    <w:rsid w:val="00935A0B"/>
    <w:rsid w:val="00941010"/>
    <w:rsid w:val="009510BB"/>
    <w:rsid w:val="009537BF"/>
    <w:rsid w:val="00953EB1"/>
    <w:rsid w:val="00954538"/>
    <w:rsid w:val="00955670"/>
    <w:rsid w:val="00955C09"/>
    <w:rsid w:val="00956658"/>
    <w:rsid w:val="00957BD8"/>
    <w:rsid w:val="00957CD0"/>
    <w:rsid w:val="009635A5"/>
    <w:rsid w:val="0096466E"/>
    <w:rsid w:val="00965EE0"/>
    <w:rsid w:val="00966C9D"/>
    <w:rsid w:val="009677AB"/>
    <w:rsid w:val="00971216"/>
    <w:rsid w:val="00974573"/>
    <w:rsid w:val="009758E3"/>
    <w:rsid w:val="00976B6B"/>
    <w:rsid w:val="009853FF"/>
    <w:rsid w:val="00985E68"/>
    <w:rsid w:val="00990274"/>
    <w:rsid w:val="009914F8"/>
    <w:rsid w:val="0099484E"/>
    <w:rsid w:val="00997951"/>
    <w:rsid w:val="009A0F54"/>
    <w:rsid w:val="009A502A"/>
    <w:rsid w:val="009B2435"/>
    <w:rsid w:val="009B6489"/>
    <w:rsid w:val="009C000D"/>
    <w:rsid w:val="009C40A3"/>
    <w:rsid w:val="009D11C1"/>
    <w:rsid w:val="009D35A0"/>
    <w:rsid w:val="009D3FDE"/>
    <w:rsid w:val="009D45C6"/>
    <w:rsid w:val="009D4885"/>
    <w:rsid w:val="009D4C2D"/>
    <w:rsid w:val="009D73C7"/>
    <w:rsid w:val="009D7FE9"/>
    <w:rsid w:val="009E28BB"/>
    <w:rsid w:val="009E2D6A"/>
    <w:rsid w:val="009E5C59"/>
    <w:rsid w:val="009F4A3B"/>
    <w:rsid w:val="009F56D4"/>
    <w:rsid w:val="00A008D0"/>
    <w:rsid w:val="00A00C0E"/>
    <w:rsid w:val="00A01CBF"/>
    <w:rsid w:val="00A0507F"/>
    <w:rsid w:val="00A10C34"/>
    <w:rsid w:val="00A16BEB"/>
    <w:rsid w:val="00A21800"/>
    <w:rsid w:val="00A22D7C"/>
    <w:rsid w:val="00A35B96"/>
    <w:rsid w:val="00A365EE"/>
    <w:rsid w:val="00A37AF4"/>
    <w:rsid w:val="00A37B8F"/>
    <w:rsid w:val="00A462E1"/>
    <w:rsid w:val="00A47168"/>
    <w:rsid w:val="00A50425"/>
    <w:rsid w:val="00A514A2"/>
    <w:rsid w:val="00A54485"/>
    <w:rsid w:val="00A55758"/>
    <w:rsid w:val="00A574CC"/>
    <w:rsid w:val="00A610BD"/>
    <w:rsid w:val="00A659B1"/>
    <w:rsid w:val="00A65B98"/>
    <w:rsid w:val="00A67D7B"/>
    <w:rsid w:val="00A745D1"/>
    <w:rsid w:val="00A77A48"/>
    <w:rsid w:val="00A81979"/>
    <w:rsid w:val="00A830F5"/>
    <w:rsid w:val="00A8690A"/>
    <w:rsid w:val="00A9399C"/>
    <w:rsid w:val="00A9540A"/>
    <w:rsid w:val="00A96551"/>
    <w:rsid w:val="00A97029"/>
    <w:rsid w:val="00AA1A03"/>
    <w:rsid w:val="00AA5858"/>
    <w:rsid w:val="00AA5CDE"/>
    <w:rsid w:val="00AC0352"/>
    <w:rsid w:val="00AC0C59"/>
    <w:rsid w:val="00AC0ED6"/>
    <w:rsid w:val="00AC407E"/>
    <w:rsid w:val="00AC4E13"/>
    <w:rsid w:val="00AC516A"/>
    <w:rsid w:val="00AC683E"/>
    <w:rsid w:val="00AC6A18"/>
    <w:rsid w:val="00AE5F0F"/>
    <w:rsid w:val="00AF109E"/>
    <w:rsid w:val="00AF4681"/>
    <w:rsid w:val="00B01570"/>
    <w:rsid w:val="00B01CD9"/>
    <w:rsid w:val="00B05F5D"/>
    <w:rsid w:val="00B0720B"/>
    <w:rsid w:val="00B15B60"/>
    <w:rsid w:val="00B16960"/>
    <w:rsid w:val="00B215A9"/>
    <w:rsid w:val="00B24443"/>
    <w:rsid w:val="00B27170"/>
    <w:rsid w:val="00B31B33"/>
    <w:rsid w:val="00B469F3"/>
    <w:rsid w:val="00B5136B"/>
    <w:rsid w:val="00B550F3"/>
    <w:rsid w:val="00B558F3"/>
    <w:rsid w:val="00B6244C"/>
    <w:rsid w:val="00B628AA"/>
    <w:rsid w:val="00B67AC1"/>
    <w:rsid w:val="00B71E1F"/>
    <w:rsid w:val="00B76862"/>
    <w:rsid w:val="00B82924"/>
    <w:rsid w:val="00B84B0F"/>
    <w:rsid w:val="00B8746B"/>
    <w:rsid w:val="00B96F46"/>
    <w:rsid w:val="00BA14BF"/>
    <w:rsid w:val="00BA6669"/>
    <w:rsid w:val="00BB0768"/>
    <w:rsid w:val="00BB35A4"/>
    <w:rsid w:val="00BB42BC"/>
    <w:rsid w:val="00BB5C4D"/>
    <w:rsid w:val="00BB6929"/>
    <w:rsid w:val="00BD0FDD"/>
    <w:rsid w:val="00BD4BAC"/>
    <w:rsid w:val="00BD4C3C"/>
    <w:rsid w:val="00BD546E"/>
    <w:rsid w:val="00BD7231"/>
    <w:rsid w:val="00BD797F"/>
    <w:rsid w:val="00BE79AE"/>
    <w:rsid w:val="00BE7BA2"/>
    <w:rsid w:val="00BF053A"/>
    <w:rsid w:val="00BF2C99"/>
    <w:rsid w:val="00BF493F"/>
    <w:rsid w:val="00BF76C1"/>
    <w:rsid w:val="00C00A31"/>
    <w:rsid w:val="00C04E0C"/>
    <w:rsid w:val="00C10C0E"/>
    <w:rsid w:val="00C11594"/>
    <w:rsid w:val="00C16C16"/>
    <w:rsid w:val="00C2313F"/>
    <w:rsid w:val="00C44228"/>
    <w:rsid w:val="00C44B83"/>
    <w:rsid w:val="00C44EE8"/>
    <w:rsid w:val="00C46C30"/>
    <w:rsid w:val="00C54522"/>
    <w:rsid w:val="00C54A5F"/>
    <w:rsid w:val="00C66493"/>
    <w:rsid w:val="00C72E41"/>
    <w:rsid w:val="00C73B9C"/>
    <w:rsid w:val="00C7556F"/>
    <w:rsid w:val="00C9228B"/>
    <w:rsid w:val="00C92771"/>
    <w:rsid w:val="00C94853"/>
    <w:rsid w:val="00C94BBF"/>
    <w:rsid w:val="00CA0570"/>
    <w:rsid w:val="00CA1D4D"/>
    <w:rsid w:val="00CB00F3"/>
    <w:rsid w:val="00CB0555"/>
    <w:rsid w:val="00CB1C32"/>
    <w:rsid w:val="00CB1CCC"/>
    <w:rsid w:val="00CC1DB3"/>
    <w:rsid w:val="00CC28B2"/>
    <w:rsid w:val="00CC2B9A"/>
    <w:rsid w:val="00CC3881"/>
    <w:rsid w:val="00CC557D"/>
    <w:rsid w:val="00CD12F5"/>
    <w:rsid w:val="00CD3984"/>
    <w:rsid w:val="00CD69C6"/>
    <w:rsid w:val="00CE325D"/>
    <w:rsid w:val="00CE3EA6"/>
    <w:rsid w:val="00CE7164"/>
    <w:rsid w:val="00CE7D91"/>
    <w:rsid w:val="00CE7ECB"/>
    <w:rsid w:val="00CF402C"/>
    <w:rsid w:val="00CF75F6"/>
    <w:rsid w:val="00D01140"/>
    <w:rsid w:val="00D11787"/>
    <w:rsid w:val="00D1429D"/>
    <w:rsid w:val="00D1459C"/>
    <w:rsid w:val="00D20C61"/>
    <w:rsid w:val="00D226C8"/>
    <w:rsid w:val="00D24CBD"/>
    <w:rsid w:val="00D34725"/>
    <w:rsid w:val="00D36FB8"/>
    <w:rsid w:val="00D3719F"/>
    <w:rsid w:val="00D413BD"/>
    <w:rsid w:val="00D44B69"/>
    <w:rsid w:val="00D45EB7"/>
    <w:rsid w:val="00D47CE7"/>
    <w:rsid w:val="00D54B7B"/>
    <w:rsid w:val="00D56A7C"/>
    <w:rsid w:val="00D61225"/>
    <w:rsid w:val="00D6235F"/>
    <w:rsid w:val="00D65882"/>
    <w:rsid w:val="00D6597B"/>
    <w:rsid w:val="00D741FE"/>
    <w:rsid w:val="00D7698C"/>
    <w:rsid w:val="00D81628"/>
    <w:rsid w:val="00D86B93"/>
    <w:rsid w:val="00D92663"/>
    <w:rsid w:val="00D95514"/>
    <w:rsid w:val="00D95F6F"/>
    <w:rsid w:val="00DA02B8"/>
    <w:rsid w:val="00DA1B57"/>
    <w:rsid w:val="00DA4A1F"/>
    <w:rsid w:val="00DA74E6"/>
    <w:rsid w:val="00DB0116"/>
    <w:rsid w:val="00DB099A"/>
    <w:rsid w:val="00DB28AE"/>
    <w:rsid w:val="00DB5EEE"/>
    <w:rsid w:val="00DB698E"/>
    <w:rsid w:val="00DC065C"/>
    <w:rsid w:val="00DC19C1"/>
    <w:rsid w:val="00DC19C7"/>
    <w:rsid w:val="00DC386C"/>
    <w:rsid w:val="00DD1E61"/>
    <w:rsid w:val="00DD2BEE"/>
    <w:rsid w:val="00DD2FF7"/>
    <w:rsid w:val="00DD4C7C"/>
    <w:rsid w:val="00DD6FC5"/>
    <w:rsid w:val="00DD7A12"/>
    <w:rsid w:val="00DE3188"/>
    <w:rsid w:val="00DE5D73"/>
    <w:rsid w:val="00DF0742"/>
    <w:rsid w:val="00DF08EE"/>
    <w:rsid w:val="00DF3862"/>
    <w:rsid w:val="00E0190E"/>
    <w:rsid w:val="00E030E6"/>
    <w:rsid w:val="00E073BE"/>
    <w:rsid w:val="00E078C5"/>
    <w:rsid w:val="00E11AB8"/>
    <w:rsid w:val="00E12662"/>
    <w:rsid w:val="00E150AF"/>
    <w:rsid w:val="00E33198"/>
    <w:rsid w:val="00E33B20"/>
    <w:rsid w:val="00E35963"/>
    <w:rsid w:val="00E36C8B"/>
    <w:rsid w:val="00E40275"/>
    <w:rsid w:val="00E40B24"/>
    <w:rsid w:val="00E4197A"/>
    <w:rsid w:val="00E50720"/>
    <w:rsid w:val="00E51BA7"/>
    <w:rsid w:val="00E55E4B"/>
    <w:rsid w:val="00E62DB6"/>
    <w:rsid w:val="00E64F24"/>
    <w:rsid w:val="00E67699"/>
    <w:rsid w:val="00E70106"/>
    <w:rsid w:val="00E719F0"/>
    <w:rsid w:val="00E71A52"/>
    <w:rsid w:val="00E73FD6"/>
    <w:rsid w:val="00E77A12"/>
    <w:rsid w:val="00E77E6F"/>
    <w:rsid w:val="00E83457"/>
    <w:rsid w:val="00E8413F"/>
    <w:rsid w:val="00E87C3A"/>
    <w:rsid w:val="00E92B4F"/>
    <w:rsid w:val="00E937B5"/>
    <w:rsid w:val="00E96842"/>
    <w:rsid w:val="00E96D45"/>
    <w:rsid w:val="00E97E18"/>
    <w:rsid w:val="00EA10BE"/>
    <w:rsid w:val="00EA2605"/>
    <w:rsid w:val="00EA64E1"/>
    <w:rsid w:val="00EA7978"/>
    <w:rsid w:val="00EB06CC"/>
    <w:rsid w:val="00EB2319"/>
    <w:rsid w:val="00EB3004"/>
    <w:rsid w:val="00EC30F2"/>
    <w:rsid w:val="00EC371F"/>
    <w:rsid w:val="00EC6584"/>
    <w:rsid w:val="00ED1C04"/>
    <w:rsid w:val="00ED3C1A"/>
    <w:rsid w:val="00ED484E"/>
    <w:rsid w:val="00ED733A"/>
    <w:rsid w:val="00EE59D3"/>
    <w:rsid w:val="00EE6773"/>
    <w:rsid w:val="00EE7050"/>
    <w:rsid w:val="00EF1AD1"/>
    <w:rsid w:val="00EF520D"/>
    <w:rsid w:val="00EF672B"/>
    <w:rsid w:val="00EF789C"/>
    <w:rsid w:val="00F00A26"/>
    <w:rsid w:val="00F01860"/>
    <w:rsid w:val="00F02197"/>
    <w:rsid w:val="00F03549"/>
    <w:rsid w:val="00F047D5"/>
    <w:rsid w:val="00F07BC2"/>
    <w:rsid w:val="00F25ECC"/>
    <w:rsid w:val="00F2684F"/>
    <w:rsid w:val="00F32997"/>
    <w:rsid w:val="00F34231"/>
    <w:rsid w:val="00F40C85"/>
    <w:rsid w:val="00F506A3"/>
    <w:rsid w:val="00F5333D"/>
    <w:rsid w:val="00F544AB"/>
    <w:rsid w:val="00F55504"/>
    <w:rsid w:val="00F62695"/>
    <w:rsid w:val="00F62771"/>
    <w:rsid w:val="00F715E9"/>
    <w:rsid w:val="00F73B5F"/>
    <w:rsid w:val="00F879F3"/>
    <w:rsid w:val="00F904F2"/>
    <w:rsid w:val="00F9150D"/>
    <w:rsid w:val="00F93C71"/>
    <w:rsid w:val="00F95913"/>
    <w:rsid w:val="00FA393D"/>
    <w:rsid w:val="00FA4637"/>
    <w:rsid w:val="00FA4BA9"/>
    <w:rsid w:val="00FA5373"/>
    <w:rsid w:val="00FA5603"/>
    <w:rsid w:val="00FB6364"/>
    <w:rsid w:val="00FC0BD8"/>
    <w:rsid w:val="00FC3CFC"/>
    <w:rsid w:val="00FC47FC"/>
    <w:rsid w:val="00FC4822"/>
    <w:rsid w:val="00FC585C"/>
    <w:rsid w:val="00FC7C7E"/>
    <w:rsid w:val="00FD2011"/>
    <w:rsid w:val="00FD4B43"/>
    <w:rsid w:val="00FD4B4D"/>
    <w:rsid w:val="00FE1314"/>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47D5"/>
    <w:rPr>
      <w:vertAlign w:val="superscript"/>
    </w:rPr>
  </w:style>
  <w:style w:type="paragraph" w:styleId="FootnoteText">
    <w:name w:val="footnote text"/>
    <w:basedOn w:val="Normal"/>
    <w:link w:val="FootnoteTextChar"/>
    <w:uiPriority w:val="99"/>
    <w:unhideWhenUsed/>
    <w:rsid w:val="00CC28B2"/>
    <w:pPr>
      <w:spacing w:after="120"/>
      <w:jc w:val="both"/>
    </w:pPr>
    <w:rPr>
      <w:szCs w:val="20"/>
    </w:rPr>
  </w:style>
  <w:style w:type="character" w:customStyle="1" w:styleId="FootnoteTextChar">
    <w:name w:val="Footnote Text Char"/>
    <w:basedOn w:val="DefaultParagraphFont"/>
    <w:link w:val="FootnoteText"/>
    <w:uiPriority w:val="99"/>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D1D716D59BD4B9DDE3AABF584C8A3" ma:contentTypeVersion="16" ma:contentTypeDescription="Create a new document." ma:contentTypeScope="" ma:versionID="d5c0e94d68de48456a64ad7a78522e4e">
  <xsd:schema xmlns:xsd="http://www.w3.org/2001/XMLSchema" xmlns:xs="http://www.w3.org/2001/XMLSchema" xmlns:p="http://schemas.microsoft.com/office/2006/metadata/properties" xmlns:ns1="http://schemas.microsoft.com/sharepoint/v3" xmlns:ns3="c0b2c0d8-038f-47e1-8528-0fe865520df9" xmlns:ns4="e6f482f0-6c01-4696-8f50-23d2e9753c43" targetNamespace="http://schemas.microsoft.com/office/2006/metadata/properties" ma:root="true" ma:fieldsID="49396228948ce987329262d2340cd8a7" ns1:_="" ns3:_="" ns4:_="">
    <xsd:import namespace="http://schemas.microsoft.com/sharepoint/v3"/>
    <xsd:import namespace="c0b2c0d8-038f-47e1-8528-0fe865520df9"/>
    <xsd:import namespace="e6f482f0-6c01-4696-8f50-23d2e9753c4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2c0d8-038f-47e1-8528-0fe865520d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482f0-6c01-4696-8f50-23d2e9753c4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D949-132F-42E6-B476-8F95B670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b2c0d8-038f-47e1-8528-0fe865520df9"/>
    <ds:schemaRef ds:uri="e6f482f0-6c01-4696-8f50-23d2e9753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DE974-9F7C-42FA-9CA1-55EC103D2424}">
  <ds:schemaRefs>
    <ds:schemaRef ds:uri="http://schemas.microsoft.com/sharepoint/v3/contenttype/forms"/>
  </ds:schemaRefs>
</ds:datastoreItem>
</file>

<file path=customXml/itemProps3.xml><?xml version="1.0" encoding="utf-8"?>
<ds:datastoreItem xmlns:ds="http://schemas.openxmlformats.org/officeDocument/2006/customXml" ds:itemID="{5FC43138-A743-4D71-AFC3-65F8EE2F499A}">
  <ds:schemaRefs>
    <ds:schemaRef ds:uri="http://purl.org/dc/terms/"/>
    <ds:schemaRef ds:uri="c0b2c0d8-038f-47e1-8528-0fe865520df9"/>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e6f482f0-6c01-4696-8f50-23d2e9753c43"/>
    <ds:schemaRef ds:uri="http://www.w3.org/XML/1998/namespace"/>
  </ds:schemaRefs>
</ds:datastoreItem>
</file>

<file path=customXml/itemProps4.xml><?xml version="1.0" encoding="utf-8"?>
<ds:datastoreItem xmlns:ds="http://schemas.openxmlformats.org/officeDocument/2006/customXml" ds:itemID="{E65F46DB-ED80-4A6A-8C8F-D593A726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64733</Words>
  <Characters>368983</Characters>
  <Application>Microsoft Office Word</Application>
  <DocSecurity>4</DocSecurity>
  <Lines>3074</Lines>
  <Paragraphs>865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2021-08-04T14:07:00Z</dcterms:created>
  <dcterms:modified xsi:type="dcterms:W3CDTF">2021-08-04T14:07:00Z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0x010100598D1D716D59BD4B9DDE3AABF584C8A3</vt:lpwstr>
  </property>
</Properties>
</file>