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0E80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14:paraId="3A634AC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0E39275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14:paraId="41A7D78D"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5F0521F9"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008" w:left="1440" w:header="1440" w:footer="1008" w:gutter="0"/>
          <w:cols w:space="720"/>
          <w:noEndnote/>
        </w:sectPr>
      </w:pPr>
    </w:p>
    <w:p w14:paraId="62F540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14:paraId="75C8740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14:paraId="2618FA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14:paraId="2741858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14:paraId="17AB8F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14:paraId="2BB8F242" w14:textId="77777777"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14:paraId="7132A3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14:paraId="3EBEB5B6"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14:paraId="354DDD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14:paraId="07266F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14:paraId="688C8BE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14:paraId="72E0BDD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14:paraId="32DFCA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14:paraId="4E698C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14:paraId="4249E8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14:paraId="285686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14:paraId="1A6E99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14:paraId="1FF8F2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14:paraId="2C8D4CE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14:paraId="43CC716B" w14:textId="77777777"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14"/>
          <w:type w:val="continuous"/>
          <w:pgSz w:w="12240" w:h="15840"/>
          <w:pgMar w:top="1440" w:right="1440" w:bottom="1008" w:left="1440" w:header="1440" w:footer="1008" w:gutter="0"/>
          <w:lnNumType w:countBy="1" w:distance="576"/>
          <w:cols w:space="720"/>
          <w:noEndnote/>
        </w:sectPr>
      </w:pPr>
      <w:r w:rsidRPr="000F2ECD">
        <w:tab/>
        <w:t>8.4.5    Nominal Damages</w:t>
      </w:r>
    </w:p>
    <w:p w14:paraId="1527E9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14:paraId="37355586" w14:textId="77777777"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141ECBDA" w14:textId="77777777"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14:paraId="7C7F195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14:paraId="32FB68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14:paraId="71EAD74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14:paraId="59510433" w14:textId="77777777"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5"/>
          <w:pgSz w:w="12240" w:h="15840"/>
          <w:pgMar w:top="1440" w:right="1440" w:bottom="1008" w:left="1440" w:header="900" w:footer="1008" w:gutter="0"/>
          <w:lnNumType w:countBy="1" w:distance="576"/>
          <w:cols w:space="720"/>
          <w:noEndnote/>
        </w:sectPr>
      </w:pPr>
    </w:p>
    <w:p w14:paraId="141AF0DF"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8975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108DF8D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319123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Neither Title VII nor Section 1981 prohibits employers from discriminating on grounds of age.  In the Age Discrimination in Employment Act of 1967, however, Congress provided protecti</w:t>
      </w:r>
      <w:r w:rsidR="008C0E43">
        <w:t>on for employees age</w:t>
      </w:r>
      <w:r w:rsidRPr="000F2ECD">
        <w:t xml:space="preserve"> 40</w:t>
      </w:r>
      <w:r w:rsidR="008C0E43">
        <w:t xml:space="preserve"> or older</w:t>
      </w:r>
      <w:r w:rsidRPr="000F2ECD">
        <w:t xml:space="preserve"> who are the victims of discrimination because of </w:t>
      </w:r>
      <w:r w:rsidR="00285621" w:rsidRPr="000F2ECD">
        <w:t>age.</w:t>
      </w:r>
      <w:r w:rsidR="00285621" w:rsidRPr="000F2ECD">
        <w:rPr>
          <w:rStyle w:val="FootnoteReference"/>
        </w:rPr>
        <w:footnoteReference w:id="2"/>
      </w:r>
      <w:r w:rsidR="00285621" w:rsidRPr="000F2ECD">
        <w:t xml:space="preserve">  </w:t>
      </w:r>
      <w:r w:rsidRPr="000F2ECD">
        <w:t>The central provision of the ADEA is 29 U.S.C. § 623, which provides in part as follows:</w:t>
      </w:r>
    </w:p>
    <w:p w14:paraId="28072C10"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14:paraId="363223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14:paraId="3C9810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w:t>
      </w:r>
      <w:r w:rsidR="00A232F6">
        <w:t xml:space="preserve"> </w:t>
      </w:r>
      <w:r w:rsidR="00A232F6" w:rsidRPr="00F16917">
        <w:t>[</w:t>
      </w:r>
      <w:r w:rsidR="00A232F6">
        <w:rPr>
          <w:i/>
        </w:rPr>
        <w:t>sic</w:t>
      </w:r>
      <w:r w:rsidR="00A232F6" w:rsidRPr="00F16917">
        <w:t>]</w:t>
      </w:r>
      <w:r w:rsidRPr="000F2ECD">
        <w:t>, (2) he is qualified for the position in question, (3) he suffered from an adverse employment decision, and (4) his replacement was sufficiently younger to permit a reasonable inference of age discrimination.</w:t>
      </w:r>
    </w:p>
    <w:p w14:paraId="30B78EA8" w14:textId="2D5673A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 xml:space="preserve">court found that these standards were met where the 42-year-old plaintiff alleged that he was constructively discharged from his job, for which he was </w:t>
      </w:r>
      <w:proofErr w:type="gramStart"/>
      <w:r w:rsidRPr="000F2ECD">
        <w:t>qualified,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w:t>
      </w:r>
      <w:r w:rsidRPr="002869CB">
        <w:rPr>
          <w:i/>
        </w:rPr>
        <w:t>Id</w:t>
      </w:r>
      <w:r w:rsidRPr="000F2ECD">
        <w:t>. at 247</w:t>
      </w:r>
      <w:r w:rsidR="00064682">
        <w:t xml:space="preserve"> n.</w:t>
      </w:r>
      <w:r w:rsidRPr="000F2ECD">
        <w:t>32.</w:t>
      </w:r>
    </w:p>
    <w:p w14:paraId="0CE88D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Relationship Between the Coverage of the ADEA and Title VII</w:t>
      </w:r>
    </w:p>
    <w:p w14:paraId="508C831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3"/>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r w:rsidRPr="000F2ECD">
        <w:rPr>
          <w:i/>
          <w:iCs/>
        </w:rPr>
        <w:t>Lorillard v. Pons</w:t>
      </w:r>
      <w:r w:rsidRPr="000F2ECD">
        <w:t xml:space="preserve">, supra, [434 U.S. 575] at 584 [1978].”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14:paraId="398CF94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w:t>
      </w:r>
      <w:r w:rsidRPr="000F2ECD">
        <w:lastRenderedPageBreak/>
        <w:t xml:space="preserve">Act.” The Court in </w:t>
      </w:r>
      <w:proofErr w:type="spellStart"/>
      <w:r w:rsidRPr="000F2ECD">
        <w:rPr>
          <w:i/>
          <w:iCs/>
        </w:rPr>
        <w:t>Massarsky</w:t>
      </w:r>
      <w:proofErr w:type="spellEnd"/>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w:t>
      </w:r>
      <w:proofErr w:type="spellStart"/>
      <w:r w:rsidRPr="000F2ECD">
        <w:t>en</w:t>
      </w:r>
      <w:proofErr w:type="spellEnd"/>
      <w:r w:rsidRPr="000F2ECD">
        <w:t xml:space="preserve">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the but-for cause of the adverse employment action.  </w:t>
      </w:r>
      <w:r w:rsidRPr="000F2ECD">
        <w:rPr>
          <w:i/>
          <w:iCs/>
        </w:rPr>
        <w:t xml:space="preserve">See </w:t>
      </w:r>
      <w:r w:rsidRPr="000F2ECD">
        <w:t xml:space="preserve">Comment 8.1.1. </w:t>
      </w:r>
    </w:p>
    <w:p w14:paraId="70439A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14:paraId="6C8E7A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14:paraId="30FDA29E" w14:textId="5703BC60"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128 S.</w:t>
      </w:r>
      <w:r w:rsidR="006B36C0">
        <w:t xml:space="preserve"> </w:t>
      </w:r>
      <w:r w:rsidRPr="000F2ECD">
        <w:t xml:space="preserve">Ct.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14:paraId="0D544A7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14:paraId="75B95A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w:t>
      </w:r>
      <w:r w:rsidRPr="000F2ECD">
        <w:lastRenderedPageBreak/>
        <w:t xml:space="preserve">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at 710 (“The case before us is an employment discrimination suit brought on behalf of a minister, challenging her church's decision to fire her…. [T]he ministerial exception bars such a suit.”).  For further discussion of the ministerial exception, see Comment 5.0.</w:t>
      </w:r>
    </w:p>
    <w:p w14:paraId="2A560A40" w14:textId="77777777" w:rsidR="008F6986" w:rsidRPr="00CE67DC"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CE67DC">
        <w:rPr>
          <w:i/>
        </w:rPr>
        <w:t>Scope of Chapter</w:t>
      </w:r>
    </w:p>
    <w:p w14:paraId="62C43001" w14:textId="378A265E" w:rsidR="008F6986" w:rsidRPr="000F2ECD"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F6986" w:rsidRPr="000F2ECD" w:rsidSect="00F90ED5">
          <w:type w:val="continuous"/>
          <w:pgSz w:w="12240" w:h="15840"/>
          <w:pgMar w:top="1440" w:right="1440" w:bottom="1008" w:left="1440" w:header="900" w:footer="1008" w:gutter="0"/>
          <w:lnNumType w:countBy="1" w:distance="576"/>
          <w:cols w:space="720"/>
          <w:noEndnote/>
        </w:sectPr>
      </w:pPr>
      <w:r>
        <w:tab/>
        <w:t>These model instructions address the elements of ADEA claims and defenses; pertinent definitions; and questions of damages.  The commentary is designed to explain the drafting of the model instructions and generally does not focus on other procedural matters.</w:t>
      </w:r>
      <w:r w:rsidR="00161820">
        <w:rPr>
          <w:rStyle w:val="FootnoteReference"/>
        </w:rPr>
        <w:footnoteReference w:id="4"/>
      </w:r>
    </w:p>
    <w:p w14:paraId="1B728C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14:paraId="147A5C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52FBCD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w:t>
      </w:r>
      <w:r w:rsidR="006A66CF">
        <w:t xml:space="preserve"> [defendant]</w:t>
      </w:r>
      <w:r w:rsidRPr="000F2ECD">
        <w:t xml:space="preserve"> [describe alleged treatment] [plaintiff]. In order for [plaintiff] to recover on this discrimination claim against [defendant], [plaintiff] must prove that [defendant] intentionally discriminated against [plaintiff]. This means that [plaintiff] must prove that [his/her] age was a det</w:t>
      </w:r>
      <w:r w:rsidR="006A66CF">
        <w:t>erminative factor in [defendant’</w:t>
      </w:r>
      <w:r w:rsidRPr="000F2ECD">
        <w:t>s] decision</w:t>
      </w:r>
      <w:r w:rsidR="006A66CF">
        <w:t xml:space="preserve"> to</w:t>
      </w:r>
      <w:r w:rsidRPr="000F2ECD">
        <w:t xml:space="preserve"> [describe action] [plaintiff].</w:t>
      </w:r>
    </w:p>
    <w:p w14:paraId="036B387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14:paraId="436179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w:t>
      </w:r>
      <w:r w:rsidR="00545119">
        <w:t xml:space="preserve"> </w:t>
      </w:r>
      <w:r w:rsidR="00545119" w:rsidRPr="00545119">
        <w:t>[Defendant] [failed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545119" w:rsidRPr="00545119">
        <w:rPr>
          <w:rStyle w:val="FootnoteReference"/>
        </w:rPr>
        <w:footnoteReference w:id="5"/>
      </w:r>
      <w:r w:rsidRPr="000F2ECD">
        <w:t>; and</w:t>
      </w:r>
    </w:p>
    <w:p w14:paraId="0D71C4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14:paraId="607EF7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1DA0E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244745" w:rsidRPr="00244745">
        <w:t xml:space="preserve">You should weigh all the evidence received in the case in deciding whether [defendant] intentionally discriminated against [plaintiff]. </w:t>
      </w:r>
      <w:r w:rsidRPr="000F2ECD">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w:t>
      </w:r>
      <w:r w:rsidR="006269A1">
        <w:t>.</w:t>
      </w:r>
      <w:r w:rsidRPr="000F2ECD">
        <w:t>]</w:t>
      </w:r>
    </w:p>
    <w:p w14:paraId="257AED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has given a nondiscriminatory reason for its [describe defendant’s action].</w:t>
      </w:r>
      <w:r w:rsidR="00B63BB1">
        <w:t xml:space="preserve"> </w:t>
      </w:r>
      <w:r w:rsidR="00B63BB1" w:rsidRPr="00B63BB1">
        <w:t>If you believe [defendant’s] stated reason and if you find that the [adverse employment action] would have occurred because of defendant’s stated reason regardless of [plaintiff’s] age, then you must find for [defendant].</w:t>
      </w:r>
      <w:r w:rsidRPr="000F2ECD">
        <w:t xml:space="preserve"> If you disbelieve [defendant’s] </w:t>
      </w:r>
      <w:r w:rsidR="0022199C">
        <w:t xml:space="preserve">stated reason </w:t>
      </w:r>
      <w:r w:rsidRPr="000F2ECD">
        <w:t>for its conduct, then you may, but need not, find that [plaintiff] has proved intentional discrimination. In determining whether [d</w:t>
      </w:r>
      <w:r w:rsidR="0007275D">
        <w:t>efendant’</w:t>
      </w:r>
      <w:r w:rsidRPr="000F2ECD">
        <w:t xml:space="preserve">s] stated reason for its actions was a pretext, or excuse, for discrimination, </w:t>
      </w:r>
      <w:r w:rsidR="0007275D">
        <w:t>you may not question [defendant’</w:t>
      </w:r>
      <w:r w:rsidRPr="000F2ECD">
        <w:t>s] business judgment.  You cannot find intentional discrimination simply because you disagree with the business judgment of [defendant] or believe it is harsh or unreasonable. You are not to consider [defendant</w:t>
      </w:r>
      <w:r w:rsidR="0007275D">
        <w:t>’</w:t>
      </w:r>
      <w:r w:rsidRPr="000F2ECD">
        <w:t>s] wisdom. However, you may consider whether</w:t>
      </w:r>
      <w:r w:rsidR="0007275D">
        <w:t xml:space="preserve"> [plaintiff] has proven that</w:t>
      </w:r>
      <w:r w:rsidRPr="000F2ECD">
        <w:t xml:space="preserve"> [defendant</w:t>
      </w:r>
      <w:r w:rsidR="0007275D">
        <w:t>’</w:t>
      </w:r>
      <w:r w:rsidRPr="000F2ECD">
        <w:t>s] reason is merely a cover-up for discrimination.</w:t>
      </w:r>
    </w:p>
    <w:p w14:paraId="77F6B7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lastRenderedPageBreak/>
        <w:t>Concluding instruction:</w:t>
      </w:r>
    </w:p>
    <w:p w14:paraId="4EF8CB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plaintiff 's age, the [adverse employment action] would not have occurred. </w:t>
      </w:r>
    </w:p>
    <w:p w14:paraId="39A26BF9" w14:textId="77777777"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14:paraId="2714FDD5"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B5AAE11"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6"/>
          <w:pgSz w:w="12240" w:h="15840"/>
          <w:pgMar w:top="1440" w:right="1440" w:bottom="1008" w:left="1440" w:header="900" w:footer="1008" w:gutter="0"/>
          <w:lnNumType w:countBy="1" w:distance="576"/>
          <w:cols w:space="720"/>
          <w:noEndnote/>
        </w:sectPr>
      </w:pPr>
    </w:p>
    <w:p w14:paraId="10D4AC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49E1DB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ADEA, ...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14:paraId="789DC249"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the but-for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14:paraId="573363AD" w14:textId="77777777" w:rsidR="008F1CA0" w:rsidRDefault="008F1CA0" w:rsidP="00BC66D8">
      <w:pPr>
        <w:spacing w:after="240"/>
        <w:ind w:firstLine="720"/>
      </w:pPr>
      <w:r w:rsidRPr="00560A72">
        <w:t xml:space="preserve">“The elements of a </w:t>
      </w:r>
      <w:r w:rsidRPr="00560A72">
        <w:rPr>
          <w:i/>
        </w:rPr>
        <w:t>prima facie</w:t>
      </w:r>
      <w:r w:rsidRPr="00560A72">
        <w:t xml:space="preserve"> case of age discrimination are that: (1) the plaintiff is at least forty years old;</w:t>
      </w:r>
      <w:r w:rsidRPr="00560A72">
        <w:rPr>
          <w:rStyle w:val="FootnoteReference"/>
        </w:rPr>
        <w:footnoteReference w:id="6"/>
      </w:r>
      <w:r w:rsidRPr="00560A72">
        <w:t xml:space="preserve"> (2) the plaintiff suffered an adverse employment decision; (3) the plaintiff </w:t>
      </w:r>
      <w:r w:rsidRPr="00560A72">
        <w:lastRenderedPageBreak/>
        <w:t>was qualified for the position in question; and (4) the plaintiff was ultimately replaced by another employee who was sufficiently younger so as to support an inference of a discriminatory motive.”</w:t>
      </w:r>
      <w:r w:rsidRPr="00560A72">
        <w:rPr>
          <w:rStyle w:val="FootnoteReference"/>
        </w:rPr>
        <w:footnoteReference w:id="7"/>
      </w:r>
      <w:r w:rsidRPr="00560A72">
        <w:t xml:space="preserve"> </w:t>
      </w:r>
      <w:r w:rsidRPr="00560A72">
        <w:rPr>
          <w:i/>
        </w:rPr>
        <w:t>Willis v. UPMC Children's Hosp. of Pittsburgh</w:t>
      </w:r>
      <w:r w:rsidRPr="00560A72">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560A72">
        <w:rPr>
          <w:i/>
        </w:rPr>
        <w:t>Id</w:t>
      </w:r>
      <w:r w:rsidRPr="00560A72">
        <w:t xml:space="preserve">. (quoting </w:t>
      </w:r>
      <w:proofErr w:type="spellStart"/>
      <w:r w:rsidRPr="00560A72">
        <w:rPr>
          <w:i/>
        </w:rPr>
        <w:t>Pivirotto</w:t>
      </w:r>
      <w:proofErr w:type="spellEnd"/>
      <w:r w:rsidRPr="00560A72">
        <w:rPr>
          <w:i/>
        </w:rPr>
        <w:t xml:space="preserve"> v. Innovative Sys., Inc.</w:t>
      </w:r>
      <w:r w:rsidRPr="00560A72">
        <w:t xml:space="preserve">, 191 F.3d 344, 352 (3d Cir. 1999) (quoting </w:t>
      </w:r>
      <w:proofErr w:type="spellStart"/>
      <w:r w:rsidRPr="00560A72">
        <w:rPr>
          <w:i/>
        </w:rPr>
        <w:t>Furnco</w:t>
      </w:r>
      <w:proofErr w:type="spellEnd"/>
      <w:r w:rsidRPr="00560A72">
        <w:rPr>
          <w:i/>
        </w:rPr>
        <w:t xml:space="preserve"> Const. Corp. v. Waters</w:t>
      </w:r>
      <w:r w:rsidRPr="00560A72">
        <w:t>, 438 U.S. 567, 577 (1978))).</w:t>
      </w:r>
      <w:r w:rsidRPr="00560A72">
        <w:rPr>
          <w:rStyle w:val="FootnoteReference"/>
        </w:rPr>
        <w:footnoteReference w:id="8"/>
      </w:r>
    </w:p>
    <w:p w14:paraId="6983D9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If the plaintiff establishes a prima facie case of discrimination,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14:paraId="022CEB48"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defendant meets its burden of producing evidence of a nondiscriminatory reason for its action,</w:t>
      </w:r>
      <w:r w:rsidR="00345AA3">
        <w:rPr>
          <w:rStyle w:val="FootnoteReference"/>
        </w:rPr>
        <w:footnoteReference w:id="9"/>
      </w:r>
      <w:r w:rsidRPr="000F2ECD">
        <w:t xml:space="preserve"> the plaintiff must persuade the jury that the defendant's stated reason was merely a pretext for age discrimination, or in some other way  prove it  more likely than not that age motivated the employer.  </w:t>
      </w:r>
      <w:r w:rsidRPr="000F2ECD">
        <w:rPr>
          <w:i/>
          <w:iCs/>
        </w:rPr>
        <w:t>Texas Dept. of Community Affairs v. Burdine</w:t>
      </w:r>
      <w:r w:rsidRPr="000F2ECD">
        <w:t xml:space="preserve">, 450 U.S. 248, 253 (1981) (Title VII case).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w:t>
      </w:r>
      <w:proofErr w:type="spellStart"/>
      <w:r w:rsidRPr="000F2ECD">
        <w:t>en</w:t>
      </w:r>
      <w:proofErr w:type="spellEnd"/>
      <w:r w:rsidRPr="000F2ECD">
        <w:t xml:space="preserve">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10"/>
      </w:r>
      <w:r w:rsidR="00633254">
        <w:t xml:space="preserve"> </w:t>
      </w:r>
      <w:r w:rsidRPr="000F2ECD">
        <w:t xml:space="preserve">The </w:t>
      </w:r>
      <w:r w:rsidRPr="000F2ECD">
        <w:lastRenderedPageBreak/>
        <w:t>factfinder</w:t>
      </w:r>
      <w:r w:rsidR="00F60014">
        <w:t>’s rejection of the employer’</w:t>
      </w:r>
      <w:r w:rsidRPr="000F2ECD">
        <w:t xml:space="preserve">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proofErr w:type="spellStart"/>
      <w:r w:rsidRPr="000F2ECD">
        <w:rPr>
          <w:i/>
          <w:iCs/>
        </w:rPr>
        <w:t>Chipollini</w:t>
      </w:r>
      <w:proofErr w:type="spellEnd"/>
      <w:r w:rsidRPr="000F2ECD">
        <w:rPr>
          <w:i/>
          <w:iCs/>
        </w:rPr>
        <w:t xml:space="preserve"> v. Spencer Gifts, Inc.</w:t>
      </w:r>
      <w:r w:rsidRPr="000F2ECD">
        <w:t>, 814 F.2d 893 (3d Cir. 1987) (</w:t>
      </w:r>
      <w:proofErr w:type="spellStart"/>
      <w:r w:rsidRPr="000F2ECD">
        <w:t>en</w:t>
      </w:r>
      <w:proofErr w:type="spellEnd"/>
      <w:r w:rsidRPr="000F2ECD">
        <w:t xml:space="preserve">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 xml:space="preserve">Keller v. </w:t>
      </w:r>
      <w:proofErr w:type="spellStart"/>
      <w:r w:rsidRPr="000F2ECD">
        <w:rPr>
          <w:i/>
          <w:iCs/>
        </w:rPr>
        <w:t>Orix</w:t>
      </w:r>
      <w:proofErr w:type="spellEnd"/>
      <w:r w:rsidRPr="000F2ECD">
        <w:rPr>
          <w:i/>
          <w:iCs/>
        </w:rPr>
        <w:t xml:space="preserve"> Credit Alliance, Inc.</w:t>
      </w:r>
      <w:r w:rsidRPr="000F2ECD">
        <w:t xml:space="preserve">, 130 F.3d 1101, 1109 (3d Cir. 1997) (ADEA case).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factfinder to disbelieve the remaining rationales, even where the employee fails to produce evidence particular to those rationales.”). </w:t>
      </w:r>
    </w:p>
    <w:p w14:paraId="104AD00C" w14:textId="77777777" w:rsidR="008D3ECC" w:rsidRPr="00D97911" w:rsidRDefault="008D3ECC" w:rsidP="008D3ECC">
      <w:pPr>
        <w:shd w:val="clear" w:color="auto" w:fill="FFFFFF" w:themeFill="background1"/>
        <w:spacing w:after="240"/>
        <w:ind w:firstLine="720"/>
      </w:pPr>
      <w:r w:rsidRPr="00D97911">
        <w:rPr>
          <w:i/>
          <w:iCs/>
        </w:rPr>
        <w:t>Miller v. Cigna Corp.</w:t>
      </w:r>
      <w:r w:rsidRPr="00D97911">
        <w:t>, 47 F.3d 586 (3d Cir. 1995) (</w:t>
      </w:r>
      <w:proofErr w:type="spellStart"/>
      <w:r w:rsidRPr="00D97911">
        <w:t>en</w:t>
      </w:r>
      <w:proofErr w:type="spellEnd"/>
      <w:r w:rsidRPr="00D97911">
        <w:t xml:space="preserve"> banc), was decided under the assumption that ADEA mixed-motive cases were governed by a framework distinct from that governing ADEA pretext cases.  Obviously, that assumption is no longer good law after </w:t>
      </w:r>
      <w:r w:rsidRPr="00D97911">
        <w:rPr>
          <w:i/>
          <w:iCs/>
        </w:rPr>
        <w:t>Gross</w:t>
      </w:r>
      <w:r w:rsidRPr="00D97911">
        <w:t xml:space="preserve">, but the </w:t>
      </w:r>
      <w:r w:rsidRPr="00D97911">
        <w:rPr>
          <w:i/>
          <w:iCs/>
        </w:rPr>
        <w:t xml:space="preserve">Miller </w:t>
      </w:r>
      <w:r w:rsidRPr="00D97911">
        <w:t>court’s discussion of the appropriate instruction for an ADEA pretext case remains instructive:</w:t>
      </w:r>
    </w:p>
    <w:p w14:paraId="211C1A41" w14:textId="77777777" w:rsidR="008D3ECC" w:rsidRPr="00D97911" w:rsidRDefault="008D3ECC" w:rsidP="008D3ECC">
      <w:pPr>
        <w:shd w:val="clear" w:color="auto" w:fill="FFFFFF" w:themeFill="background1"/>
        <w:spacing w:after="240"/>
        <w:ind w:left="720"/>
      </w:pPr>
      <w:r w:rsidRPr="00D97911">
        <w:t xml:space="preserve">A plaintiff in an ADEA case who does not qualify for a burden shifting instruction under </w:t>
      </w:r>
      <w:r w:rsidRPr="00D97911">
        <w:rPr>
          <w:i/>
          <w:iCs/>
        </w:rPr>
        <w:t xml:space="preserve">Price Waterhouse </w:t>
      </w:r>
      <w:r w:rsidRPr="00D97911">
        <w:t>[i.e., a “mixed-motive” case] has the burden of persuading the trier of fact by a preponderance o</w:t>
      </w:r>
      <w:r>
        <w:t>f the evidence that there is a “but-for”</w:t>
      </w:r>
      <w:r w:rsidRPr="00D97911">
        <w:t xml:space="preserve"> causal c</w:t>
      </w:r>
      <w:r>
        <w:t>onnection between the plaintiff’s age and the employer’</w:t>
      </w:r>
      <w:r w:rsidRPr="00D97911">
        <w:t xml:space="preserve">s adverse action -- i.e., that age </w:t>
      </w:r>
      <w:r>
        <w:t>“a</w:t>
      </w:r>
      <w:r w:rsidRPr="00D97911">
        <w:t>ctually</w:t>
      </w:r>
      <w:r>
        <w:t xml:space="preserve"> played a role in [the employer’</w:t>
      </w:r>
      <w:r w:rsidRPr="00D97911">
        <w:t xml:space="preserve">s </w:t>
      </w:r>
      <w:proofErr w:type="spellStart"/>
      <w:r w:rsidRPr="00D97911">
        <w:t>decisionmaking</w:t>
      </w:r>
      <w:proofErr w:type="spellEnd"/>
      <w:r w:rsidRPr="00D97911">
        <w:t>] process and had a determinative influence o</w:t>
      </w:r>
      <w:r>
        <w:t>n the outcome”</w:t>
      </w:r>
      <w:r w:rsidRPr="00D97911">
        <w:t xml:space="preserve"> of that process.</w:t>
      </w:r>
    </w:p>
    <w:p w14:paraId="4E27FB71" w14:textId="77777777" w:rsidR="00C94DA4" w:rsidRDefault="008D3ECC" w:rsidP="008D3E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D97911">
        <w:rPr>
          <w:i/>
          <w:iCs/>
        </w:rPr>
        <w:lastRenderedPageBreak/>
        <w:t>Miller</w:t>
      </w:r>
      <w:r w:rsidRPr="00D97911">
        <w:t xml:space="preserve">, 47 F.3d at 596-97 (quoting </w:t>
      </w:r>
      <w:r w:rsidRPr="00D97911">
        <w:rPr>
          <w:i/>
          <w:iCs/>
        </w:rPr>
        <w:t>Hazen Paper Co. v. Biggins</w:t>
      </w:r>
      <w:r w:rsidRPr="00D97911">
        <w:t xml:space="preserve">, 507 U.S. 604, 610 (1993)).  The court in </w:t>
      </w:r>
      <w:r w:rsidRPr="00D97911">
        <w:rPr>
          <w:i/>
          <w:iCs/>
        </w:rPr>
        <w:t xml:space="preserve">Miller </w:t>
      </w:r>
      <w:r w:rsidRPr="00D97911">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D97911">
        <w:t>decisionmaking</w:t>
      </w:r>
      <w:proofErr w:type="spellEnd"/>
      <w:r w:rsidRPr="00D97911">
        <w:t xml:space="preserve"> process and that it had a determinative effect on the outcome of that process.”</w:t>
      </w:r>
    </w:p>
    <w:p w14:paraId="6EE5F0FE" w14:textId="77777777" w:rsidR="000B0338" w:rsidRPr="00CE02AB" w:rsidRDefault="000B0338" w:rsidP="000B0338">
      <w:pPr>
        <w:shd w:val="clear" w:color="auto" w:fill="FFFFFF" w:themeFill="background1"/>
        <w:spacing w:after="240"/>
      </w:pPr>
      <w:r w:rsidRPr="00CE02AB">
        <w:rPr>
          <w:i/>
        </w:rPr>
        <w:t>Adverse Employment Action</w:t>
      </w:r>
    </w:p>
    <w:p w14:paraId="065B4367" w14:textId="77777777" w:rsidR="000B0338" w:rsidRPr="000F2ECD" w:rsidRDefault="000B0338" w:rsidP="000B03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CE02AB">
        <w:tab/>
        <w:t xml:space="preserve">As to the element of adverse employment action, the relevant statutory language in the ADEA is materially similar to that in Title VII.  The ADEA makes it “unlawful for an employer … to fail or refuse to hire or to discharge any individual or otherwise discriminate against any individual with respect to his compensation, terms, conditions, or privileges of employment, because of such individual’s age.” 29 U.S.C. § 623(a); </w:t>
      </w:r>
      <w:r w:rsidRPr="00CE02AB">
        <w:rPr>
          <w:i/>
        </w:rPr>
        <w:t>compare</w:t>
      </w:r>
      <w:r w:rsidRPr="00CE02AB">
        <w:t xml:space="preserve"> 42 U.S.C. § 2000e-2(a)(1) (similar provision in Title VII). The Committee accordingly has drafted the adverse employment action element in Instruction 8.1.1 to parallel that in Instructions 5.1.1 and 5.1.2. See Comment 5.1.1 for further discussion of the adverse employment action element in Title VII cases.</w:t>
      </w:r>
    </w:p>
    <w:p w14:paraId="763575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14:paraId="7BDA202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14:paraId="7A0FD9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14:paraId="4D2437E9" w14:textId="13A12329"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 xml:space="preserve">29 U.S.C. § 631(a), may have worked for a </w:t>
      </w:r>
      <w:proofErr w:type="gramStart"/>
      <w:r w:rsidRPr="000F2ECD">
        <w:t>particular employer</w:t>
      </w:r>
      <w:proofErr w:type="gramEnd"/>
      <w:r w:rsidRPr="000F2ECD">
        <w:t xml:space="preserve">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14:paraId="0181D1C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14:paraId="6C592A2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14:paraId="33B35E8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age, not pension status.”).  The pattern instruction advises the jury to distinguish between age-related discrimination and discrimination on other grounds that might correlate with age. </w:t>
      </w:r>
    </w:p>
    <w:p w14:paraId="033F561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14:paraId="2FD758EC" w14:textId="77777777"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w:t>
      </w:r>
      <w:r w:rsidR="009638C4">
        <w:t xml:space="preserve"> [</w:t>
      </w:r>
      <w:r w:rsidR="009638C4">
        <w:rPr>
          <w:i/>
        </w:rPr>
        <w:t>sic</w:t>
      </w:r>
      <w:r w:rsidR="009638C4">
        <w:t>]</w:t>
      </w:r>
      <w:r w:rsidRPr="000F2ECD">
        <w:t xml:space="preserve">) from discrimination favoring relatively younger ones (of any age).” Lewis &amp; Norman, </w:t>
      </w:r>
      <w:r w:rsidRPr="000F2ECD">
        <w:rPr>
          <w:i/>
          <w:iCs/>
        </w:rPr>
        <w:t xml:space="preserve">Employment Discrimination Law and Practice </w:t>
      </w:r>
      <w:r w:rsidRPr="000F2ECD">
        <w:t xml:space="preserve">428 (2d ed. 2004).   </w:t>
      </w:r>
    </w:p>
    <w:p w14:paraId="737B2D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14:paraId="577B4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2F71D6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3D3A36E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14:paraId="7D58484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14:paraId="3EDAA7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6562ABFE" w14:textId="77777777" w:rsidR="00756103" w:rsidRPr="000F2ECD" w:rsidRDefault="00A53D1F" w:rsidP="00273E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AD6ECA" w:rsidRPr="00EA4364">
        <w:rPr>
          <w:bCs/>
        </w:rPr>
        <w:t>was [state plaintiff’s age at the time of the alleged events giving rise to plaintiff’s claim; must have been age 40 or older]</w:t>
      </w:r>
      <w:r w:rsidRPr="000F2ECD">
        <w:t>.</w:t>
      </w:r>
    </w:p>
    <w:p w14:paraId="156D2C68"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184D52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14:paraId="695AF0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14:paraId="60BBA0A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14:paraId="190FA92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14:paraId="08D9C9CA" w14:textId="77777777"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7"/>
          <w:pgSz w:w="12240" w:h="15840"/>
          <w:pgMar w:top="1440" w:right="1440" w:bottom="1008" w:left="1440" w:header="900" w:footer="1008" w:gutter="0"/>
          <w:lnNumType w:countBy="1" w:distance="576"/>
          <w:cols w:space="720"/>
          <w:noEndnote/>
        </w:sectPr>
      </w:pPr>
      <w:r w:rsidRPr="000F2ECD">
        <w:tab/>
      </w:r>
    </w:p>
    <w:p w14:paraId="261F04D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14:paraId="0F090692" w14:textId="160AA3EE"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Courts have held that the ADEA prohibits harassment on the basis of age (when the plaintiff is 40 years of age or older) though there is no Third Circuit case law on the subject. </w:t>
      </w:r>
      <w:r w:rsidRPr="000F2ECD">
        <w:rPr>
          <w:i/>
          <w:iCs/>
        </w:rPr>
        <w:t xml:space="preserve">See, e.g., Montgomery v. John Deere &amp; Co., </w:t>
      </w:r>
      <w:r w:rsidRPr="000F2ECD">
        <w:t>169 F.3d 556 (8</w:t>
      </w:r>
      <w:r w:rsidR="00064682" w:rsidRPr="00064682">
        <w:t>th</w:t>
      </w:r>
      <w:r w:rsidRPr="000F2ECD">
        <w:t xml:space="preserve"> Cir. 1999) (asking an employee when he is going to retire can sometimes be so unnecessary and excessive as to constitute evidence of discriminatory harassment); </w:t>
      </w:r>
      <w:proofErr w:type="spellStart"/>
      <w:r w:rsidRPr="000F2ECD">
        <w:rPr>
          <w:i/>
          <w:iCs/>
        </w:rPr>
        <w:t>Peecock</w:t>
      </w:r>
      <w:proofErr w:type="spellEnd"/>
      <w:r w:rsidRPr="000F2ECD">
        <w:rPr>
          <w:i/>
          <w:iCs/>
        </w:rPr>
        <w:t xml:space="preserve"> v. Northwestern Nat’l Ins. Group, </w:t>
      </w:r>
      <w:r w:rsidRPr="000F2ECD">
        <w:t>156 F.3d 1231 (6</w:t>
      </w:r>
      <w:r w:rsidR="00064682" w:rsidRPr="00064682">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 xml:space="preserve">Burns v. AAF-McQuay, Inc., </w:t>
      </w:r>
      <w:r w:rsidRPr="000F2ECD">
        <w:t>166 F.3d 292 (4</w:t>
      </w:r>
      <w:r w:rsidR="00064682" w:rsidRPr="00064682">
        <w:t>th</w:t>
      </w:r>
      <w:r w:rsidRPr="000F2ECD">
        <w:t xml:space="preserve"> Cir. 1999) (same standard);  </w:t>
      </w:r>
      <w:r w:rsidRPr="000F2ECD">
        <w:rPr>
          <w:i/>
          <w:iCs/>
        </w:rPr>
        <w:t xml:space="preserve">EEOC v. Massey Yardley Chrysler Plymouth, Inc., </w:t>
      </w:r>
      <w:r w:rsidRPr="000F2ECD">
        <w:t>117 F.3d 1244 (11</w:t>
      </w:r>
      <w:r w:rsidR="00064682" w:rsidRPr="00064682">
        <w:t>th</w:t>
      </w:r>
      <w:r w:rsidRPr="000F2ECD">
        <w:t xml:space="preserve"> Cir. 1997) (upholding a verdict on a claim of hostile work environment under the ADEA). </w:t>
      </w:r>
    </w:p>
    <w:p w14:paraId="684DC27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14:paraId="0A2933C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11"/>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14:paraId="69B350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1F28D7F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should be noted that constructive discharge is the adverse employment action that is most common with claims of hostile work environment.</w:t>
      </w:r>
      <w:proofErr w:type="gramStart"/>
      <w:r w:rsidRPr="000F2ECD">
        <w:rPr>
          <w:vertAlign w:val="superscript"/>
        </w:rPr>
        <w:footnoteReference w:customMarkFollows="1" w:id="12"/>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14:paraId="7CF261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14:paraId="7983B6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4CF587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14:paraId="024B1143"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14:paraId="14E1DD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14:paraId="37F79C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14544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49637D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14:paraId="08D97F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14:paraId="1B053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32A1B14A" w14:textId="77777777" w:rsidR="00756103" w:rsidRPr="000F2ECD" w:rsidRDefault="00A53D1F" w:rsidP="008610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861036" w:rsidRPr="00EA4364">
        <w:rPr>
          <w:bCs/>
        </w:rPr>
        <w:t>was [state plaintiff’s age at the time of the alleged events giving rise to plaintiff’s claim; must have been age 40 or older]</w:t>
      </w:r>
      <w:r w:rsidRPr="000F2ECD">
        <w:t>.</w:t>
      </w:r>
    </w:p>
    <w:p w14:paraId="001B4299"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30D68B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14:paraId="31B17B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14:paraId="00C963C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14:paraId="4905B7E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7B6C5D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14:paraId="07405B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First: That [defendant] exercised reasonable care to prevent harassment in the workplace on the basis of age, and also exercised reasonable care to promptly correct any harassing behavior that does occur.</w:t>
      </w:r>
    </w:p>
    <w:p w14:paraId="4B0C8F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14:paraId="3BF25D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14:paraId="5C05B17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14:paraId="617689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14:paraId="1B72FC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14:paraId="255ECD5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14:paraId="40F88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14:paraId="1920CC7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8"/>
          <w:pgSz w:w="12240" w:h="15840"/>
          <w:pgMar w:top="1440" w:right="1440" w:bottom="1008" w:left="1440" w:header="900" w:footer="1008" w:gutter="0"/>
          <w:lnNumType w:countBy="1" w:distance="576"/>
          <w:cols w:space="720"/>
          <w:noEndnote/>
        </w:sectPr>
      </w:pPr>
    </w:p>
    <w:p w14:paraId="1A5124B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35F9288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3294FD3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14:paraId="18C3F5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14:paraId="30AC83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r w:rsidRPr="000F2ECD">
        <w:rPr>
          <w:i/>
          <w:iCs/>
        </w:rPr>
        <w:t>Faragher v. Boca Raton</w:t>
      </w:r>
      <w:r w:rsidRPr="000F2ECD">
        <w:t xml:space="preserve">, 524 U.S. 775, 808 (1998). In </w:t>
      </w:r>
      <w:r w:rsidRPr="000F2ECD">
        <w:rPr>
          <w:i/>
          <w:iCs/>
        </w:rPr>
        <w:t>Faragher</w:t>
      </w:r>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w:t>
      </w:r>
      <w:r w:rsidRPr="000F2ECD">
        <w:lastRenderedPageBreak/>
        <w:t xml:space="preserve">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r w:rsidRPr="000F2ECD">
        <w:rPr>
          <w:i/>
          <w:iCs/>
        </w:rPr>
        <w:t>Ellerth</w:t>
      </w:r>
      <w:proofErr w:type="spellEnd"/>
      <w:r w:rsidRPr="000F2ECD">
        <w:t>, 524 U.S. at 751 (1998).</w:t>
      </w:r>
    </w:p>
    <w:p w14:paraId="6545C0C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proofErr w:type="spellStart"/>
      <w:r w:rsidRPr="000F2ECD">
        <w:rPr>
          <w:i/>
          <w:iCs/>
        </w:rPr>
        <w:t>Ellerth</w:t>
      </w:r>
      <w:proofErr w:type="spellEnd"/>
      <w:r w:rsidRPr="000F2ECD">
        <w:t>, the absence of a tangible employment action also justifies requiring the plaintiff to prove a further element, in order to protect the employer from unwarranted liability for the discriminatory acts of its non-supervisor employees.</w:t>
      </w:r>
      <w:r w:rsidRPr="000F2ECD">
        <w:rPr>
          <w:vertAlign w:val="superscript"/>
        </w:rPr>
        <w:footnoteReference w:customMarkFollows="1" w:id="13"/>
        <w:t>4</w:t>
      </w:r>
      <w:r w:rsidRPr="000F2ECD">
        <w:t xml:space="preserve">  </w:t>
      </w:r>
      <w:proofErr w:type="spellStart"/>
      <w:r w:rsidRPr="000F2ECD">
        <w:t>Respondeat</w:t>
      </w:r>
      <w:proofErr w:type="spellEnd"/>
      <w:r w:rsidRPr="000F2ECD">
        <w:t xml:space="preserve">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14:paraId="400135B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097743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3F7540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14:paraId="1049750F"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14:paraId="6D1C7E9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14:paraId="79304A6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4CA3476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14:paraId="2EF824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14:paraId="008DA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14:paraId="54EADA0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[Defendant] has engaged in a specific employment practice or practices that caused [defendant] to [fail to hire] [fail to promote] [demote] [terminate] [constructively </w:t>
      </w:r>
      <w:proofErr w:type="gramStart"/>
      <w:r w:rsidRPr="000F2ECD">
        <w:t>discharge][</w:t>
      </w:r>
      <w:proofErr w:type="gramEnd"/>
      <w:r w:rsidRPr="000F2ECD">
        <w:t>plaintiff] because [plaintiff] was [</w:t>
      </w:r>
      <w:r w:rsidR="00F730B6">
        <w:t>[</w:t>
      </w:r>
      <w:r w:rsidRPr="000F2ECD">
        <w:t>40</w:t>
      </w:r>
      <w:r w:rsidR="00F730B6">
        <w:t>]</w:t>
      </w:r>
      <w:r w:rsidRPr="000F2ECD">
        <w:t xml:space="preserve"> or older].</w:t>
      </w:r>
    </w:p>
    <w:p w14:paraId="50BAD08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14:paraId="29DEA0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14:paraId="5CCA2AE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14:paraId="52DC1C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14:paraId="6137C8DC"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14:paraId="342193E9"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14:paraId="07343261" w14:textId="77777777"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Third:  [Describe employment practice] is reasonably related to achieving [insert justification for factors].</w:t>
      </w:r>
    </w:p>
    <w:p w14:paraId="787D79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14:paraId="00B74B2E"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9"/>
          <w:pgSz w:w="12240" w:h="15840"/>
          <w:pgMar w:top="1440" w:right="1440" w:bottom="1008" w:left="1440" w:header="900" w:footer="1008" w:gutter="0"/>
          <w:lnNumType w:countBy="1" w:distance="576"/>
          <w:cols w:space="720"/>
          <w:noEndnote/>
        </w:sectPr>
      </w:pPr>
    </w:p>
    <w:p w14:paraId="12CBC7C1"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EBAF8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5E5C796"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14:paraId="6B26A1EA" w14:textId="77777777"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14:paraId="441E7D0D"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14:paraId="60B03D0E" w14:textId="77777777"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Gross v. FBL Fin. Servs.,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14:paraId="64231A0D" w14:textId="77777777"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14:paraId="31AB4801" w14:textId="77777777"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623(f)(1). Second, the 1991 amendment to Title VII modified the Supreme Court’s holding in </w:t>
      </w:r>
      <w:r w:rsidRPr="000F2ECD">
        <w:rPr>
          <w:i/>
          <w:iCs/>
        </w:rPr>
        <w:t xml:space="preserve">Wards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14:paraId="12F61BB1" w14:textId="77777777"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t>Prima Facie Case</w:t>
      </w:r>
    </w:p>
    <w:p w14:paraId="06911A2A" w14:textId="77777777"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lastRenderedPageBreak/>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proofErr w:type="spellStart"/>
      <w:r w:rsidR="00500592" w:rsidRPr="00500592">
        <w:rPr>
          <w:i/>
        </w:rPr>
        <w:t>Karlo</w:t>
      </w:r>
      <w:proofErr w:type="spellEnd"/>
      <w:r w:rsidR="00500592" w:rsidRPr="00500592">
        <w:rPr>
          <w:i/>
        </w:rPr>
        <w:t xml:space="preserve">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14"/>
      </w:r>
      <w:r>
        <w:t xml:space="preserve"> or by using a dividing line higher than 40 years of age (</w:t>
      </w:r>
      <w:r w:rsidRPr="004C0671">
        <w:rPr>
          <w:i/>
        </w:rPr>
        <w:t>e.g</w:t>
      </w:r>
      <w:r>
        <w:t xml:space="preserve">., by comparing the effects on 50-and-older workers to those on younger-than-50 workers). </w:t>
      </w:r>
      <w:r w:rsidRPr="004C0671">
        <w:rPr>
          <w:i/>
        </w:rPr>
        <w:t xml:space="preserve">See </w:t>
      </w:r>
      <w:proofErr w:type="spellStart"/>
      <w:r w:rsidRPr="004C0671">
        <w:rPr>
          <w:i/>
        </w:rPr>
        <w:t>Karlo</w:t>
      </w:r>
      <w:proofErr w:type="spellEnd"/>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15"/>
      </w:r>
    </w:p>
    <w:p w14:paraId="07A56D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14:paraId="707852C0" w14:textId="77777777"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 xml:space="preserve">623(f)(1).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6"/>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at 97.</w:t>
      </w:r>
      <w:r w:rsidRPr="00FE2756">
        <w:t xml:space="preserve">  </w:t>
      </w:r>
    </w:p>
    <w:p w14:paraId="530B8E87" w14:textId="77777777"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14:paraId="7D67B7C4" w14:textId="77777777"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14:paraId="0F01DB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554FB7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[plaintiff’</w:t>
      </w:r>
      <w:r w:rsidR="00983F47" w:rsidRPr="000F2ECD">
        <w:t xml:space="preserve">s] </w:t>
      </w:r>
      <w:r w:rsidRPr="000F2ECD">
        <w:t>[describe protected activity].</w:t>
      </w:r>
    </w:p>
    <w:p w14:paraId="6E45C4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14:paraId="059546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14:paraId="4ABCB49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14:paraId="446A01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14:paraId="31C80E6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7"/>
      </w:r>
      <w:r w:rsidR="00537019" w:rsidRPr="000F2ECD">
        <w:t xml:space="preserve"> </w:t>
      </w:r>
      <w:r w:rsidRPr="000F2ECD">
        <w:t xml:space="preserve">good faith belief that [plaintiff’s] [or someone else’s] rights under the Age Discrimination in Employment Act were violated. </w:t>
      </w:r>
    </w:p>
    <w:p w14:paraId="62DE224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ED688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14:paraId="072CC3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5B4527B0"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20"/>
          <w:pgSz w:w="12240" w:h="15840"/>
          <w:pgMar w:top="1440" w:right="1440" w:bottom="1008" w:left="1440" w:header="900" w:footer="1008" w:gutter="0"/>
          <w:lnNumType w:countBy="1" w:distance="576"/>
          <w:cols w:space="720"/>
          <w:noEndnote/>
        </w:sectPr>
      </w:pPr>
    </w:p>
    <w:p w14:paraId="07107F15"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1EE7EA9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21EC7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14:paraId="31E1A2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14:paraId="3829F0AE" w14:textId="455E812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§633a(a), does not contain an explicit provision on retaliation.  However, the Supreme Court in </w:t>
      </w:r>
      <w:r w:rsidRPr="000F2ECD">
        <w:rPr>
          <w:i/>
          <w:iCs/>
        </w:rPr>
        <w:t>Gomez-Perez v. Potter,</w:t>
      </w:r>
      <w:r w:rsidRPr="000F2ECD">
        <w:t xml:space="preserve"> 128 S.</w:t>
      </w:r>
      <w:r w:rsidR="006B36C0">
        <w:t xml:space="preserve"> </w:t>
      </w:r>
      <w:r w:rsidRPr="000F2ECD">
        <w:t xml:space="preserve">Ct. 1931, 1943 (2008), held “that § 633a(a) prohibits retaliation against a federal employee who complains of age discrimination.” </w:t>
      </w:r>
    </w:p>
    <w:p w14:paraId="3C0321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r w:rsidR="00987D7D" w:rsidRPr="00987D7D">
        <w:t xml:space="preserve"> ;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14:paraId="5F2505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14:paraId="2A5FF2BE" w14:textId="313F9131"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8"/>
      </w:r>
      <w:r w:rsidRPr="000F2ECD">
        <w:t xml:space="preserve">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r w:rsidRPr="000F2ECD">
        <w:rPr>
          <w:i/>
          <w:iCs/>
        </w:rPr>
        <w:t>Robinson v. City of Pittsburgh</w:t>
      </w:r>
      <w:r w:rsidRPr="000F2ECD">
        <w:t xml:space="preserve">, 120 F.3d 1286, </w:t>
      </w:r>
      <w:r w:rsidRPr="000F2ECD">
        <w:lastRenderedPageBreak/>
        <w:t xml:space="preserve">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Data Sys., Inc., </w:t>
      </w:r>
      <w:r w:rsidRPr="000F2ECD">
        <w:t xml:space="preserve">109 F.3d 173, 177 (3d Cir. 1997) (advocating equal treatment was protected activity); </w:t>
      </w:r>
      <w:r w:rsidRPr="000F2ECD">
        <w:rPr>
          <w:i/>
          <w:iCs/>
        </w:rPr>
        <w:t xml:space="preserve">Aman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14:paraId="3DF0209D" w14:textId="77777777"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14:paraId="40200C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14:paraId="28948E9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CF009D">
        <w:t xml:space="preserve">internal quotation marks and </w:t>
      </w:r>
      <w:r w:rsidRPr="000F2ECD">
        <w:t>citations omitted).</w:t>
      </w:r>
      <w:r w:rsidR="00A40F99">
        <w:rPr>
          <w:rStyle w:val="FootnoteReference"/>
        </w:rPr>
        <w:footnoteReference w:id="19"/>
      </w:r>
      <w:r w:rsidRPr="000F2ECD">
        <w:t xml:space="preserve"> The Court elaborated on this standard in the following passage:</w:t>
      </w:r>
    </w:p>
    <w:p w14:paraId="662FF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proofErr w:type="spellStart"/>
      <w:r w:rsidRPr="000F2ECD">
        <w:rPr>
          <w:i/>
          <w:iCs/>
        </w:rPr>
        <w:t>Oncale</w:t>
      </w:r>
      <w:proofErr w:type="spellEnd"/>
      <w:r w:rsidRPr="000F2ECD">
        <w:t xml:space="preserve"> </w:t>
      </w:r>
      <w:r w:rsidRPr="002869CB">
        <w:rPr>
          <w:i/>
        </w:rPr>
        <w:t>v.</w:t>
      </w:r>
      <w:r w:rsidRPr="000F2ECD">
        <w:t xml:space="preserve">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5935C0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w:t>
      </w:r>
      <w:r w:rsidRPr="002869CB">
        <w:rPr>
          <w:i/>
        </w:rPr>
        <w:t>Pennsylvania State Police v.</w:t>
      </w:r>
      <w:r w:rsidRPr="000F2ECD">
        <w:t xml:space="preserve">] </w:t>
      </w:r>
      <w:proofErr w:type="spell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w:t>
      </w:r>
      <w:r w:rsidRPr="002869CB">
        <w:rPr>
          <w:i/>
        </w:rPr>
        <w:t>v.</w:t>
      </w:r>
      <w:r w:rsidRPr="000F2ECD">
        <w:t xml:space="preserve"> </w:t>
      </w:r>
      <w:r w:rsidRPr="000F2ECD">
        <w:rPr>
          <w:i/>
          <w:iCs/>
        </w:rPr>
        <w:t>Forklift Systems, Inc.,</w:t>
      </w:r>
      <w:r w:rsidRPr="000F2ECD">
        <w:t xml:space="preserve"> 510 U.S. 17, 21, 114 S. Ct. 367, 126 L. Ed. 2d 295 (1993) (hostile work environment doctrine).</w:t>
      </w:r>
    </w:p>
    <w:p w14:paraId="7E1411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62FE8F9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14:paraId="5AD7B686" w14:textId="77777777"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14:paraId="208219A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14:paraId="3A1E2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14:paraId="318BF52B" w14:textId="558D533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S.</w:t>
      </w:r>
      <w:r w:rsidR="006B36C0">
        <w:t xml:space="preserve"> </w:t>
      </w:r>
      <w:r w:rsidRPr="000F2ECD">
        <w:t xml:space="preserve">Ct. 2405, </w:t>
      </w:r>
      <w:proofErr w:type="gramStart"/>
      <w:r w:rsidRPr="000F2ECD">
        <w:t>2413  (</w:t>
      </w:r>
      <w:proofErr w:type="gramEnd"/>
      <w:r w:rsidRPr="000F2ECD">
        <w:t xml:space="preserve">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14:paraId="614935AE" w14:textId="46A25604"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See, e.g., Nelson v. Upsala College</w:t>
      </w:r>
      <w:r w:rsidRPr="000F2ECD">
        <w:t>, 51 F.3d 383, 386 (3d Cir.</w:t>
      </w:r>
      <w:r w:rsidR="00064682">
        <w:t xml:space="preserve"> </w:t>
      </w:r>
      <w:proofErr w:type="gramStart"/>
      <w:r w:rsidRPr="000F2ECD">
        <w:t>1995)(</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14:paraId="509D43D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14:paraId="3C40F4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14:paraId="22FAAC4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r w:rsidRPr="000F2ECD">
        <w:t xml:space="preserve">at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xml:space="preserve">, 131 S. Ct. at 869 (analyzing language in 42 U.S.C. § 2000e-5(f)(1) stating that “a civil action may be brought ... by the person claiming to be aggrieved”).  The ADEA contains similar language.  </w:t>
      </w:r>
      <w:r w:rsidRPr="000F2ECD">
        <w:rPr>
          <w:i/>
          <w:iCs/>
        </w:rPr>
        <w:t xml:space="preserve">See </w:t>
      </w:r>
      <w:r w:rsidRPr="000F2ECD">
        <w:t xml:space="preserve">29 U.S.C. § 626(c)(1)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14:paraId="05AF74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14:paraId="3722F2B1"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University of Texas Southwestern Medical Center v. Nassar</w:t>
      </w:r>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at 2531-32 (discussing policy concerns relating to the standard of</w:t>
      </w:r>
      <w:r w:rsidR="00996835">
        <w:t xml:space="preserve"> proof for retaliation claims).</w:t>
      </w:r>
      <w:r w:rsidR="00996835" w:rsidRPr="00996835">
        <w:rPr>
          <w:rStyle w:val="FootnoteReference"/>
        </w:rPr>
        <w:footnoteReference w:id="20"/>
      </w:r>
      <w:r w:rsidRPr="000F2ECD">
        <w:t xml:space="preserve"> Accordingly, Instruction 8.1.5 requires the plaintiff to prove that the plaintiff’s protected activity had a determinative effect on the defendant’s retaliatory activity.</w:t>
      </w:r>
    </w:p>
    <w:p w14:paraId="52C530D0" w14:textId="77777777"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14:paraId="71EE8476" w14:textId="77777777"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14:paraId="665C88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Employer’s Attitude Toward Employee</w:t>
      </w:r>
    </w:p>
    <w:p w14:paraId="06DDE9D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14:paraId="0A60D73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Against Perceived Protected Activity</w:t>
      </w:r>
    </w:p>
    <w:p w14:paraId="402E1BD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14:paraId="43EF21C2" w14:textId="77777777"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14:paraId="47EEE5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14:paraId="32EFA04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14:paraId="2DE5AF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14:paraId="5F93087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14:paraId="26B7FF1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14:paraId="7BC2E5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14:paraId="7EEA99B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14:paraId="0918E3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14:paraId="1AE8A20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14:paraId="699C4C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14:paraId="2C22E9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14:paraId="527267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14:paraId="09F5A3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14:paraId="2F7BF7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14:paraId="41CEABD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14:paraId="30A3424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023187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14:paraId="413031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14:paraId="70EC9F2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21"/>
          <w:pgSz w:w="12240" w:h="15840"/>
          <w:pgMar w:top="1440" w:right="1440" w:bottom="1008" w:left="1440" w:header="810" w:footer="1008" w:gutter="0"/>
          <w:lnNumType w:countBy="1" w:distance="576"/>
          <w:cols w:space="720"/>
          <w:noEndnote/>
        </w:sectPr>
      </w:pPr>
    </w:p>
    <w:p w14:paraId="40A30F8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A96D4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176EAF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w:t>
      </w:r>
      <w:r w:rsidRPr="002869CB">
        <w:rPr>
          <w:i/>
        </w:rPr>
        <w:t>See</w:t>
      </w:r>
      <w:r w:rsidRPr="000F2ECD">
        <w:t xml:space="preserve"> Instruction 5.2.1. </w:t>
      </w:r>
    </w:p>
    <w:p w14:paraId="0C5D80A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14:paraId="7A1CAE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14:paraId="395B80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065616EB" w14:textId="77777777"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22"/>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2FB9DC09"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83B14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5D92D8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xml:space="preserve">, 265 F.3d 163, 167 (3d Cir. 2001).  Instruction 8.2.2 is substantively identical to the constructive discharge instruction for Title VII actions. </w:t>
      </w:r>
      <w:r w:rsidRPr="002869CB">
        <w:rPr>
          <w:i/>
        </w:rPr>
        <w:t>See</w:t>
      </w:r>
      <w:r w:rsidRPr="000F2ECD">
        <w:t xml:space="preserve"> Instruction 5.2.2.</w:t>
      </w:r>
    </w:p>
    <w:p w14:paraId="6599BD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w:t>
      </w:r>
      <w:r w:rsidR="00800437">
        <w:t xml:space="preserve"> is designed for use with either Instruction 8.1.1 or Instruction 8.1.2</w:t>
      </w:r>
      <w:r w:rsidRPr="000F2ECD">
        <w:t xml:space="preserve">.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 xml:space="preserve">/Faragher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r w:rsidRPr="000F2ECD">
        <w:rPr>
          <w:i/>
          <w:iCs/>
        </w:rPr>
        <w:t xml:space="preserve">Faragher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14:paraId="55FADAC2" w14:textId="77777777"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14:paraId="13A730E7"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14:paraId="100BBB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D12BC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14:paraId="42D0CD7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14:paraId="5F6749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14:paraId="187552C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14:paraId="67F5F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61B02DFA"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3"/>
          <w:pgSz w:w="12240" w:h="15840"/>
          <w:pgMar w:top="1440" w:right="1440" w:bottom="1008" w:left="1440" w:header="900" w:footer="1008" w:gutter="0"/>
          <w:lnNumType w:countBy="1" w:distance="576"/>
          <w:cols w:space="720"/>
          <w:noEndnote/>
        </w:sectPr>
      </w:pPr>
    </w:p>
    <w:p w14:paraId="3EE0CB3A"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0E1502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ECBD69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4(f)(1) of the ADEA provides that it is not unlawful for an employer to take an action otherwise prohibited by the Act if “age is a bona fide occupational qualification reasonably necessary to the normal operation of the particular business.” 29 U.S.C. § 629(f)(1). This language is identical to that provided in Title VII. Accordingly, the instruction is substantively identical to Instruction 5.3.1, which covers the BFOQ defense in Title VII cases.</w:t>
      </w:r>
    </w:p>
    <w:p w14:paraId="1CF3EE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14:paraId="551AB5F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14:paraId="7CC438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14:paraId="0EBA2EF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7A7D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14:paraId="1DD215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1F7CC31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14:paraId="10545F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14:paraId="0FD179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14:paraId="72269D4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14:paraId="4E6C18F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240583EF"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4"/>
          <w:pgSz w:w="12240" w:h="15840"/>
          <w:pgMar w:top="1440" w:right="1440" w:bottom="1008" w:left="1440" w:header="900" w:footer="1008" w:gutter="0"/>
          <w:lnNumType w:countBy="1" w:distance="576"/>
          <w:cols w:space="720"/>
          <w:noEndnote/>
        </w:sectPr>
      </w:pPr>
    </w:p>
    <w:p w14:paraId="02A32C03"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8DC2D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1D612F4" w14:textId="1D375D10"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 xml:space="preserve">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w:t>
      </w:r>
      <w:r w:rsidR="00064682">
        <w:t xml:space="preserve"> </w:t>
      </w:r>
      <w:r w:rsidRPr="000F2ECD">
        <w:t>1989) (choosing an applicant with the most seniority pursuant to a bona fide statutory seniority system is not a violation of ADEA).</w:t>
      </w:r>
    </w:p>
    <w:p w14:paraId="4CA1E053" w14:textId="3F612EC8"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65 F.3d 838, 842 (10th Cir.</w:t>
      </w:r>
      <w:r w:rsidR="00064682">
        <w:t xml:space="preserve"> </w:t>
      </w:r>
      <w:r w:rsidRPr="000F2ECD">
        <w:t xml:space="preserve">1995) (challenges of age discrimination to bona fide seniority systems must rest upon claim of disparate treatment rather than disparate impact). </w:t>
      </w:r>
    </w:p>
    <w:p w14:paraId="7927A72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14:paraId="01440B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A87D37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14:paraId="37C815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14:paraId="11FB5C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14:paraId="731A2A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14:paraId="4DEC6A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14:paraId="01B8225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14:paraId="10090B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14:paraId="461CBF5A" w14:textId="77777777"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14:paraId="57E5A826"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5"/>
          <w:pgSz w:w="12240" w:h="15840"/>
          <w:pgMar w:top="1440" w:right="1440" w:bottom="1008" w:left="1440" w:header="900" w:footer="1008" w:gutter="0"/>
          <w:lnNumType w:countBy="1" w:distance="576"/>
          <w:cols w:space="720"/>
          <w:noEndnote/>
        </w:sectPr>
      </w:pPr>
    </w:p>
    <w:p w14:paraId="2070AC7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14:paraId="1D9467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15F343B" w14:textId="6EB1D353"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Older Workers Benefit Protection Act (OWBPA) permits workers to sign releases of ADEA claims, provided the waiver is knowing and voluntary and the minimum standards of the </w:t>
      </w:r>
      <w:r w:rsidRPr="000F2ECD">
        <w:lastRenderedPageBreak/>
        <w:t xml:space="preserve">OWBPA are met. 29 </w:t>
      </w:r>
      <w:r w:rsidR="00064682">
        <w:t>U.S.C.</w:t>
      </w:r>
      <w:r w:rsidRPr="000F2ECD">
        <w:t xml:space="preserve"> § 626(f)(1).</w:t>
      </w:r>
      <w:r w:rsidR="00782D48">
        <w:rPr>
          <w:rStyle w:val="FootnoteReference"/>
        </w:rPr>
        <w:footnoteReference w:id="21"/>
      </w:r>
      <w:r w:rsidRPr="000F2ECD">
        <w:t xml:space="preserve"> The proponent of the release has the burden to prove 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(emphasis in original). The minimum statutory requirements for a valid waiver are as follows:</w:t>
      </w:r>
    </w:p>
    <w:p w14:paraId="1C63B8F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14:paraId="38BAB2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626(f)(1).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14:paraId="6D6052CA" w14:textId="34C2460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189 F.3d 1221, 1229 (10th Cir.</w:t>
      </w:r>
      <w:r w:rsidR="00064682">
        <w:t xml:space="preserve"> </w:t>
      </w:r>
      <w:r w:rsidRPr="000F2ECD">
        <w:t xml:space="preserve">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62 F.3d 368, 373-74 (11th Cir.</w:t>
      </w:r>
      <w:r w:rsidR="00064682">
        <w:t xml:space="preserve"> </w:t>
      </w:r>
      <w:r w:rsidRPr="000F2ECD">
        <w:t xml:space="preserve">1995) (validity of waiver of ADEA claims must be determined under the totality of the circumstances).  But if the waiver agreement on its face meets the minimum statutory requirements of OWBPA, </w:t>
      </w:r>
      <w:r w:rsidRPr="000F2ECD">
        <w:lastRenderedPageBreak/>
        <w:t xml:space="preserve">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Pierce v. Atchison Topeka &amp; Santa Fe Ry.</w:t>
      </w:r>
      <w:r w:rsidRPr="000F2ECD">
        <w:t>, 110 F.3d 431, 438 (</w:t>
      </w:r>
      <w:r w:rsidR="00064682">
        <w:t xml:space="preserve">7th </w:t>
      </w:r>
      <w:r w:rsidRPr="000F2ECD">
        <w:t>Cir.</w:t>
      </w:r>
      <w:r w:rsidR="00064682">
        <w:t xml:space="preserve"> </w:t>
      </w:r>
      <w:r w:rsidRPr="000F2ECD">
        <w:t>1997), explained why the plaintiff has a burden of production when contending that a release conforming with the statute was not knowing and voluntary:</w:t>
      </w:r>
    </w:p>
    <w:p w14:paraId="2354F6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14:paraId="0D80C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14:paraId="20E4F6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14:paraId="0AC8C59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r w:rsidRPr="000F2ECD">
        <w:rPr>
          <w:i/>
          <w:iCs/>
        </w:rPr>
        <w:t>Oubre</w:t>
      </w:r>
      <w:proofErr w:type="spellEnd"/>
      <w:r w:rsidRPr="000F2ECD">
        <w:rPr>
          <w:i/>
          <w:iCs/>
        </w:rPr>
        <w:t xml:space="preserve"> v. Entergy Operations, Inc</w:t>
      </w:r>
      <w:r w:rsidRPr="000F2ECD">
        <w:t>., 522 U.S. 422, 427-28 (1998).</w:t>
      </w:r>
    </w:p>
    <w:p w14:paraId="53518D8B"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7AAFFD3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14:paraId="4C91FA27"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73675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14:paraId="1F4B2B3B"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6"/>
          <w:pgSz w:w="12240" w:h="15840"/>
          <w:pgMar w:top="1440" w:right="1440" w:bottom="1008" w:left="1440" w:header="900" w:footer="1008" w:gutter="0"/>
          <w:lnNumType w:countBy="1" w:distance="576"/>
          <w:cols w:space="720"/>
          <w:noEndnote/>
        </w:sectPr>
      </w:pPr>
    </w:p>
    <w:p w14:paraId="21C6417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4DC938B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14:paraId="3B915B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w:t>
      </w:r>
      <w:r w:rsidRPr="000F2ECD">
        <w:rPr>
          <w:i/>
          <w:iCs/>
        </w:rPr>
        <w:t xml:space="preserve">Haskell v. Kaman Corp., </w:t>
      </w:r>
      <w:r w:rsidRPr="000F2ECD">
        <w:t>743 F.2d 113, 120-21 (2d Cir. 1984) (“plaintiffs are not entitled to recovery for emotional distress in ADEA actions”).</w:t>
      </w:r>
    </w:p>
    <w:p w14:paraId="526F74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 ADEA mandates an award for back pay and liquidated </w:t>
      </w:r>
      <w:proofErr w:type="gramStart"/>
      <w:r w:rsidRPr="000F2ECD">
        <w:t>damages,  and</w:t>
      </w:r>
      <w:proofErr w:type="gramEnd"/>
      <w:r w:rsidRPr="000F2ECD">
        <w:t xml:space="preserve"> permits an award for front pay. See Instructions 8.4.2 - 8.4.4 for instructions covering these awards.</w:t>
      </w:r>
    </w:p>
    <w:p w14:paraId="18E16ECA"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B63EE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r w:rsidRPr="000F2ECD">
        <w:rPr>
          <w:b/>
          <w:bCs/>
        </w:rPr>
        <w:t xml:space="preserve">  </w:t>
      </w:r>
      <w:r w:rsidRPr="000F2ECD">
        <w:rPr>
          <w:b/>
          <w:bCs/>
          <w:sz w:val="28"/>
          <w:szCs w:val="28"/>
        </w:rPr>
        <w:t>ADEA Damages — Back Pay</w:t>
      </w:r>
    </w:p>
    <w:p w14:paraId="63BB207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1CDA9E6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09FA94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D1EF0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14:paraId="5705D2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14:paraId="1562DA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0C6DCE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6BA5BE1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507A4EF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14:paraId="7F347F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1C0836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14:paraId="022C6E03"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7"/>
          <w:pgSz w:w="12240" w:h="15840"/>
          <w:pgMar w:top="1440" w:right="1440" w:bottom="1008" w:left="1440" w:header="900" w:footer="1008" w:gutter="0"/>
          <w:lnNumType w:countBy="1" w:distance="576"/>
          <w:cols w:space="720"/>
          <w:noEndnote/>
        </w:sectPr>
      </w:pPr>
    </w:p>
    <w:p w14:paraId="7D851A6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76525C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0A41FE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backpay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14:paraId="436874E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See also Mardell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r w:rsidRPr="000F2ECD">
        <w:rPr>
          <w:i/>
          <w:iCs/>
        </w:rPr>
        <w:t>Mardell</w:t>
      </w:r>
      <w:r w:rsidRPr="000F2ECD">
        <w:t xml:space="preserve"> observe that the defendant has the burden of showing that it would have made the same employment decision when it became aware of the post-decision evidence of the employee’s misconduct.</w:t>
      </w:r>
    </w:p>
    <w:p w14:paraId="195A6E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r w:rsidRPr="000F2ECD">
        <w:rPr>
          <w:i/>
          <w:iCs/>
        </w:rPr>
        <w:t xml:space="preserve">Maxfield v. Sinclair Int’l, </w:t>
      </w:r>
      <w:r w:rsidRPr="000F2ECD">
        <w:t xml:space="preserve">766 F.2d 788 (3d Cir. 1985) (social security benefits cannot be offset as an award of backpay is a mandatory element of damages under the ADEA). In contrast, courts have held that the ADEA does require interim earnings to be deducted from back pay awards. </w:t>
      </w:r>
      <w:r w:rsidRPr="002869CB">
        <w:rPr>
          <w:i/>
        </w:rPr>
        <w:t>Id</w:t>
      </w:r>
      <w:r w:rsidRPr="000F2ECD">
        <w:t xml:space="preserve">.  The instruction reflects these legal standards. </w:t>
      </w:r>
    </w:p>
    <w:p w14:paraId="3D54E7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14:paraId="7D327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at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14:paraId="13A8C12E"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14:paraId="4C07BD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r w:rsidRPr="000F2ECD">
        <w:rPr>
          <w:b/>
          <w:bCs/>
        </w:rPr>
        <w:t xml:space="preserve">.  </w:t>
      </w:r>
      <w:r w:rsidRPr="000F2ECD">
        <w:rPr>
          <w:b/>
          <w:bCs/>
          <w:sz w:val="28"/>
          <w:szCs w:val="28"/>
        </w:rPr>
        <w:t>ADEA Damages — Liquidated Damages</w:t>
      </w:r>
      <w:r w:rsidRPr="000F2ECD">
        <w:rPr>
          <w:b/>
          <w:bCs/>
          <w:i/>
          <w:iCs/>
          <w:sz w:val="28"/>
          <w:szCs w:val="28"/>
        </w:rPr>
        <w:t xml:space="preserve"> </w:t>
      </w:r>
    </w:p>
    <w:p w14:paraId="600C351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4F5E3A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w:t>
      </w:r>
      <w:r w:rsidR="00075327">
        <w:t>then I will also ask you to decide a further question: whether</w:t>
      </w:r>
      <w:r w:rsidRPr="000F2ECD">
        <w:t xml:space="preserve"> [defendant</w:t>
      </w:r>
      <w:r w:rsidR="00075327">
        <w:t>’</w:t>
      </w:r>
      <w:r w:rsidRPr="000F2ECD">
        <w:t xml:space="preserve">s] conduct was willful. </w:t>
      </w:r>
      <w:r w:rsidR="00075327">
        <w:t>For purposes of your answer to that question, [plaintiff]</w:t>
      </w:r>
      <w:r w:rsidRPr="000F2ECD">
        <w:t xml:space="preserve"> has the burden of proving willfulness by a preponderance of the evidence.</w:t>
      </w:r>
    </w:p>
    <w:p w14:paraId="6D059D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8A1B1D">
        <w: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w:t>
      </w:r>
    </w:p>
    <w:p w14:paraId="0B6721B1"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8"/>
          <w:pgSz w:w="12240" w:h="15840"/>
          <w:pgMar w:top="1440" w:right="1440" w:bottom="1008" w:left="1440" w:header="900" w:footer="1008" w:gutter="0"/>
          <w:lnNumType w:countBy="1" w:distance="576"/>
          <w:cols w:space="720"/>
          <w:noEndnote/>
        </w:sectPr>
      </w:pPr>
    </w:p>
    <w:p w14:paraId="0E8443A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324AB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30DC9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29 U.S.C. § 626(b) instead incorporates the liquidated damages provision of the Fair Labor Standards Act, 29 U.S.C. § 216(b). The statute provides that doubling of damages is mandatory if there is a finding that the defend</w:t>
      </w:r>
      <w:r w:rsidR="002A050D">
        <w:t>ant willfully violated the law.</w:t>
      </w:r>
      <w:r w:rsidR="002A050D">
        <w:rPr>
          <w:rStyle w:val="FootnoteReference"/>
        </w:rPr>
        <w:footnoteReference w:id="22"/>
      </w:r>
      <w:r w:rsidR="002A050D">
        <w:t xml:space="preserve"> </w:t>
      </w:r>
      <w:r w:rsidR="002A050D" w:rsidRPr="002A050D">
        <w:t xml:space="preserve">Instruction 8.4.3 does not tell the jury the reason it is being asked to determine willfulness; if the jury finds willfulness, then the court doubles the damages based on the jury’s finding.  The concern is that, if the jury knows the effect of the willfulness determination, it might adjust its damages assessment in light of that information.  Instructions for use in four other circuits similarly do not tell the jury the reason it is being asked to determine willfulness.  </w:t>
      </w:r>
      <w:r w:rsidR="002A050D" w:rsidRPr="002A050D">
        <w:rPr>
          <w:i/>
        </w:rPr>
        <w:t>See</w:t>
      </w:r>
      <w:r w:rsidR="002A050D" w:rsidRPr="002A050D">
        <w:t xml:space="preserve"> Seventh Circuit Instruction 3.06; Eighth Circuit Instruction 6.20; Ninth Circuit Instruction 11.14; Eleventh Circuit Instruction 4.10.  </w:t>
      </w:r>
      <w:r w:rsidR="002A050D" w:rsidRPr="002A050D">
        <w:rPr>
          <w:i/>
        </w:rPr>
        <w:t>But see</w:t>
      </w:r>
      <w:r w:rsidR="002A050D" w:rsidRPr="002A050D">
        <w:t xml:space="preserve"> Fifth Circuit Instruction 11.18 (instructing jury that “[a] plaintiff who proves that [his/her] [former] employer acted willfully in violating the ADEA is entitled to additional damages” – but without specifying the measure of those additional damages).</w:t>
      </w:r>
    </w:p>
    <w:p w14:paraId="1AD8A85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w:t>
      </w:r>
      <w:r w:rsidRPr="000F2ECD">
        <w:lastRenderedPageBreak/>
        <w:t xml:space="preserve">The Court held that a willful violation could not be found under the circumstances, as the company had sought advice of counsel in advance of the implementation of the policy, and was told that the policy would not violate the ADEA. </w:t>
      </w:r>
    </w:p>
    <w:p w14:paraId="04BFE2A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14:paraId="50663B7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14:paraId="7D0328A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14:paraId="7D3C71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14:paraId="12E4CB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14:paraId="6E52B9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w:t>
      </w:r>
      <w:proofErr w:type="gramStart"/>
      <w:r w:rsidRPr="000F2ECD">
        <w:t>particular age-based</w:t>
      </w:r>
      <w:proofErr w:type="gramEnd"/>
      <w:r w:rsidRPr="000F2ECD">
        <w:t xml:space="preserve"> decision, then liquidated damages should not be imposed.</w:t>
      </w:r>
    </w:p>
    <w:p w14:paraId="76B02D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14:paraId="5FD5C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14:paraId="287F45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14:paraId="359BCDA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14:paraId="352D1F3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14:paraId="1F1346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14:paraId="4184FF02" w14:textId="77777777"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14:paraId="2637CD6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r w:rsidRPr="000F2ECD">
        <w:rPr>
          <w:b/>
          <w:bCs/>
        </w:rPr>
        <w:t xml:space="preserve">  </w:t>
      </w:r>
      <w:r w:rsidRPr="000F2ECD">
        <w:rPr>
          <w:b/>
          <w:bCs/>
          <w:sz w:val="28"/>
          <w:szCs w:val="28"/>
        </w:rPr>
        <w:t>ADEA Damages — Front Pay</w:t>
      </w:r>
    </w:p>
    <w:p w14:paraId="45CF2A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37A7F5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1746DC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14:paraId="2AA41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4F56078"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14:paraId="0482CF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14:paraId="2956E86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061DA8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14:paraId="3ACE94B9" w14:textId="77777777"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9"/>
          <w:pgSz w:w="12240" w:h="15840"/>
          <w:pgMar w:top="1440" w:right="1440" w:bottom="1008" w:left="1440" w:header="900" w:footer="1008" w:gutter="0"/>
          <w:lnNumType w:countBy="1" w:distance="576"/>
          <w:cols w:space="720"/>
          <w:noEndnote/>
        </w:sectPr>
      </w:pPr>
    </w:p>
    <w:p w14:paraId="222C55A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19DD9B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14:paraId="65A2E55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r w:rsidRPr="000F2ECD">
        <w:rPr>
          <w:i/>
          <w:iCs/>
        </w:rPr>
        <w:t xml:space="preserve">Maxfield v. Sinclair Int’l, </w:t>
      </w:r>
      <w:r w:rsidRPr="000F2ECD">
        <w:t>766 F.2d 788, 795-96 (3d Cir. 1985), the court  rejected the defendant’s argument that an award of front pay is not permitted in an ADEA action, and discussed the role of a front pay award in the following passage:</w:t>
      </w:r>
    </w:p>
    <w:p w14:paraId="35465AF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ADEA, . . .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14:paraId="671D37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14:paraId="66E663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14:paraId="2F9305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14:paraId="36462FD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backpay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14:paraId="3DA694D0" w14:textId="77777777"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r w:rsidRPr="000F2ECD">
        <w:rPr>
          <w:i/>
          <w:iCs/>
        </w:rPr>
        <w:t xml:space="preserve">Maxfield,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14:paraId="3AA7C88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14:paraId="51C3C7A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14:paraId="5ECEC3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14:paraId="3D1DE02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14:paraId="3E2E14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14:paraId="08CFEA7D" w14:textId="77777777"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30"/>
          <w:pgSz w:w="12240" w:h="15840"/>
          <w:pgMar w:top="1440" w:right="1440" w:bottom="1008" w:left="1440" w:header="900" w:footer="1008" w:gutter="0"/>
          <w:lnNumType w:countBy="1" w:distance="576"/>
          <w:cols w:space="720"/>
          <w:noEndnote/>
        </w:sectPr>
      </w:pPr>
    </w:p>
    <w:p w14:paraId="2B63617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14:paraId="1E9E60C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14:paraId="3CF390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14:paraId="67003E43" w14:textId="77777777"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3FCD" w14:textId="77777777" w:rsidR="00B75159" w:rsidRDefault="00B75159">
      <w:r>
        <w:separator/>
      </w:r>
    </w:p>
  </w:endnote>
  <w:endnote w:type="continuationSeparator" w:id="0">
    <w:p w14:paraId="7F4D5306" w14:textId="77777777" w:rsidR="00B75159" w:rsidRDefault="00B75159">
      <w:r>
        <w:continuationSeparator/>
      </w:r>
    </w:p>
  </w:endnote>
  <w:endnote w:type="continuationNotice" w:id="1">
    <w:p w14:paraId="7474AF5A" w14:textId="77777777" w:rsidR="00B75159" w:rsidRDefault="00B75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93A5" w14:textId="77777777" w:rsidR="00EB594F" w:rsidRDefault="00EB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064A"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8C72A8F"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0BB89C73" w14:textId="34C820BE"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5E6FA6">
      <w:rPr>
        <w:rFonts w:ascii="Century Schoolbook" w:hAnsi="Century Schoolbook"/>
        <w:i/>
        <w:iCs/>
      </w:rPr>
      <w:t>October</w:t>
    </w:r>
    <w:r w:rsidR="002E7815">
      <w:rPr>
        <w:rFonts w:ascii="Century Schoolbook" w:hAnsi="Century Schoolbook"/>
        <w:i/>
        <w:iCs/>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2C17" w14:textId="77777777" w:rsidR="00EB594F" w:rsidRDefault="00EB59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DD40"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B25BF08"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721E8D7D" w14:textId="7C9CD87C"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EB594F">
      <w:rPr>
        <w:rFonts w:ascii="Century Schoolbook" w:hAnsi="Century Schoolbook"/>
        <w:i/>
        <w:iCs/>
      </w:rPr>
      <w:t>October</w:t>
    </w:r>
    <w:r w:rsidR="00002A9B">
      <w:rPr>
        <w:rFonts w:ascii="Century Schoolbook" w:hAnsi="Century Schoolbook"/>
        <w:i/>
        <w:iC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4BD8" w14:textId="77777777" w:rsidR="00B75159" w:rsidRDefault="00B75159">
      <w:r>
        <w:separator/>
      </w:r>
    </w:p>
  </w:footnote>
  <w:footnote w:type="continuationSeparator" w:id="0">
    <w:p w14:paraId="22ED1E59" w14:textId="77777777" w:rsidR="00B75159" w:rsidRDefault="00B75159">
      <w:r>
        <w:continuationSeparator/>
      </w:r>
    </w:p>
  </w:footnote>
  <w:footnote w:type="continuationNotice" w:id="1">
    <w:p w14:paraId="2E216BAF" w14:textId="77777777" w:rsidR="00B75159" w:rsidRDefault="00B75159"/>
  </w:footnote>
  <w:footnote w:id="2">
    <w:p w14:paraId="0F617F03" w14:textId="77777777"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at 110 (“Congress intended the ADEA to be the exclusive remedy for claims of age discrimination in employment.”).</w:t>
      </w:r>
    </w:p>
  </w:footnote>
  <w:footnote w:id="3">
    <w:p w14:paraId="2A52546F" w14:textId="77777777"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 xml:space="preserve">C.I.R. v. </w:t>
      </w:r>
      <w:proofErr w:type="spellStart"/>
      <w:r w:rsidR="00BC7C5F" w:rsidRPr="00BC7C5F">
        <w:rPr>
          <w:i/>
          <w:sz w:val="24"/>
          <w:szCs w:val="24"/>
        </w:rPr>
        <w:t>Schleier</w:t>
      </w:r>
      <w:proofErr w:type="spellEnd"/>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 xml:space="preserve">superseded by statute on other grounds as noted in Eshelman v. </w:t>
      </w:r>
      <w:proofErr w:type="spellStart"/>
      <w:r w:rsidR="00BC7C5F" w:rsidRPr="00BC7C5F">
        <w:rPr>
          <w:i/>
          <w:sz w:val="24"/>
          <w:szCs w:val="24"/>
        </w:rPr>
        <w:t>Agere</w:t>
      </w:r>
      <w:proofErr w:type="spellEnd"/>
      <w:r w:rsidR="00BC7C5F" w:rsidRPr="00BC7C5F">
        <w:rPr>
          <w:i/>
          <w:sz w:val="24"/>
          <w:szCs w:val="24"/>
        </w:rPr>
        <w:t xml:space="preserv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4">
    <w:p w14:paraId="49EEAF73" w14:textId="30096BB0" w:rsidR="00161820" w:rsidRDefault="00161820">
      <w:pPr>
        <w:pStyle w:val="FootnoteText"/>
      </w:pPr>
      <w:r>
        <w:rPr>
          <w:rStyle w:val="FootnoteReference"/>
        </w:rPr>
        <w:footnoteRef/>
      </w:r>
      <w:r>
        <w:t xml:space="preserve"> </w:t>
      </w:r>
      <w:r w:rsidRPr="00CE67DC">
        <w:rPr>
          <w:sz w:val="24"/>
          <w:szCs w:val="24"/>
        </w:rPr>
        <w:t xml:space="preserve">Administrative-exhaustion requirements provide one example.  29 U.S.C. § 626(d)(1) sets an administrative-exhaustion requirement for ADEA claims generally.  29 U.S.C. § 633a sets a different administrative-exhaustion framework for ADEA claims by federal employees.  The Committee has not attempted to determine whether assessing compliance with these exhaustion requirements ever presents a task for the jury.  </w:t>
      </w:r>
      <w:r w:rsidRPr="00CE67DC">
        <w:rPr>
          <w:i/>
          <w:sz w:val="24"/>
          <w:szCs w:val="24"/>
        </w:rPr>
        <w:t>Compare Williams v. Runyon</w:t>
      </w:r>
      <w:r w:rsidRPr="00CE67DC">
        <w:rPr>
          <w:sz w:val="24"/>
          <w:szCs w:val="24"/>
        </w:rPr>
        <w:t xml:space="preserve">, 130 F.3d 568, 573 (3d Cir. 1997) (evincing the view that a question of compliance with the exhaustion requirement set by 29 C.F.R. § 1614.105 for Title VII suits by federal employees could properly be submitted to the jury), </w:t>
      </w:r>
      <w:r w:rsidRPr="00CE67DC">
        <w:rPr>
          <w:i/>
          <w:sz w:val="24"/>
          <w:szCs w:val="24"/>
        </w:rPr>
        <w:t xml:space="preserve">with Small v. Camden </w:t>
      </w:r>
      <w:proofErr w:type="spellStart"/>
      <w:r w:rsidRPr="00CE67DC">
        <w:rPr>
          <w:i/>
          <w:sz w:val="24"/>
          <w:szCs w:val="24"/>
        </w:rPr>
        <w:t>Cty</w:t>
      </w:r>
      <w:proofErr w:type="spellEnd"/>
      <w:r w:rsidRPr="00CE67DC">
        <w:rPr>
          <w:sz w:val="24"/>
          <w:szCs w:val="24"/>
        </w:rPr>
        <w:t xml:space="preserve">., 728 F.3d 265, 269, 271 (3d Cir. 2013) (holding that compliance with the exhaustion requirement set by the Prison Litigation Reform Act presents a question that can be resolved by the judge).  </w:t>
      </w:r>
      <w:proofErr w:type="gramStart"/>
      <w:r w:rsidRPr="00CE67DC">
        <w:rPr>
          <w:sz w:val="24"/>
          <w:szCs w:val="24"/>
        </w:rPr>
        <w:t>In the event that</w:t>
      </w:r>
      <w:proofErr w:type="gramEnd"/>
      <w:r w:rsidRPr="00CE67DC">
        <w:rPr>
          <w:sz w:val="24"/>
          <w:szCs w:val="24"/>
        </w:rPr>
        <w:t xml:space="preserve"> a dispute over exhaustion presents a jury question, the court may wish to submit relevant interrogatories to the jury.  The Committee welcomes feedback from users of the model instructions concerning the need for, and appropriate nature of, model instructions on the topic of exhaustion.</w:t>
      </w:r>
    </w:p>
  </w:footnote>
  <w:footnote w:id="5">
    <w:p w14:paraId="337DDE99" w14:textId="77777777" w:rsidR="00545119" w:rsidRPr="00545119" w:rsidRDefault="00545119" w:rsidP="00545119">
      <w:pPr>
        <w:pStyle w:val="FootnoteText"/>
        <w:rPr>
          <w:sz w:val="24"/>
          <w:szCs w:val="24"/>
        </w:rPr>
      </w:pPr>
      <w:r w:rsidRPr="00545119">
        <w:rPr>
          <w:rStyle w:val="FootnoteReference"/>
        </w:rPr>
        <w:footnoteRef/>
      </w:r>
      <w:r w:rsidRPr="00545119">
        <w:t xml:space="preserve"> </w:t>
      </w:r>
      <w:r w:rsidRPr="00545119">
        <w:rPr>
          <w:sz w:val="24"/>
          <w:szCs w:val="24"/>
        </w:rPr>
        <w:t>Please see the Comment for discussion of this list of alternatives.</w:t>
      </w:r>
    </w:p>
  </w:footnote>
  <w:footnote w:id="6">
    <w:p w14:paraId="7ED156DD" w14:textId="77777777" w:rsidR="008F1CA0" w:rsidRDefault="008F1CA0" w:rsidP="008F1CA0">
      <w:pPr>
        <w:pStyle w:val="FootnoteText"/>
      </w:pPr>
      <w:r>
        <w:rPr>
          <w:rStyle w:val="FootnoteReference"/>
        </w:rPr>
        <w:footnoteRef/>
      </w:r>
      <w:r>
        <w:t xml:space="preserve"> </w:t>
      </w:r>
      <w:r w:rsidRPr="00560A72">
        <w:rPr>
          <w:sz w:val="24"/>
          <w:szCs w:val="24"/>
        </w:rPr>
        <w:t>Instruction 8.1.1 is drafted on the assumption that there is no dispute as to the first of these elements – namely, that the plaintiff was 40 or older at the time of the alleged adverse employment action.  In the (likely rare) case where the defendant disputes whether the plaintiff was at least 40 at the time of the alleged adverse action, Instruction 8.1.1 should be revised to put that question to the jury as an element that the plaintiff must prove.</w:t>
      </w:r>
    </w:p>
  </w:footnote>
  <w:footnote w:id="7">
    <w:p w14:paraId="3FFE60D5" w14:textId="77777777" w:rsidR="008F1CA0" w:rsidRPr="00560A72" w:rsidRDefault="008F1CA0" w:rsidP="008F1CA0">
      <w:pPr>
        <w:spacing w:after="240"/>
      </w:pPr>
      <w:r>
        <w:rPr>
          <w:rStyle w:val="FootnoteReference"/>
        </w:rPr>
        <w:footnoteRef/>
      </w:r>
      <w:r>
        <w:t xml:space="preserve"> </w:t>
      </w:r>
      <w:r w:rsidRPr="00560A72">
        <w:t xml:space="preserve">In </w:t>
      </w:r>
      <w:r w:rsidRPr="00560A72">
        <w:rPr>
          <w:i/>
          <w:iCs/>
        </w:rPr>
        <w:t>O’Connor v. Consolidated Coin Caterers Corp.</w:t>
      </w:r>
      <w:r w:rsidRPr="00560A72">
        <w:t xml:space="preserve">, 517 U.S. 308 (1996), the Court rejected the argument that an ADEA plaintiff in a discharge case must show that he was replaced by someone under 40. Under </w:t>
      </w:r>
      <w:r w:rsidRPr="00560A72">
        <w:rPr>
          <w:i/>
          <w:iCs/>
        </w:rPr>
        <w:t>O’Connor</w:t>
      </w:r>
      <w:r w:rsidRPr="00560A72">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560A72">
        <w:rPr>
          <w:i/>
          <w:iCs/>
        </w:rPr>
        <w:t>See also Maxfield v. Sinclair Int’l</w:t>
      </w:r>
      <w:r w:rsidRPr="00560A72">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14:paraId="1CD5B1A9" w14:textId="77777777" w:rsidR="008F1CA0" w:rsidRPr="00560A72" w:rsidRDefault="008F1CA0" w:rsidP="008F1CA0">
      <w:pPr>
        <w:pStyle w:val="FootnoteText"/>
      </w:pPr>
      <w:r w:rsidRPr="00560A72">
        <w:rPr>
          <w:sz w:val="24"/>
          <w:szCs w:val="24"/>
        </w:rPr>
        <w:tab/>
        <w:t xml:space="preserve">On the question of what is a substantial difference in age, </w:t>
      </w:r>
      <w:r w:rsidRPr="00560A72">
        <w:rPr>
          <w:i/>
          <w:iCs/>
          <w:sz w:val="24"/>
          <w:szCs w:val="24"/>
        </w:rPr>
        <w:t>see, e.g.</w:t>
      </w:r>
      <w:r w:rsidRPr="00560A72">
        <w:rPr>
          <w:sz w:val="24"/>
          <w:szCs w:val="24"/>
        </w:rPr>
        <w:t xml:space="preserve">, </w:t>
      </w:r>
      <w:proofErr w:type="spellStart"/>
      <w:r w:rsidRPr="00560A72">
        <w:rPr>
          <w:i/>
          <w:iCs/>
          <w:sz w:val="24"/>
          <w:szCs w:val="24"/>
        </w:rPr>
        <w:t>Sempier</w:t>
      </w:r>
      <w:proofErr w:type="spellEnd"/>
      <w:r w:rsidRPr="00560A72">
        <w:rPr>
          <w:i/>
          <w:iCs/>
          <w:sz w:val="24"/>
          <w:szCs w:val="24"/>
        </w:rPr>
        <w:t xml:space="preserve"> v. Johnson &amp; Higgins</w:t>
      </w:r>
      <w:r w:rsidRPr="00560A72">
        <w:rPr>
          <w:sz w:val="24"/>
          <w:szCs w:val="24"/>
        </w:rPr>
        <w:t>, 45 F.3d 724 (3d Cir. 1995) (noting that no particular age difference must be shown; citing cases holding that a five year difference was sufficient, and other case law indicating that a one year difference was insufficient to support an inference of age discrimination).</w:t>
      </w:r>
    </w:p>
  </w:footnote>
  <w:footnote w:id="8">
    <w:p w14:paraId="4D0D518C" w14:textId="77777777" w:rsidR="008F1CA0" w:rsidRPr="00560A72" w:rsidRDefault="008F1CA0" w:rsidP="008F1CA0">
      <w:pPr>
        <w:spacing w:after="240"/>
      </w:pPr>
      <w:r w:rsidRPr="00560A72">
        <w:rPr>
          <w:rStyle w:val="FootnoteReference"/>
        </w:rPr>
        <w:footnoteRef/>
      </w:r>
      <w:r w:rsidRPr="00560A72">
        <w:t xml:space="preserve"> On the standards for proving age discrimination in reduction in force cases, </w:t>
      </w:r>
      <w:r w:rsidRPr="00560A72">
        <w:rPr>
          <w:i/>
          <w:iCs/>
        </w:rPr>
        <w:t>see, e.g.</w:t>
      </w:r>
      <w:r w:rsidRPr="00560A72">
        <w:t>,</w:t>
      </w:r>
      <w:r w:rsidRPr="00560A72">
        <w:rPr>
          <w:i/>
          <w:iCs/>
        </w:rPr>
        <w:t xml:space="preserve"> </w:t>
      </w:r>
      <w:proofErr w:type="spellStart"/>
      <w:r w:rsidRPr="00560A72">
        <w:rPr>
          <w:i/>
          <w:iCs/>
        </w:rPr>
        <w:t>Tomasso</w:t>
      </w:r>
      <w:proofErr w:type="spellEnd"/>
      <w:r w:rsidRPr="00560A72">
        <w:rPr>
          <w:i/>
          <w:iCs/>
        </w:rPr>
        <w:t xml:space="preserve"> v. Boeing Co.</w:t>
      </w:r>
      <w:r w:rsidRPr="00560A72">
        <w:t xml:space="preserve">, 445 F.3d 702, 706 n.4 (3d Cir. 2006): </w:t>
      </w:r>
    </w:p>
    <w:p w14:paraId="12FE47B2" w14:textId="77777777" w:rsidR="008F1CA0" w:rsidRPr="00560A72" w:rsidRDefault="008F1CA0" w:rsidP="008F1CA0">
      <w:pPr>
        <w:spacing w:after="240"/>
        <w:ind w:left="720"/>
      </w:pPr>
      <w:r w:rsidRPr="00560A72">
        <w:t xml:space="preserve">Ordinarily, to make out a prima facie case [of age discrimination] the plaintiff must show . . .  that he was replaced by a sufficiently younger person to create an inference of age discrimination.  </w:t>
      </w:r>
      <w:proofErr w:type="spellStart"/>
      <w:r w:rsidRPr="00560A72">
        <w:rPr>
          <w:i/>
          <w:iCs/>
        </w:rPr>
        <w:t>Fakete</w:t>
      </w:r>
      <w:proofErr w:type="spellEnd"/>
      <w:r w:rsidRPr="00560A72">
        <w:rPr>
          <w:i/>
          <w:iCs/>
        </w:rPr>
        <w:t xml:space="preserve"> v. Aetna, Inc.</w:t>
      </w:r>
      <w:r w:rsidRPr="00560A72">
        <w:t>, 308 F.3d 335, 338 (3d Cir. 2002). However, where an employee is terminated during a RIF, the [disputed question] becomes whether the employer retained employees who do not belong to the protected class.</w:t>
      </w:r>
    </w:p>
    <w:p w14:paraId="4011375A" w14:textId="77777777" w:rsidR="008F1CA0" w:rsidRDefault="008F1CA0" w:rsidP="008F1CA0">
      <w:pPr>
        <w:pStyle w:val="FootnoteText"/>
      </w:pPr>
      <w:r w:rsidRPr="00560A72">
        <w:rPr>
          <w:i/>
          <w:iCs/>
          <w:sz w:val="24"/>
          <w:szCs w:val="24"/>
        </w:rPr>
        <w:t>See also Dreyer v. ARCO Chemical Co.</w:t>
      </w:r>
      <w:r w:rsidRPr="00560A72">
        <w:rPr>
          <w:sz w:val="24"/>
          <w:szCs w:val="24"/>
        </w:rPr>
        <w:t xml:space="preserve">, 801 F.2d 651, 654 (3d Cir. 1986) (noting that in reduction of force cases “it is often impracticable to require a plaintiff whose job has been eliminated to show replacement”), </w:t>
      </w:r>
      <w:r w:rsidRPr="00560A72">
        <w:rPr>
          <w:i/>
          <w:iCs/>
          <w:sz w:val="24"/>
          <w:szCs w:val="24"/>
        </w:rPr>
        <w:t>overruled on other grounds by Hazen Paper Co. v. Biggins</w:t>
      </w:r>
      <w:r w:rsidRPr="00560A72">
        <w:rPr>
          <w:sz w:val="24"/>
          <w:szCs w:val="24"/>
        </w:rPr>
        <w:t xml:space="preserve">, 507 U.S. 604, 617 (1993); </w:t>
      </w:r>
      <w:r w:rsidRPr="00560A72">
        <w:rPr>
          <w:i/>
          <w:iCs/>
          <w:sz w:val="24"/>
          <w:szCs w:val="24"/>
        </w:rPr>
        <w:t>Anderson v. CONRAIL</w:t>
      </w:r>
      <w:r w:rsidRPr="00560A72">
        <w:rPr>
          <w:sz w:val="24"/>
          <w:szCs w:val="24"/>
        </w:rPr>
        <w:t>, 297 F.3d 242 (3d Cir. 2002) (in a reduction in force case, the plaintiff must show that a similarly situated substantially younger employee was retained).</w:t>
      </w:r>
    </w:p>
  </w:footnote>
  <w:footnote w:id="9">
    <w:p w14:paraId="6F8560AB" w14:textId="77777777" w:rsidR="00345AA3" w:rsidRDefault="00345AA3">
      <w:pPr>
        <w:pStyle w:val="FootnoteText"/>
      </w:pPr>
      <w:r>
        <w:rPr>
          <w:rStyle w:val="FootnoteReference"/>
        </w:rPr>
        <w:footnoteRef/>
      </w:r>
      <w:r>
        <w:t xml:space="preserve"> </w:t>
      </w:r>
      <w:r w:rsidRPr="00345AA3">
        <w:rPr>
          <w:sz w:val="24"/>
          <w:szCs w:val="24"/>
        </w:rPr>
        <w:t xml:space="preserve">The Committee has not attempted to draft an instruction for the (likely rare) case in which the defendant fails to articulate any legitimate nondiscriminatory reason for the adverse employment action.  Regarding such cases, </w:t>
      </w:r>
      <w:r w:rsidRPr="00345AA3">
        <w:rPr>
          <w:i/>
          <w:sz w:val="24"/>
          <w:szCs w:val="24"/>
        </w:rPr>
        <w:t>see St. Mary's Honor Ctr. v. Hicks</w:t>
      </w:r>
      <w:r w:rsidRPr="00345AA3">
        <w:rPr>
          <w:sz w:val="24"/>
          <w:szCs w:val="24"/>
        </w:rPr>
        <w:t>, 509 U.S. 502, 509-10 &amp; n.3 (1993) (stating that if the plaintiff presents evidence supporting the elements of the prima facie case and the defendant fails to articulate a legitimate nondiscriminatory reason, then “[i]f the finder of fact … finds that the prima facie case is supported by a preponderance of the evidence[,] it must find the existence of the presumed fact of unlawful discrimination and must, therefore, render a verdict for the plaintiff”).</w:t>
      </w:r>
    </w:p>
  </w:footnote>
  <w:footnote w:id="10">
    <w:p w14:paraId="6ADA6C51" w14:textId="77777777"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Fuentes v. Perskie</w:t>
      </w:r>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at 431.</w:t>
      </w:r>
    </w:p>
    <w:p w14:paraId="587A445A" w14:textId="77777777"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14:paraId="659D244F" w14:textId="77777777"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11">
    <w:p w14:paraId="5886CEF4" w14:textId="77777777"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2</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2">
    <w:p w14:paraId="46BE41D4" w14:textId="77777777"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3</w:t>
      </w:r>
      <w:r>
        <w:t xml:space="preserve">  As</w:t>
      </w:r>
      <w:proofErr w:type="gramEnd"/>
      <w:r>
        <w:t xml:space="preserve"> Comment 8.1.3 notes (by analogy to the framework for Title VII hostile environment claims) the employer may raise an affirmative defense under </w:t>
      </w:r>
      <w:r>
        <w:rPr>
          <w:i/>
          <w:iCs/>
        </w:rPr>
        <w:t>Faragher v. Boca Raton</w:t>
      </w:r>
      <w:r>
        <w:t xml:space="preserve">, 524 U.S. 775 (1998), and </w:t>
      </w:r>
      <w:r>
        <w:rPr>
          <w:i/>
          <w:iCs/>
        </w:rPr>
        <w:t xml:space="preserve">Burlington Industries, Inc. v. </w:t>
      </w:r>
      <w:proofErr w:type="spellStart"/>
      <w:r>
        <w:rPr>
          <w:i/>
          <w:iCs/>
        </w:rPr>
        <w:t>Ellerth</w:t>
      </w:r>
      <w:proofErr w:type="spellEnd"/>
      <w:r>
        <w:t xml:space="preserve">, 524 U.S. 742 (1998), if no tangible employment action has been taken against the plaintiff.  In </w:t>
      </w:r>
      <w:r>
        <w:rPr>
          <w:i/>
          <w:iCs/>
        </w:rPr>
        <w:t xml:space="preserve">Pennsylvania State Police v. </w:t>
      </w:r>
      <w:proofErr w:type="spellStart"/>
      <w:r>
        <w:rPr>
          <w:i/>
          <w:iCs/>
        </w:rPr>
        <w:t>Suders</w:t>
      </w:r>
      <w:proofErr w:type="spellEnd"/>
      <w:r>
        <w:t xml:space="preserve">, 542 U.S. 129, 140-41 (2004), the Court addressed the question of constructive discharge in a Title VII case, holding “that an employer does not have recourse to the </w:t>
      </w:r>
      <w:proofErr w:type="spellStart"/>
      <w:r>
        <w:rPr>
          <w:i/>
          <w:iCs/>
        </w:rPr>
        <w:t>Ellerth</w:t>
      </w:r>
      <w:proofErr w:type="spellEnd"/>
      <w:r>
        <w:rPr>
          <w:i/>
          <w:iCs/>
        </w:rPr>
        <w:t xml:space="preserve">/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13">
    <w:p w14:paraId="0BF03E08" w14:textId="77777777"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14">
    <w:p w14:paraId="1A886E7C" w14:textId="77777777"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15">
    <w:p w14:paraId="7F0339A6" w14:textId="77777777"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proofErr w:type="spellStart"/>
      <w:r w:rsidRPr="001A1A08">
        <w:rPr>
          <w:i/>
          <w:sz w:val="24"/>
          <w:szCs w:val="24"/>
        </w:rPr>
        <w:t>Karlo</w:t>
      </w:r>
      <w:proofErr w:type="spellEnd"/>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6">
    <w:p w14:paraId="39C794C2" w14:textId="77777777" w:rsidR="00BE69F4" w:rsidRDefault="00BE69F4">
      <w:pPr>
        <w:pStyle w:val="FootnoteText"/>
      </w:pPr>
      <w:r>
        <w:rPr>
          <w:rStyle w:val="FootnoteReference"/>
        </w:rPr>
        <w:footnoteRef/>
      </w:r>
      <w:r>
        <w:t xml:space="preserve"> </w:t>
      </w:r>
      <w:r w:rsidRPr="00BE69F4">
        <w:rPr>
          <w:i/>
          <w:sz w:val="24"/>
          <w:szCs w:val="24"/>
        </w:rPr>
        <w:t xml:space="preserve">See also </w:t>
      </w:r>
      <w:proofErr w:type="spellStart"/>
      <w:r w:rsidRPr="00BE69F4">
        <w:rPr>
          <w:i/>
          <w:sz w:val="24"/>
          <w:szCs w:val="24"/>
        </w:rPr>
        <w:t>Karlo</w:t>
      </w:r>
      <w:proofErr w:type="spellEnd"/>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7">
    <w:p w14:paraId="38A2AF44" w14:textId="77777777"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8">
    <w:p w14:paraId="542AA6E8" w14:textId="77777777" w:rsidR="00046780" w:rsidRPr="00046780" w:rsidRDefault="00046780">
      <w:pPr>
        <w:pStyle w:val="FootnoteText"/>
        <w:rPr>
          <w:sz w:val="24"/>
          <w:szCs w:val="24"/>
        </w:rPr>
      </w:pPr>
      <w:r>
        <w:rPr>
          <w:rStyle w:val="FootnoteReference"/>
        </w:rPr>
        <w:footnoteRef/>
      </w:r>
      <w:r>
        <w:t xml:space="preserve"> </w:t>
      </w:r>
      <w:r w:rsidRPr="00046780">
        <w:rPr>
          <w:sz w:val="24"/>
          <w:szCs w:val="24"/>
        </w:rPr>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w:t>
      </w:r>
      <w:proofErr w:type="spellStart"/>
      <w:r w:rsidRPr="00046780">
        <w:rPr>
          <w:sz w:val="24"/>
          <w:szCs w:val="24"/>
        </w:rPr>
        <w:t>efusing</w:t>
      </w:r>
      <w:proofErr w:type="spellEnd"/>
      <w:r w:rsidRPr="00046780">
        <w:rPr>
          <w:sz w:val="24"/>
          <w:szCs w:val="24"/>
        </w:rPr>
        <w:t xml:space="preserve">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9">
    <w:p w14:paraId="0351FF02" w14:textId="77777777"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0">
    <w:p w14:paraId="7BB09257" w14:textId="77777777" w:rsidR="00996835" w:rsidRPr="00996835" w:rsidRDefault="00996835" w:rsidP="00996835">
      <w:pPr>
        <w:pStyle w:val="FootnoteText"/>
        <w:rPr>
          <w:sz w:val="24"/>
          <w:szCs w:val="24"/>
        </w:rPr>
      </w:pPr>
      <w:r w:rsidRPr="00996835">
        <w:rPr>
          <w:rStyle w:val="FootnoteReference"/>
          <w:sz w:val="24"/>
          <w:szCs w:val="24"/>
        </w:rPr>
        <w:footnoteRef/>
      </w:r>
      <w:r w:rsidRPr="00996835">
        <w:rPr>
          <w:sz w:val="24"/>
          <w:szCs w:val="24"/>
        </w:rPr>
        <w:t xml:space="preserve"> </w:t>
      </w:r>
      <w:r w:rsidRPr="00996835">
        <w:rPr>
          <w:i/>
          <w:sz w:val="24"/>
          <w:szCs w:val="24"/>
        </w:rPr>
        <w:t>See also</w:t>
      </w:r>
      <w:r w:rsidRPr="00996835">
        <w:rPr>
          <w:sz w:val="24"/>
          <w:szCs w:val="24"/>
        </w:rPr>
        <w:t xml:space="preserve"> </w:t>
      </w:r>
      <w:r w:rsidRPr="00996835">
        <w:rPr>
          <w:i/>
          <w:sz w:val="24"/>
          <w:szCs w:val="24"/>
        </w:rPr>
        <w:t>DiFiore v. CSL Behring, LLC</w:t>
      </w:r>
      <w:r w:rsidRPr="00996835">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996835">
        <w:rPr>
          <w:i/>
          <w:sz w:val="24"/>
          <w:szCs w:val="24"/>
        </w:rPr>
        <w:t>Nassar</w:t>
      </w:r>
      <w:r w:rsidRPr="00996835">
        <w:rPr>
          <w:sz w:val="24"/>
          <w:szCs w:val="24"/>
        </w:rPr>
        <w:t xml:space="preserve"> and </w:t>
      </w:r>
      <w:r w:rsidRPr="00996835">
        <w:rPr>
          <w:i/>
          <w:sz w:val="24"/>
          <w:szCs w:val="24"/>
        </w:rPr>
        <w:t>Gross</w:t>
      </w:r>
      <w:r w:rsidRPr="00996835">
        <w:rPr>
          <w:sz w:val="24"/>
          <w:szCs w:val="24"/>
        </w:rPr>
        <w:t>”).</w:t>
      </w:r>
    </w:p>
  </w:footnote>
  <w:footnote w:id="21">
    <w:p w14:paraId="3FEB10AA" w14:textId="77777777"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 w:id="22">
    <w:p w14:paraId="37EB1A4E" w14:textId="1C066FC3" w:rsidR="002A050D" w:rsidRDefault="002A050D">
      <w:pPr>
        <w:pStyle w:val="FootnoteText"/>
      </w:pPr>
      <w:r>
        <w:rPr>
          <w:rStyle w:val="FootnoteReference"/>
        </w:rPr>
        <w:footnoteRef/>
      </w:r>
      <w:r>
        <w:t xml:space="preserve"> </w:t>
      </w:r>
      <w:r w:rsidRPr="002A050D">
        <w:rPr>
          <w:i/>
          <w:iCs/>
          <w:sz w:val="24"/>
          <w:szCs w:val="24"/>
        </w:rPr>
        <w:t>Cf. Marrow v. Allstate Sec. &amp; Investigative Services, Inc.</w:t>
      </w:r>
      <w:r w:rsidRPr="002A050D">
        <w:rPr>
          <w:sz w:val="24"/>
          <w:szCs w:val="24"/>
        </w:rPr>
        <w:t>, 167 F.</w:t>
      </w:r>
      <w:r w:rsidR="00277EEB">
        <w:rPr>
          <w:sz w:val="24"/>
          <w:szCs w:val="24"/>
        </w:rPr>
        <w:t xml:space="preserve"> </w:t>
      </w:r>
      <w:r w:rsidRPr="002A050D">
        <w:rPr>
          <w:sz w:val="24"/>
          <w:szCs w:val="24"/>
        </w:rPr>
        <w:t>Supp.</w:t>
      </w:r>
      <w:r w:rsidR="009775CE">
        <w:rPr>
          <w:sz w:val="24"/>
          <w:szCs w:val="24"/>
        </w:rPr>
        <w:t xml:space="preserve"> </w:t>
      </w:r>
      <w:r w:rsidRPr="002A050D">
        <w:rPr>
          <w:sz w:val="24"/>
          <w:szCs w:val="24"/>
        </w:rPr>
        <w:t>2d 838, 841 (E</w:t>
      </w:r>
      <w:r w:rsidR="00064682">
        <w:rPr>
          <w:sz w:val="24"/>
          <w:szCs w:val="24"/>
        </w:rPr>
        <w:t>.D. Pa.</w:t>
      </w:r>
      <w:r w:rsidRPr="002A050D">
        <w:rPr>
          <w:sz w:val="24"/>
          <w:szCs w:val="24"/>
        </w:rPr>
        <w:t xml:space="preserve"> 2001) (holding that punitive damages are available for claims of retaliation under the Equal Pay Act and Fair Labor Standards Act, and distinguishing ADEA actions, where punitive damages are not available for any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375" w14:textId="77777777" w:rsidR="00EB594F" w:rsidRDefault="00EB59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4CD5" w14:textId="77777777"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14:paraId="268B499E" w14:textId="77777777" w:rsidR="00152686" w:rsidRDefault="00152686" w:rsidP="00F90ED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EE48"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14:paraId="2D1B31D3" w14:textId="77777777" w:rsidR="001B779D" w:rsidRDefault="001B779D" w:rsidP="00F90ED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A23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14:paraId="4C42FFF3" w14:textId="77777777" w:rsidR="001B779D" w:rsidRDefault="001B779D" w:rsidP="00F90ED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3DB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14:paraId="7A3FB62B" w14:textId="77777777" w:rsidR="001B779D" w:rsidRDefault="001B779D" w:rsidP="00F90ED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668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14:paraId="5366331C" w14:textId="77777777" w:rsidR="001B779D" w:rsidRDefault="001B779D" w:rsidP="00F90ED5">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283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14:paraId="28CCF12A" w14:textId="77777777" w:rsidR="001B779D" w:rsidRDefault="001B779D" w:rsidP="00F90ED5">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E39E"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14:paraId="5145220D" w14:textId="77777777" w:rsidR="001B779D" w:rsidRDefault="001B779D" w:rsidP="00F90ED5">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CB60"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14:paraId="5231059B" w14:textId="77777777" w:rsidR="001B779D" w:rsidRDefault="001B779D" w:rsidP="00F90ED5">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E420" w14:textId="77777777"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14:paraId="74F778F0" w14:textId="77777777" w:rsidR="004C47C9" w:rsidRDefault="004C47C9" w:rsidP="00F90ED5">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E126" w14:textId="77777777"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14:paraId="0FE94161" w14:textId="77777777" w:rsidR="00EA413D" w:rsidRDefault="00EA413D" w:rsidP="00F90E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80B1" w14:textId="77777777" w:rsidR="00EB594F" w:rsidRDefault="00EB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412C" w14:textId="77777777" w:rsidR="00EB594F" w:rsidRDefault="00EB5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8383"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14:paraId="03DAE2B4" w14:textId="77777777" w:rsidR="00F90ED5" w:rsidRDefault="00F90ED5" w:rsidP="00F90ED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BEE4"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14:paraId="33A0F696" w14:textId="77777777" w:rsidR="00F90ED5" w:rsidRDefault="00F90ED5" w:rsidP="00F90E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5171" w14:textId="77777777"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14:paraId="03B5129A" w14:textId="77777777" w:rsidR="00B30B94" w:rsidRDefault="00B30B94" w:rsidP="00F90ED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5E63"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14:paraId="0455D98E" w14:textId="77777777" w:rsidR="00B30B94" w:rsidRDefault="00B30B94" w:rsidP="00F90ED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3027"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14:paraId="009502D7" w14:textId="77777777" w:rsidR="00B30B94" w:rsidRDefault="00B30B94" w:rsidP="00F90ED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A7EF"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14:paraId="1F4C2CE8" w14:textId="77777777" w:rsidR="00B30B94" w:rsidRDefault="00B30B94" w:rsidP="00F90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05"/>
    <w:rsid w:val="00002A9B"/>
    <w:rsid w:val="00046780"/>
    <w:rsid w:val="00063536"/>
    <w:rsid w:val="00064682"/>
    <w:rsid w:val="0007275D"/>
    <w:rsid w:val="0007379C"/>
    <w:rsid w:val="00075327"/>
    <w:rsid w:val="000800DC"/>
    <w:rsid w:val="00080E30"/>
    <w:rsid w:val="00083505"/>
    <w:rsid w:val="000B0338"/>
    <w:rsid w:val="000F2ECD"/>
    <w:rsid w:val="000F44F9"/>
    <w:rsid w:val="00105A45"/>
    <w:rsid w:val="00145AFE"/>
    <w:rsid w:val="00152686"/>
    <w:rsid w:val="00155F66"/>
    <w:rsid w:val="00161820"/>
    <w:rsid w:val="00187F76"/>
    <w:rsid w:val="00192E38"/>
    <w:rsid w:val="001A1A08"/>
    <w:rsid w:val="001B779D"/>
    <w:rsid w:val="001C5978"/>
    <w:rsid w:val="001E5C40"/>
    <w:rsid w:val="001F2134"/>
    <w:rsid w:val="0022199C"/>
    <w:rsid w:val="0022228F"/>
    <w:rsid w:val="00244745"/>
    <w:rsid w:val="00244B4B"/>
    <w:rsid w:val="0025075D"/>
    <w:rsid w:val="00256591"/>
    <w:rsid w:val="0027038B"/>
    <w:rsid w:val="00273AF6"/>
    <w:rsid w:val="00273EC3"/>
    <w:rsid w:val="00277EEB"/>
    <w:rsid w:val="00281AFD"/>
    <w:rsid w:val="00285621"/>
    <w:rsid w:val="002869CB"/>
    <w:rsid w:val="002A050D"/>
    <w:rsid w:val="002A70D7"/>
    <w:rsid w:val="002B6809"/>
    <w:rsid w:val="002E7815"/>
    <w:rsid w:val="00301EA4"/>
    <w:rsid w:val="0030621D"/>
    <w:rsid w:val="00315172"/>
    <w:rsid w:val="00345AA3"/>
    <w:rsid w:val="00351589"/>
    <w:rsid w:val="003912CE"/>
    <w:rsid w:val="0039176A"/>
    <w:rsid w:val="003A318E"/>
    <w:rsid w:val="00434072"/>
    <w:rsid w:val="004361C2"/>
    <w:rsid w:val="004817C7"/>
    <w:rsid w:val="0048254A"/>
    <w:rsid w:val="004A1C6E"/>
    <w:rsid w:val="004C0671"/>
    <w:rsid w:val="004C47C9"/>
    <w:rsid w:val="004C56AD"/>
    <w:rsid w:val="00500592"/>
    <w:rsid w:val="005147B5"/>
    <w:rsid w:val="00537019"/>
    <w:rsid w:val="00543005"/>
    <w:rsid w:val="00545119"/>
    <w:rsid w:val="00567A0E"/>
    <w:rsid w:val="00570D6B"/>
    <w:rsid w:val="005A1BE1"/>
    <w:rsid w:val="005A5175"/>
    <w:rsid w:val="005A6662"/>
    <w:rsid w:val="005E027F"/>
    <w:rsid w:val="005E6FA6"/>
    <w:rsid w:val="00601AAD"/>
    <w:rsid w:val="006269A1"/>
    <w:rsid w:val="00632211"/>
    <w:rsid w:val="00633254"/>
    <w:rsid w:val="00665E46"/>
    <w:rsid w:val="006A66CF"/>
    <w:rsid w:val="006B36C0"/>
    <w:rsid w:val="006B7603"/>
    <w:rsid w:val="00710965"/>
    <w:rsid w:val="007411A5"/>
    <w:rsid w:val="00746BE7"/>
    <w:rsid w:val="00756103"/>
    <w:rsid w:val="007565FC"/>
    <w:rsid w:val="00782D48"/>
    <w:rsid w:val="00787F15"/>
    <w:rsid w:val="007B1B3C"/>
    <w:rsid w:val="007B48A3"/>
    <w:rsid w:val="00800437"/>
    <w:rsid w:val="00861036"/>
    <w:rsid w:val="00872190"/>
    <w:rsid w:val="008A1B1D"/>
    <w:rsid w:val="008C0E43"/>
    <w:rsid w:val="008D3ECC"/>
    <w:rsid w:val="008F0095"/>
    <w:rsid w:val="008F1CA0"/>
    <w:rsid w:val="008F6986"/>
    <w:rsid w:val="009028DC"/>
    <w:rsid w:val="00912E9E"/>
    <w:rsid w:val="00917449"/>
    <w:rsid w:val="009638C4"/>
    <w:rsid w:val="009762D9"/>
    <w:rsid w:val="0097690E"/>
    <w:rsid w:val="009775CE"/>
    <w:rsid w:val="00983F47"/>
    <w:rsid w:val="00987D7D"/>
    <w:rsid w:val="00996835"/>
    <w:rsid w:val="00A232F6"/>
    <w:rsid w:val="00A40F99"/>
    <w:rsid w:val="00A53D1F"/>
    <w:rsid w:val="00A63BBB"/>
    <w:rsid w:val="00AA5C6E"/>
    <w:rsid w:val="00AD6ECA"/>
    <w:rsid w:val="00AE246E"/>
    <w:rsid w:val="00AF4A67"/>
    <w:rsid w:val="00B12011"/>
    <w:rsid w:val="00B2348C"/>
    <w:rsid w:val="00B30B94"/>
    <w:rsid w:val="00B4446C"/>
    <w:rsid w:val="00B56146"/>
    <w:rsid w:val="00B63BB1"/>
    <w:rsid w:val="00B75159"/>
    <w:rsid w:val="00BA5BAC"/>
    <w:rsid w:val="00BA6422"/>
    <w:rsid w:val="00BB2224"/>
    <w:rsid w:val="00BC0F77"/>
    <w:rsid w:val="00BC3624"/>
    <w:rsid w:val="00BC66D8"/>
    <w:rsid w:val="00BC7C5F"/>
    <w:rsid w:val="00BE69F4"/>
    <w:rsid w:val="00C717A5"/>
    <w:rsid w:val="00C94DA4"/>
    <w:rsid w:val="00CE67DC"/>
    <w:rsid w:val="00CF009D"/>
    <w:rsid w:val="00CF3228"/>
    <w:rsid w:val="00D1330C"/>
    <w:rsid w:val="00D43E8A"/>
    <w:rsid w:val="00E13696"/>
    <w:rsid w:val="00E14BD9"/>
    <w:rsid w:val="00E23C8A"/>
    <w:rsid w:val="00E32C19"/>
    <w:rsid w:val="00E45B11"/>
    <w:rsid w:val="00E6186B"/>
    <w:rsid w:val="00E8434B"/>
    <w:rsid w:val="00E87D09"/>
    <w:rsid w:val="00EA413D"/>
    <w:rsid w:val="00EA7858"/>
    <w:rsid w:val="00EB3005"/>
    <w:rsid w:val="00EB594F"/>
    <w:rsid w:val="00EB5D76"/>
    <w:rsid w:val="00EB624D"/>
    <w:rsid w:val="00EC1F12"/>
    <w:rsid w:val="00ED1A69"/>
    <w:rsid w:val="00EE6890"/>
    <w:rsid w:val="00F10EDC"/>
    <w:rsid w:val="00F16917"/>
    <w:rsid w:val="00F60014"/>
    <w:rsid w:val="00F730B6"/>
    <w:rsid w:val="00F90ED5"/>
    <w:rsid w:val="00FA53E7"/>
    <w:rsid w:val="00FC2FF8"/>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75B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 w:type="paragraph" w:styleId="BalloonText">
    <w:name w:val="Balloon Text"/>
    <w:basedOn w:val="Normal"/>
    <w:link w:val="BalloonTextChar"/>
    <w:uiPriority w:val="99"/>
    <w:semiHidden/>
    <w:unhideWhenUsed/>
    <w:rsid w:val="0006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671F-1639-4C2C-9499-1BB7C477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15415</Words>
  <Characters>87866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2018-05-23T14:19:00Z</dcterms:created>
  <dcterms:modified xsi:type="dcterms:W3CDTF">2018-11-21T14:17:00Z</dcterms:modified>
</cp:coreProperties>
</file>