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EBD9" w14:textId="112180FB"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Instructions For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4F1BDFD9" w:rsidR="00252756" w:rsidRPr="00C0198E" w:rsidRDefault="00252756" w:rsidP="009C0DEC">
      <w:pPr>
        <w:widowControl w:val="0"/>
        <w:spacing w:after="240"/>
      </w:pPr>
      <w:r w:rsidRPr="00C0198E">
        <w:tab/>
        <w:t xml:space="preserve">6.1.1   </w:t>
      </w:r>
      <w:r w:rsidR="00770DA8">
        <w:t>[</w:t>
      </w:r>
      <w:r w:rsidR="00770DA8" w:rsidRPr="001D3739">
        <w:rPr>
          <w:i/>
          <w:iCs/>
        </w:rPr>
        <w:t>Deleted</w:t>
      </w:r>
      <w:r w:rsidR="00770DA8">
        <w:t>]</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lastRenderedPageBreak/>
        <w:tab/>
        <w:t>6.4.2   Punitive Damages</w:t>
      </w:r>
    </w:p>
    <w:p w14:paraId="5A49AE2A" w14:textId="77777777" w:rsidR="00252756" w:rsidRPr="00C0198E" w:rsidRDefault="00252756" w:rsidP="009C0DEC">
      <w:pPr>
        <w:widowControl w:val="0"/>
        <w:spacing w:after="240"/>
      </w:pPr>
      <w:r w:rsidRPr="00C0198E">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______  has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  race.</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0" w:name="FN;B5"/>
      <w:bookmarkStart w:id="1" w:name="FN_59_B5"/>
      <w:bookmarkEnd w:id="0"/>
      <w:bookmarkEnd w:id="1"/>
      <w:r w:rsidRPr="00C0198E">
        <w:t xml:space="preserve">It prohibits racial discrimination against whites as well as nonwhites. </w:t>
      </w:r>
      <w:bookmarkStart w:id="2" w:name="FN;B6"/>
      <w:bookmarkStart w:id="3" w:name="FN_59_B6"/>
      <w:bookmarkEnd w:id="2"/>
      <w:bookmarkEnd w:id="3"/>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4" w:name="FN;B7"/>
      <w:bookmarkStart w:id="5" w:name="FN_59_B7"/>
      <w:bookmarkEnd w:id="4"/>
      <w:bookmarkEnd w:id="5"/>
      <w:r w:rsidRPr="00C0198E">
        <w:t>427 U.S. 160 (1976),  the Supreme Court held that Section 1981 regulated private conduct as well as  governmental action.</w:t>
      </w:r>
      <w:r w:rsidRPr="00C0198E">
        <w:rPr>
          <w:rStyle w:val="FootnoteReference"/>
        </w:rPr>
        <w:footnoteReference w:id="2"/>
      </w:r>
      <w:r w:rsidRPr="00C0198E">
        <w:t xml:space="preserve"> </w:t>
      </w:r>
      <w:bookmarkStart w:id="6" w:name="FN;B8"/>
      <w:bookmarkStart w:id="7" w:name="FN_59_B8"/>
      <w:bookmarkEnd w:id="6"/>
      <w:bookmarkEnd w:id="7"/>
    </w:p>
    <w:p w14:paraId="4D48D6D1" w14:textId="10CA6BF1"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8" w:name="FN;B9"/>
      <w:bookmarkStart w:id="9" w:name="FN_59_B9"/>
      <w:bookmarkEnd w:id="8"/>
      <w:bookmarkEnd w:id="9"/>
      <w:r w:rsidRPr="00C0198E">
        <w:t xml:space="preserve">491 U.S. 164 (1989), the Supreme Court restricted the application of Section 1981 to claims arising out of the formation of the contract. </w:t>
      </w:r>
      <w:bookmarkStart w:id="10" w:name="FN;B10"/>
      <w:bookmarkStart w:id="11" w:name="FN_59_B10"/>
      <w:bookmarkEnd w:id="10"/>
      <w:bookmarkEnd w:id="11"/>
      <w:r w:rsidRPr="00C0198E">
        <w:t xml:space="preserve"> But the Civil </w:t>
      </w:r>
      <w:r w:rsidRPr="00C0198E">
        <w:lastRenderedPageBreak/>
        <w:t xml:space="preserve">Rights Act of 1991 </w:t>
      </w:r>
      <w:bookmarkStart w:id="12" w:name="FN;B11"/>
      <w:bookmarkStart w:id="13" w:name="FN_59_B11"/>
      <w:bookmarkEnd w:id="12"/>
      <w:bookmarkEnd w:id="13"/>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modification and termination of contracts, and the enjoyment of all benefits, privileges, terms, and conditions of the contractual relationship." </w:t>
      </w:r>
      <w:bookmarkStart w:id="14" w:name="FN;B12"/>
      <w:bookmarkStart w:id="15" w:name="FN_59_B12"/>
      <w:bookmarkEnd w:id="14"/>
      <w:bookmarkEnd w:id="15"/>
      <w:r w:rsidRPr="00C0198E">
        <w:t>42 U.S.C. § 1981(b).  “[A] plaintiff cannot state a claim under § 1981 unless he has (or would have) rights under the existing (or proposed) contract that he wishes ‘to make and enforce.</w:t>
      </w:r>
      <w:r w:rsidR="00316EB8">
        <w:t>’ ”</w:t>
      </w:r>
      <w:r w:rsidRPr="00C0198E">
        <w:t xml:space="preserv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3"/>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w:t>
      </w:r>
      <w:r w:rsidRPr="002A4E46">
        <w:rPr>
          <w:i/>
        </w:rPr>
        <w:t>See</w:t>
      </w:r>
      <w:r w:rsidRPr="00C0198E">
        <w:t xml:space="preserv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9B417D1" w:rsidR="0060368F" w:rsidRPr="00C0198E" w:rsidRDefault="00252756" w:rsidP="00F50C3E">
      <w:pPr>
        <w:widowControl w:val="0"/>
        <w:spacing w:after="240"/>
        <w:ind w:right="630" w:firstLine="720"/>
        <w:jc w:val="both"/>
      </w:pPr>
      <w:r w:rsidRPr="00C0198E">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w:t>
      </w:r>
      <w:r w:rsidRPr="00C0198E">
        <w:lastRenderedPageBreak/>
        <w:t xml:space="preserve">broad description of the issue suggests that its recognition of a “ministerial exception” may apply equally to wrongful-termination claims </w:t>
      </w:r>
      <w:r w:rsidR="002A3B6F">
        <w:t xml:space="preserve">and discriminatory refusals to hire </w:t>
      </w:r>
      <w:r w:rsidRPr="00C0198E">
        <w:t xml:space="preserve">brought under other federal anti-discrimination statutes.  </w:t>
      </w:r>
      <w:r w:rsidRPr="00C0198E">
        <w:rPr>
          <w:i/>
        </w:rPr>
        <w:t>See id</w:t>
      </w:r>
      <w:r w:rsidRPr="00C0198E">
        <w:t xml:space="preserve">. at 710 (“The case before us is an employment discrimination suit brought on behalf of a minister, challenging her church's decision to fire her…. [T]he ministerial exception bars such a suit.”).  </w:t>
      </w:r>
      <w:r w:rsidR="002A3B6F" w:rsidRPr="00ED2717">
        <w:rPr>
          <w:i/>
          <w:szCs w:val="24"/>
        </w:rPr>
        <w:t>Our Lady of Guadalupe School v. Morrissey-</w:t>
      </w:r>
      <w:r w:rsidR="002A3B6F" w:rsidRPr="001D3739">
        <w:rPr>
          <w:i/>
          <w:szCs w:val="24"/>
        </w:rPr>
        <w:t>Berru</w:t>
      </w:r>
      <w:r w:rsidR="002A3B6F" w:rsidRPr="00F50C3E">
        <w:rPr>
          <w:i/>
          <w:szCs w:val="24"/>
        </w:rPr>
        <w:t xml:space="preserve">, </w:t>
      </w:r>
      <w:r w:rsidR="002A3B6F" w:rsidRPr="00F50C3E">
        <w:rPr>
          <w:szCs w:val="24"/>
        </w:rPr>
        <w:t>140 S. Ct. 2049 (</w:t>
      </w:r>
      <w:r w:rsidR="002A3B6F" w:rsidRPr="001D3739">
        <w:rPr>
          <w:szCs w:val="24"/>
        </w:rPr>
        <w:t>2020), applied the exception to discrimination claims under both the Age Discri</w:t>
      </w:r>
      <w:r w:rsidR="002A3B6F" w:rsidRPr="00F50C3E">
        <w:rPr>
          <w:szCs w:val="24"/>
        </w:rPr>
        <w:t xml:space="preserve">mination in Employment Act and Americans with Disabilities Act, and there is little doubt that the exception applies to Section 1981 and Title VII. Further, while the discharge in </w:t>
      </w:r>
      <w:r w:rsidR="002A3B6F" w:rsidRPr="00F50C3E">
        <w:rPr>
          <w:i/>
          <w:szCs w:val="24"/>
        </w:rPr>
        <w:t>Hosanna-Tabor</w:t>
      </w:r>
      <w:r w:rsidR="002A3B6F" w:rsidRPr="00F50C3E">
        <w:rPr>
          <w:szCs w:val="24"/>
        </w:rPr>
        <w:t xml:space="preserve"> implicated religious principles of the employer, the schools in </w:t>
      </w:r>
      <w:r w:rsidR="002A3B6F" w:rsidRPr="00F50C3E">
        <w:rPr>
          <w:i/>
          <w:szCs w:val="24"/>
        </w:rPr>
        <w:t>Our Lady of Guadalupe</w:t>
      </w:r>
      <w:r w:rsidR="002A3B6F" w:rsidRPr="00F50C3E">
        <w:rPr>
          <w:szCs w:val="24"/>
        </w:rPr>
        <w:t xml:space="preserve"> were held entitled to the protection of the exception even though the decisions challenged there were said to be based on secular concerns. </w:t>
      </w:r>
      <w:r w:rsidR="002A3B6F" w:rsidRPr="00F50C3E">
        <w:rPr>
          <w:i/>
          <w:szCs w:val="24"/>
        </w:rPr>
        <w:t>Id</w:t>
      </w:r>
      <w:r w:rsidR="002A3B6F" w:rsidRPr="00F50C3E">
        <w:rPr>
          <w:szCs w:val="24"/>
        </w:rPr>
        <w:t>. at 2058 (“The school maintains that it based its decisions on classroom performance—specifically, Morrissey-</w:t>
      </w:r>
      <w:r w:rsidR="002A3B6F" w:rsidRPr="00F50C3E">
        <w:rPr>
          <w:rStyle w:val="ssprior"/>
          <w:bCs/>
          <w:szCs w:val="24"/>
          <w:bdr w:val="none" w:sz="0" w:space="0" w:color="auto" w:frame="1"/>
        </w:rPr>
        <w:t>Berru</w:t>
      </w:r>
      <w:r w:rsidR="002A3B6F" w:rsidRPr="00F50C3E">
        <w:rPr>
          <w:szCs w:val="24"/>
        </w:rPr>
        <w:t xml:space="preserve">’s difficulty in administering a new reading and writing program, which had been introduced by the school’s new principal as part of an effort to maintain accreditation and improve the school’s academic program.”); </w:t>
      </w:r>
      <w:r w:rsidR="002A3B6F" w:rsidRPr="00F50C3E">
        <w:rPr>
          <w:i/>
          <w:szCs w:val="24"/>
        </w:rPr>
        <w:t>i</w:t>
      </w:r>
      <w:r w:rsidR="002A3B6F" w:rsidRPr="00F50C3E">
        <w:rPr>
          <w:rFonts w:eastAsia="Times"/>
          <w:i/>
          <w:szCs w:val="24"/>
        </w:rPr>
        <w:t>d</w:t>
      </w:r>
      <w:r w:rsidR="002A3B6F" w:rsidRPr="00F50C3E">
        <w:rPr>
          <w:rFonts w:eastAsia="Times"/>
          <w:szCs w:val="24"/>
        </w:rPr>
        <w:t>. at 2059 (“</w:t>
      </w:r>
      <w:r w:rsidR="002A3B6F" w:rsidRPr="00F50C3E">
        <w:rPr>
          <w:szCs w:val="24"/>
        </w:rPr>
        <w:t xml:space="preserve">The school maintains that the decision was based on [Biel’s] poor performance—namely, a failure to observe the planned curriculum and keep an orderly classroom.”). </w:t>
      </w:r>
      <w:r w:rsidRPr="001D3739">
        <w:t xml:space="preserve">For further discussion of the ministerial </w:t>
      </w:r>
      <w:r w:rsidRPr="00C0198E">
        <w:t>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0"/>
          <w:pgSz w:w="12240" w:h="15840"/>
          <w:pgMar w:top="1920" w:right="1440" w:bottom="1920" w:left="1440" w:header="900" w:footer="1440" w:gutter="0"/>
          <w:lnNumType w:countBy="1" w:distance="576" w:restart="newSection"/>
          <w:cols w:space="720"/>
          <w:docGrid w:linePitch="326"/>
        </w:sectPr>
      </w:pPr>
    </w:p>
    <w:p w14:paraId="48A75B1D" w14:textId="65AE2515" w:rsidR="00BF603A" w:rsidRPr="00C0198E" w:rsidRDefault="00BF603A" w:rsidP="009C0DEC">
      <w:pPr>
        <w:widowControl w:val="0"/>
        <w:spacing w:after="240"/>
        <w:jc w:val="both"/>
      </w:pPr>
    </w:p>
    <w:p w14:paraId="256381F6" w14:textId="77777777" w:rsidR="008172AD" w:rsidRPr="00C0198E" w:rsidRDefault="008172AD" w:rsidP="009C0DEC">
      <w:pPr>
        <w:widowControl w:val="0"/>
        <w:spacing w:after="240"/>
        <w:jc w:val="both"/>
        <w:sectPr w:rsidR="008172AD" w:rsidRPr="00C0198E" w:rsidSect="00096944">
          <w:headerReference w:type="default" r:id="rId11"/>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0A3FC651" w14:textId="77C651FF" w:rsidR="00252756" w:rsidRPr="00C0198E" w:rsidRDefault="00252756" w:rsidP="009C0DEC">
      <w:pPr>
        <w:widowControl w:val="0"/>
        <w:spacing w:after="240"/>
        <w:jc w:val="both"/>
      </w:pPr>
      <w:r w:rsidRPr="00C0198E">
        <w:tab/>
        <w:t>In this case [plaintiff] is alleging that</w:t>
      </w:r>
      <w:r w:rsidR="006D6CAD">
        <w:t xml:space="preserve"> [defendant]</w:t>
      </w:r>
      <w:r w:rsidRPr="00C0198E">
        <w:t xml:space="preserve">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554415B1" w:rsidR="00252756" w:rsidRPr="00C0198E" w:rsidRDefault="00252756" w:rsidP="009C0DEC">
      <w:pPr>
        <w:widowControl w:val="0"/>
        <w:spacing w:after="240"/>
        <w:ind w:left="720"/>
        <w:jc w:val="both"/>
      </w:pPr>
      <w:r w:rsidRPr="00C0198E">
        <w:t>First: [Defendant]</w:t>
      </w:r>
      <w:r w:rsidR="00EF0DC0">
        <w:t xml:space="preserve"> </w:t>
      </w:r>
      <w:r w:rsidR="00EF0DC0" w:rsidRPr="00EF0DC0">
        <w:rPr>
          <w:szCs w:val="24"/>
        </w:rPr>
        <w:t>[failed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Pr="00C0198E">
        <w:t>; and</w:t>
      </w:r>
    </w:p>
    <w:p w14:paraId="299FC187" w14:textId="3F7160D1" w:rsidR="00252756" w:rsidRPr="00C0198E" w:rsidRDefault="00252756" w:rsidP="009C0DEC">
      <w:pPr>
        <w:widowControl w:val="0"/>
        <w:spacing w:after="240"/>
        <w:ind w:left="720"/>
        <w:jc w:val="both"/>
      </w:pPr>
      <w:r w:rsidRPr="00C0198E">
        <w:t>Second: [Plaintiff’s] race was a det</w:t>
      </w:r>
      <w:r w:rsidR="00EF0DC0">
        <w:t>erminative factor in [defendant’</w:t>
      </w:r>
      <w:r w:rsidRPr="00C0198E">
        <w: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0FAAC5D7" w:rsidR="00252756" w:rsidRPr="00C0198E" w:rsidRDefault="00252756" w:rsidP="009C0DEC">
      <w:pPr>
        <w:widowControl w:val="0"/>
        <w:spacing w:after="240"/>
        <w:jc w:val="both"/>
      </w:pPr>
      <w:r w:rsidRPr="00C0198E">
        <w:tab/>
      </w:r>
      <w:bookmarkStart w:id="16" w:name="Pretext_language_start"/>
      <w:r w:rsidR="006D6CAD" w:rsidRPr="006D6CAD">
        <w:rPr>
          <w:szCs w:val="24"/>
        </w:rPr>
        <w:t xml:space="preserve">You should weigh </w:t>
      </w:r>
      <w:bookmarkEnd w:id="16"/>
      <w:r w:rsidR="006D6CAD" w:rsidRPr="006D6CAD">
        <w:rPr>
          <w:szCs w:val="24"/>
        </w:rPr>
        <w:t>all the evidence received in the case in deciding whether [defendant] intentionally discriminated against [plaintiff]</w:t>
      </w:r>
      <w:r w:rsidR="006D6CAD" w:rsidRPr="006D6CAD">
        <w:t>.</w:t>
      </w:r>
      <w:r w:rsidR="006D6CAD" w:rsidRPr="00C0198E">
        <w:t xml:space="preserve"> </w:t>
      </w:r>
      <w:r w:rsidRPr="00C0198E">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w:t>
      </w:r>
      <w:r w:rsidR="006D6CAD">
        <w:t>r evidence.]</w:t>
      </w:r>
    </w:p>
    <w:p w14:paraId="24242F92" w14:textId="3740A2DD" w:rsidR="00252756" w:rsidRPr="00C0198E" w:rsidRDefault="00252756" w:rsidP="009C0DEC">
      <w:pPr>
        <w:widowControl w:val="0"/>
        <w:spacing w:after="240"/>
        <w:jc w:val="both"/>
      </w:pPr>
      <w:r w:rsidRPr="00C0198E">
        <w:tab/>
        <w:t xml:space="preserve">[Defendant] has given a nondiscriminatory reason for its [describe defendant’s action]. </w:t>
      </w:r>
      <w:r w:rsidR="00471D66" w:rsidRPr="00471D66">
        <w:rPr>
          <w:szCs w:val="24"/>
        </w:rPr>
        <w:t>If you believe [defendant’s] stated reason and if you find that the [adverse employment action] would have occurred because of defendant’s stated reason regardless of [plaintiff’s] race, then you must find for [defendant].</w:t>
      </w:r>
      <w:r w:rsidRPr="00C0198E">
        <w:t xml:space="preserve"> If you disbelieve [defendant’s] </w:t>
      </w:r>
      <w:r w:rsidR="00261905">
        <w:t>stated reason</w:t>
      </w:r>
      <w:r w:rsidRPr="00C0198E">
        <w:t xml:space="preserve"> for its conduct, then you may, but need not, find that [plaintiff] has proved intentional discrimination. In</w:t>
      </w:r>
      <w:r w:rsidR="00860CAC">
        <w:t xml:space="preserve"> determining whether [defendant’</w:t>
      </w:r>
      <w:r w:rsidRPr="00C0198E">
        <w:t xml:space="preserve">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w:t>
      </w:r>
      <w:r w:rsidR="00860CAC">
        <w:t>[plaintiff] has proven that [defendant’</w:t>
      </w:r>
      <w:r w:rsidRPr="00C0198E">
        <w:t>s] reason is merely a cover-up for discrimination.</w:t>
      </w:r>
    </w:p>
    <w:p w14:paraId="1B41C856" w14:textId="0E1D9C49" w:rsidR="00252756" w:rsidRPr="00C0198E" w:rsidRDefault="00252756" w:rsidP="009C0DEC">
      <w:pPr>
        <w:widowControl w:val="0"/>
        <w:spacing w:after="240"/>
        <w:jc w:val="both"/>
      </w:pPr>
      <w:r w:rsidRPr="00C0198E">
        <w:lastRenderedPageBreak/>
        <w:tab/>
        <w:t>Ultimately, you must decide wheth</w:t>
      </w:r>
      <w:r w:rsidR="006D46A1" w:rsidRPr="00C0198E">
        <w:t xml:space="preserve">er [plaintiff] has proven that </w:t>
      </w:r>
      <w:r w:rsidRPr="00C0198E">
        <w:t xml:space="preserve">[his/her] race was a  determinative factor in [defendant’s employment decision.] “Determinative factor” means that if not for [plaintiff 's]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t>Comment</w:t>
      </w:r>
    </w:p>
    <w:p w14:paraId="0FB1D9FE" w14:textId="2AD2D795" w:rsidR="00252756" w:rsidRDefault="00252756" w:rsidP="009C0DEC">
      <w:pPr>
        <w:widowControl w:val="0"/>
        <w:spacing w:after="240"/>
        <w:jc w:val="both"/>
      </w:pPr>
      <w:r w:rsidRPr="00C0198E">
        <w:tab/>
      </w:r>
      <w:r w:rsidR="00540FAB">
        <w:t>Instruction 6.1.2</w:t>
      </w:r>
      <w:r w:rsidRPr="00C0198E">
        <w:t xml:space="preserve"> is substantively identical to the pretext instruction given for Title VII cases.  </w:t>
      </w:r>
      <w:r w:rsidRPr="002A4E46">
        <w:rPr>
          <w:i/>
        </w:rPr>
        <w:t>See</w:t>
      </w:r>
      <w:r w:rsidRPr="00C0198E">
        <w:t xml:space="preserve"> Instruction 5.1.2.</w:t>
      </w:r>
      <w:r w:rsidRPr="00C0198E">
        <w:rPr>
          <w:rStyle w:val="FootnoteReference"/>
        </w:rPr>
        <w:footnoteReference w:id="4"/>
      </w:r>
      <w:r w:rsidRPr="00C0198E">
        <w:t xml:space="preserve">  Where the plaintiff seeks recovery under both Title VII and Section 1981, this instruction may be given for both causes of action. </w:t>
      </w:r>
    </w:p>
    <w:p w14:paraId="4F748318" w14:textId="07FF5F1B" w:rsidR="00162130" w:rsidRDefault="00162130" w:rsidP="009C0DEC">
      <w:pPr>
        <w:widowControl w:val="0"/>
        <w:spacing w:after="240"/>
        <w:jc w:val="both"/>
        <w:rPr>
          <w:i/>
          <w:iCs/>
        </w:rPr>
      </w:pPr>
      <w:r w:rsidRPr="001D3739">
        <w:rPr>
          <w:i/>
          <w:iCs/>
        </w:rPr>
        <w:t>Causation</w:t>
      </w:r>
    </w:p>
    <w:p w14:paraId="51237030" w14:textId="77777777" w:rsidR="00162130" w:rsidRPr="006C7D9E" w:rsidRDefault="00162130" w:rsidP="001D3739">
      <w:pPr>
        <w:spacing w:after="240"/>
        <w:ind w:right="90" w:firstLine="720"/>
        <w:jc w:val="both"/>
        <w:rPr>
          <w:szCs w:val="24"/>
        </w:rPr>
      </w:pPr>
      <w:r w:rsidRPr="006C7D9E">
        <w:rPr>
          <w:szCs w:val="24"/>
        </w:rPr>
        <w:t xml:space="preserve">This instruction is framed in terms of “determinative factor” causation, which is typically used synonymously with “but-for” causation. That is clearly correct in light of the Supreme Court’s decision in </w:t>
      </w:r>
      <w:r w:rsidRPr="006C7D9E">
        <w:rPr>
          <w:i/>
          <w:szCs w:val="24"/>
        </w:rPr>
        <w:t>Comcast Corp. v. Nat'l Ass'n of African American-Owned Media</w:t>
      </w:r>
      <w:r w:rsidRPr="006C7D9E">
        <w:rPr>
          <w:szCs w:val="24"/>
        </w:rPr>
        <w:t xml:space="preserve">, 140 S. Ct. 1009 (2020), which held that proving a violation of Section 1981 required plaintiff to show that the adverse action would not have occurred but for the racial motivation: “To prevail, a plaintiff must initially plead and ultimately prove that, but for race, it would not have suffered the loss of a legally protected right.” </w:t>
      </w:r>
      <w:r w:rsidRPr="006C7D9E">
        <w:rPr>
          <w:i/>
          <w:szCs w:val="24"/>
        </w:rPr>
        <w:t>Id.</w:t>
      </w:r>
      <w:r w:rsidRPr="006C7D9E">
        <w:rPr>
          <w:szCs w:val="24"/>
        </w:rPr>
        <w:t xml:space="preserve"> at 1019. </w:t>
      </w:r>
      <w:r w:rsidRPr="006C7D9E">
        <w:rPr>
          <w:i/>
          <w:iCs/>
          <w:szCs w:val="24"/>
        </w:rPr>
        <w:t>See also</w:t>
      </w:r>
      <w:r w:rsidRPr="006C7D9E">
        <w:rPr>
          <w:szCs w:val="24"/>
        </w:rPr>
        <w:t xml:space="preserve"> </w:t>
      </w:r>
      <w:r w:rsidRPr="006C7D9E">
        <w:rPr>
          <w:i/>
          <w:szCs w:val="24"/>
        </w:rPr>
        <w:t>Gross v. FBL Financial Services, Inc.</w:t>
      </w:r>
      <w:r w:rsidRPr="006C7D9E">
        <w:rPr>
          <w:szCs w:val="24"/>
        </w:rPr>
        <w:t xml:space="preserve">, 557 U.S. 167 (2009) (but-for causation governs ADEA discrimination claims); </w:t>
      </w:r>
      <w:r w:rsidRPr="006C7D9E">
        <w:rPr>
          <w:i/>
          <w:iCs/>
          <w:szCs w:val="24"/>
        </w:rPr>
        <w:t>University of Texas Southwestern Medical Center v. Nassar</w:t>
      </w:r>
      <w:r w:rsidRPr="006C7D9E">
        <w:rPr>
          <w:szCs w:val="24"/>
        </w:rPr>
        <w:t xml:space="preserve">, 133 S. Ct. 2517 (2013) (but-for causation governs Title VII retaliation claims).  </w:t>
      </w:r>
    </w:p>
    <w:p w14:paraId="6AF038D7" w14:textId="46D645A4" w:rsidR="00162130" w:rsidRDefault="00162130" w:rsidP="00162130">
      <w:pPr>
        <w:tabs>
          <w:tab w:val="left" w:pos="8730"/>
        </w:tabs>
        <w:spacing w:after="240"/>
        <w:ind w:right="90" w:firstLine="720"/>
        <w:jc w:val="both"/>
        <w:rPr>
          <w:szCs w:val="24"/>
        </w:rPr>
      </w:pPr>
      <w:r w:rsidRPr="006C7D9E">
        <w:rPr>
          <w:szCs w:val="24"/>
        </w:rPr>
        <w:t xml:space="preserve">This means there is no longer any relevance to a possible distinction between direct and circumstantial evidence of discrimination, which was sometimes used as the dividing line between a mixed-motive instruction and a pretext instruction.  Further, given the but-for standard, there is no longer a place in Section 1981 cases for a “same decision anyway” affirmative defense, either to liability or as a limitation on relief.  </w:t>
      </w:r>
    </w:p>
    <w:p w14:paraId="253A8C22" w14:textId="0CD74AAF" w:rsidR="00162130" w:rsidRPr="001D3739" w:rsidRDefault="00162130" w:rsidP="001D3739">
      <w:pPr>
        <w:tabs>
          <w:tab w:val="left" w:pos="8730"/>
        </w:tabs>
        <w:spacing w:after="240"/>
        <w:ind w:right="90"/>
        <w:jc w:val="both"/>
        <w:rPr>
          <w:i/>
          <w:iCs/>
        </w:rPr>
      </w:pPr>
      <w:r>
        <w:rPr>
          <w:szCs w:val="24"/>
        </w:rPr>
        <w:t>Discriminatory Intent or Motive</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w:t>
      </w:r>
      <w:r w:rsidRPr="00C0198E">
        <w:lastRenderedPageBreak/>
        <w:t xml:space="preserve">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r w:rsidRPr="00C0198E">
        <w:rPr>
          <w:i/>
        </w:rPr>
        <w:t>Stehney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5"/>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Ezold v. Wolf, Block, Schorr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Burdine, </w:t>
      </w:r>
      <w:r w:rsidRPr="00C0198E">
        <w:rPr>
          <w:color w:val="000000"/>
        </w:rPr>
        <w:t xml:space="preserve">450 U.S. 248, 253 (1981). The plaintiff retains the ultimate burden of persuading the jury 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xml:space="preserve">, 100 F.3d 1061, 1066-67 (3d Cir.1996) (en banc). </w:t>
      </w:r>
    </w:p>
    <w:p w14:paraId="7A6C67C9" w14:textId="1CCBEC58" w:rsidR="00252756"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1755C7F6" w14:textId="77777777" w:rsidR="009C34C0" w:rsidRPr="003935FB" w:rsidRDefault="009C34C0" w:rsidP="001D3739">
      <w:pPr>
        <w:widowControl w:val="0"/>
        <w:spacing w:after="240"/>
        <w:jc w:val="both"/>
        <w:rPr>
          <w:szCs w:val="24"/>
        </w:rPr>
      </w:pPr>
      <w:r w:rsidRPr="003935FB">
        <w:rPr>
          <w:i/>
          <w:szCs w:val="24"/>
        </w:rPr>
        <w:t>Animus of Employee Who Was Not the Ultimate Decisionmaker</w:t>
      </w:r>
    </w:p>
    <w:p w14:paraId="50E4EC8D" w14:textId="77777777" w:rsidR="009C34C0" w:rsidRPr="003935FB" w:rsidRDefault="009C34C0" w:rsidP="001D3739">
      <w:pPr>
        <w:widowControl w:val="0"/>
        <w:spacing w:after="240"/>
        <w:jc w:val="both"/>
        <w:rPr>
          <w:szCs w:val="24"/>
        </w:rPr>
      </w:pPr>
      <w:r w:rsidRPr="003935FB">
        <w:rPr>
          <w:szCs w:val="24"/>
        </w:rPr>
        <w:tab/>
        <w:t xml:space="preserve">For a discussion of the Court’s treatment in </w:t>
      </w:r>
      <w:r w:rsidRPr="003935FB">
        <w:rPr>
          <w:i/>
          <w:szCs w:val="24"/>
        </w:rPr>
        <w:t>Staub v. Proctor Hosp.</w:t>
      </w:r>
      <w:r w:rsidRPr="003935FB">
        <w:rPr>
          <w:szCs w:val="24"/>
        </w:rPr>
        <w:t xml:space="preserve">, 131 S. Ct. 1186 (2011), of the animus of an employee who was not the ultimate decisionmaker, see Comment 5.1.7.  </w:t>
      </w:r>
      <w:r w:rsidRPr="003935FB">
        <w:rPr>
          <w:i/>
          <w:szCs w:val="24"/>
        </w:rPr>
        <w:t>Staub</w:t>
      </w:r>
      <w:r w:rsidRPr="003935FB">
        <w:rPr>
          <w:szCs w:val="24"/>
        </w:rPr>
        <w:t xml:space="preserve"> </w:t>
      </w:r>
      <w:r w:rsidRPr="003935FB">
        <w:rPr>
          <w:szCs w:val="24"/>
        </w:rPr>
        <w:lastRenderedPageBreak/>
        <w:t xml:space="preserve">concerned a statute that used the term “motivating factor,” and it is unclear whether the ruling in </w:t>
      </w:r>
      <w:r w:rsidRPr="003935FB">
        <w:rPr>
          <w:i/>
          <w:szCs w:val="24"/>
        </w:rPr>
        <w:t>Staub</w:t>
      </w:r>
      <w:r w:rsidRPr="003935FB">
        <w:rPr>
          <w:szCs w:val="24"/>
        </w:rPr>
        <w:t xml:space="preserve"> would extend to claims under statutes (such as Section 1981) that do use “determinative factor” causation. </w:t>
      </w:r>
    </w:p>
    <w:p w14:paraId="7953C24C" w14:textId="77777777" w:rsidR="009C34C0" w:rsidRPr="00710CF4" w:rsidRDefault="009C34C0" w:rsidP="001D3739">
      <w:pPr>
        <w:widowControl w:val="0"/>
        <w:spacing w:after="240"/>
        <w:ind w:right="540"/>
        <w:jc w:val="both"/>
        <w:rPr>
          <w:szCs w:val="24"/>
        </w:rPr>
      </w:pPr>
      <w:r w:rsidRPr="00710CF4">
        <w:rPr>
          <w:i/>
          <w:szCs w:val="24"/>
        </w:rPr>
        <w:t>Adverse Employment Action</w:t>
      </w:r>
    </w:p>
    <w:p w14:paraId="1D51DF17" w14:textId="77777777" w:rsidR="009C34C0" w:rsidRPr="00710CF4" w:rsidRDefault="009C34C0" w:rsidP="001D3739">
      <w:pPr>
        <w:widowControl w:val="0"/>
        <w:spacing w:after="240"/>
        <w:jc w:val="both"/>
        <w:rPr>
          <w:szCs w:val="24"/>
        </w:rPr>
      </w:pPr>
      <w:r w:rsidRPr="00710CF4">
        <w:rPr>
          <w:szCs w:val="24"/>
        </w:rPr>
        <w:tab/>
        <w:t xml:space="preserve">Section 1981(b) defines “the term ‘make and enforce contracts’ [to] include[] the making, performance, modification, and termination of contracts, and the enjoyment of all benefits, privileges, terms, and conditions of the contractual relationship.”  This statutory definition should shape the “adverse employment action” element of Section 1981 employment discrimination claims.  Although few precedential Third Circuit cases address that element, the Court of Appeals has stated in dictum that “a wide panoply of adverse employment actions may be the basis of employment discrimination suits under Title VII of the Civil Rights Act and 42 U.S.C. § 1981.”  </w:t>
      </w:r>
      <w:r w:rsidRPr="00710CF4">
        <w:rPr>
          <w:i/>
          <w:szCs w:val="24"/>
        </w:rPr>
        <w:t>Clark v. Twp. of Falls</w:t>
      </w:r>
      <w:r w:rsidRPr="00710CF4">
        <w:rPr>
          <w:szCs w:val="24"/>
        </w:rPr>
        <w:t xml:space="preserve">, 890 F.2d 611, 618-19 (3d Cir. 1989).  More recently, non-precedential opinions have treated Section 1981 claims and Title VII claims interchangeably with respect to the adverse employment action element.  </w:t>
      </w:r>
      <w:r w:rsidRPr="00710CF4">
        <w:rPr>
          <w:i/>
          <w:szCs w:val="24"/>
        </w:rPr>
        <w:t>See, e.g</w:t>
      </w:r>
      <w:r w:rsidRPr="00710CF4">
        <w:rPr>
          <w:szCs w:val="24"/>
        </w:rPr>
        <w:t xml:space="preserve">., </w:t>
      </w:r>
      <w:r w:rsidRPr="00710CF4">
        <w:rPr>
          <w:i/>
          <w:szCs w:val="24"/>
        </w:rPr>
        <w:t>Barnees v. Nationwide Mut. Ins. Co</w:t>
      </w:r>
      <w:r w:rsidRPr="00710CF4">
        <w:rPr>
          <w:szCs w:val="24"/>
        </w:rPr>
        <w:t xml:space="preserve">., 598 Fed. Appx. 86, 90 (3d Cir. 2015) (nonprecedential opinion) (“Title VII and section 1981 … provide relief only if discrimination is ‘serious and tangible enough to alter an employee's compensation, terms, conditions, or privileges of employment.’” (quoting </w:t>
      </w:r>
      <w:r w:rsidRPr="00710CF4">
        <w:rPr>
          <w:i/>
          <w:szCs w:val="24"/>
        </w:rPr>
        <w:t>Storey v. Burns Int'l Sec. Servs</w:t>
      </w:r>
      <w:r w:rsidRPr="00710CF4">
        <w:rPr>
          <w:szCs w:val="24"/>
        </w:rPr>
        <w:t xml:space="preserve">., 390 F.3d 760, 764 (3d Cir. 2004) (a Title VII case), and citing </w:t>
      </w:r>
      <w:r w:rsidRPr="00710CF4">
        <w:rPr>
          <w:i/>
          <w:szCs w:val="24"/>
        </w:rPr>
        <w:t>Thompson v. City of Waco</w:t>
      </w:r>
      <w:r w:rsidRPr="00710CF4">
        <w:rPr>
          <w:szCs w:val="24"/>
        </w:rPr>
        <w:t>, 764 F.3d 500, 503 (5th Cir. 2014) (a Section 1981 case)).  The Committee accordingly has drafted the adverse employment action element in Instruction 6.1.</w:t>
      </w:r>
      <w:r w:rsidRPr="00117029">
        <w:rPr>
          <w:strike/>
          <w:color w:val="4F81BD" w:themeColor="accent1"/>
          <w:szCs w:val="24"/>
        </w:rPr>
        <w:t>1</w:t>
      </w:r>
      <w:r>
        <w:rPr>
          <w:szCs w:val="24"/>
        </w:rPr>
        <w:t>.</w:t>
      </w:r>
      <w:r w:rsidRPr="00117029">
        <w:rPr>
          <w:color w:val="4F81BD" w:themeColor="accent1"/>
          <w:szCs w:val="24"/>
          <w:u w:val="single"/>
        </w:rPr>
        <w:t>2</w:t>
      </w:r>
      <w:r w:rsidRPr="00710CF4">
        <w:rPr>
          <w:szCs w:val="24"/>
        </w:rPr>
        <w:t xml:space="preserve"> to parallel that in Instruction 5.1.1.  See Comment 5.1.1 for further discussion of the adverse employment action element in Title VII cases.</w:t>
      </w:r>
    </w:p>
    <w:p w14:paraId="56369BEC" w14:textId="77777777" w:rsidR="009C34C0" w:rsidRPr="00C0198E" w:rsidRDefault="009C34C0" w:rsidP="009C0DEC">
      <w:pPr>
        <w:widowControl w:val="0"/>
        <w:spacing w:after="240"/>
        <w:jc w:val="both"/>
        <w:rPr>
          <w:color w:val="000000"/>
        </w:rPr>
      </w:pP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2"/>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[is/are]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67C77E2C" w:rsidR="00252756" w:rsidRPr="00C0198E" w:rsidRDefault="00252756" w:rsidP="009C0DEC">
      <w:pPr>
        <w:widowControl w:val="0"/>
        <w:spacing w:after="240"/>
        <w:jc w:val="both"/>
        <w:rPr>
          <w:color w:val="000000"/>
        </w:rPr>
      </w:pPr>
      <w:r w:rsidRPr="00C0198E">
        <w:rPr>
          <w:color w:val="000000"/>
        </w:rPr>
        <w:tab/>
        <w:t xml:space="preserve">The standards for a hostile work environment claim are identical under Title VII and Section 1981.  </w:t>
      </w:r>
      <w:r w:rsidRPr="00C0198E">
        <w:rPr>
          <w:i/>
          <w:color w:val="000000"/>
        </w:rPr>
        <w:t>See, e.g., Verdin v. Weeks Marine Inc</w:t>
      </w:r>
      <w:r w:rsidRPr="00C0198E">
        <w:rPr>
          <w:color w:val="000000"/>
        </w:rPr>
        <w:t xml:space="preserve">., 124 Fed. Appx. 92, 95 (3d Cir. 2005) (“Regarding Verdin's hostile work environment claim, the same standard used under Title VII applies under Section 1981. </w:t>
      </w:r>
      <w:r w:rsidRPr="00C0198E">
        <w:rPr>
          <w:i/>
          <w:color w:val="000000"/>
        </w:rPr>
        <w:t>See McKenna v. Pac. Rail Serv</w:t>
      </w:r>
      <w:r w:rsidRPr="00C0198E">
        <w:rPr>
          <w:color w:val="000000"/>
        </w:rPr>
        <w:t>., 32 F.3d 820, 826</w:t>
      </w:r>
      <w:r w:rsidR="00316EB8">
        <w:rPr>
          <w:color w:val="000000"/>
        </w:rPr>
        <w:t xml:space="preserve"> n.</w:t>
      </w:r>
      <w:r w:rsidRPr="00C0198E">
        <w:rPr>
          <w:color w:val="000000"/>
        </w:rPr>
        <w:t xml:space="preserve">3 (3d Cir.1994).”); </w:t>
      </w:r>
      <w:r w:rsidRPr="00C0198E">
        <w:rPr>
          <w:i/>
          <w:color w:val="000000"/>
        </w:rPr>
        <w:t xml:space="preserve">Ocasio v. Lehigh Valley Family Health Center,   </w:t>
      </w:r>
      <w:r w:rsidRPr="00C0198E">
        <w:rPr>
          <w:color w:val="000000"/>
        </w:rPr>
        <w:t>92 Fed.</w:t>
      </w:r>
      <w:r w:rsidR="00BC0651">
        <w:rPr>
          <w:color w:val="000000"/>
        </w:rPr>
        <w:t xml:space="preserve"> </w:t>
      </w:r>
      <w:r w:rsidRPr="00C0198E">
        <w:rPr>
          <w:color w:val="000000"/>
        </w:rPr>
        <w:t>Appx. 876, 879-80 (3d Cir. 2004) (“As amended by the 1991 Civil Rights Act, § 1981 now encompasses hostile work environment  claims,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lastRenderedPageBreak/>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w:t>
      </w:r>
      <w:r w:rsidRPr="002A4E46">
        <w:rPr>
          <w:i/>
          <w:color w:val="000000"/>
        </w:rPr>
        <w:t>See</w:t>
      </w:r>
      <w:r w:rsidRPr="00C0198E">
        <w:rPr>
          <w:color w:val="000000"/>
        </w:rPr>
        <w:t xml:space="preserv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Al-Khazraji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w:t>
      </w:r>
      <w:r w:rsidRPr="002A4E46">
        <w:rPr>
          <w:i/>
          <w:color w:val="000000"/>
        </w:rPr>
        <w:t>See</w:t>
      </w:r>
      <w:r w:rsidRPr="00C0198E">
        <w:rPr>
          <w:color w:val="000000"/>
        </w:rPr>
        <w:t xml:space="preserv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6"/>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Burlington Industries, Inc. v. Ellerth</w:t>
      </w:r>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t>Respondeat superior liability for discriminatory harassment by non-supervisory employees</w:t>
      </w:r>
      <w:r w:rsidR="000F62F9" w:rsidRPr="00C0198E">
        <w:rPr>
          <w:vertAlign w:val="superscript"/>
        </w:rPr>
        <w:footnoteReference w:customMarkFollows="1" w:id="7"/>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w:t>
      </w:r>
      <w:r w:rsidRPr="00C0198E">
        <w:rPr>
          <w:color w:val="000000"/>
        </w:rPr>
        <w:lastRenderedPageBreak/>
        <w:t xml:space="preserve">Cir. 1990).  See also </w:t>
      </w:r>
      <w:r w:rsidRPr="00C0198E">
        <w:rPr>
          <w:i/>
          <w:color w:val="000000"/>
        </w:rPr>
        <w:t>Kunin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066E75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w:t>
      </w:r>
      <w:r w:rsidRPr="002A4E46">
        <w:rPr>
          <w:i/>
          <w:color w:val="000000"/>
        </w:rPr>
        <w:t>See</w:t>
      </w:r>
      <w:r w:rsidRPr="00C0198E">
        <w:rPr>
          <w:color w:val="000000"/>
        </w:rPr>
        <w:t xml:space="preserve"> </w:t>
      </w:r>
      <w:r w:rsidRPr="00C0198E">
        <w:rPr>
          <w:i/>
          <w:color w:val="000000"/>
        </w:rPr>
        <w:t>Jensen v. Potter</w:t>
      </w:r>
      <w:r w:rsidRPr="00C0198E">
        <w:rPr>
          <w:color w:val="000000"/>
        </w:rPr>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C0198E">
        <w:rPr>
          <w:i/>
          <w:color w:val="000000"/>
        </w:rPr>
        <w:t xml:space="preserve">Employment Discrimination Law and Practice </w:t>
      </w:r>
      <w:r w:rsidRPr="00C0198E">
        <w:rPr>
          <w:color w:val="000000"/>
        </w:rPr>
        <w:t xml:space="preserve">455 (3d ed. 2002). </w:t>
      </w:r>
      <w:r w:rsidR="00C04214">
        <w:rPr>
          <w:color w:val="000000"/>
        </w:rPr>
        <w:t xml:space="preserve"> </w:t>
      </w:r>
      <w:r w:rsidR="00C04214" w:rsidRPr="00FD4AED">
        <w:rPr>
          <w:i/>
          <w:color w:val="000000"/>
        </w:rPr>
        <w:t>See also Castleberry v. STI Grp</w:t>
      </w:r>
      <w:r w:rsidR="00C04214" w:rsidRPr="00C04214">
        <w:rPr>
          <w:color w:val="000000"/>
        </w:rPr>
        <w:t xml:space="preserve">., 863 F.3d 259, 265–66 (3d Cir. 2017) (holding that the plaintiffs pleaded facts sufficient to meet the “severe” test at the motion-to-dismiss stage by alleging “that their supervisor used a racially charged slur in front of them and their non-African-American coworker [and that w]ithin the same breath, the use of this word was accompanied by threats of termination (which ultimately occurred)”); </w:t>
      </w:r>
      <w:r w:rsidR="00C04214" w:rsidRPr="00FD4AED">
        <w:rPr>
          <w:i/>
          <w:color w:val="000000"/>
        </w:rPr>
        <w:t>id</w:t>
      </w:r>
      <w:r w:rsidR="00C04214" w:rsidRPr="00C04214">
        <w:rPr>
          <w:color w:val="000000"/>
        </w:rPr>
        <w:t>. (holding in the alternative that the plaintiffs pleaded facts sufficient to meet the “pervasive” test at the motion-to-dismiss stage by alleging “that not only did their supervisor make the derogatory comment, but ‘on several occasions’ their sign-in sheets bore racially discriminatory comments and that they were required to do menial tasks while their white colleagues (who were less experienced) were instructed to perform more complex work”).</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lastRenderedPageBreak/>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3"/>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[is/are]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36EA882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use  when the alleged harassment is by non-supervisory employees:</w:t>
      </w:r>
    </w:p>
    <w:p w14:paraId="5C74852F" w14:textId="334F5292" w:rsidR="0025275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w:t>
      </w:r>
      <w:r w:rsidR="009C34C0">
        <w:rPr>
          <w:color w:val="000000"/>
        </w:rPr>
        <w:t xml:space="preserve"> and failed to take prompt and effective remedial action</w:t>
      </w:r>
      <w:r w:rsidRPr="00C0198E">
        <w:rPr>
          <w:color w:val="000000"/>
        </w:rPr>
        <w: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5F43A4D7" w14:textId="0F2E9F93" w:rsidR="00E161E9" w:rsidRPr="00F50C3E" w:rsidRDefault="00E161E9" w:rsidP="001D37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right="720"/>
        <w:jc w:val="both"/>
        <w:rPr>
          <w:szCs w:val="24"/>
        </w:rPr>
      </w:pPr>
      <w:r w:rsidRPr="00F50C3E">
        <w:rPr>
          <w:b/>
          <w:sz w:val="22"/>
          <w:szCs w:val="22"/>
        </w:rPr>
        <w:t>[</w:t>
      </w:r>
      <w:r w:rsidRPr="00F50C3E">
        <w:rPr>
          <w:b/>
          <w:szCs w:val="24"/>
        </w:rPr>
        <w:t xml:space="preserve">In the event this Instruction is given, omit the following instruction regarding the employer’s affirmative defense.] </w:t>
      </w:r>
    </w:p>
    <w:p w14:paraId="051F760C" w14:textId="77777777" w:rsidR="00E161E9" w:rsidRPr="00C0198E" w:rsidRDefault="00E161E9"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  proof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w:t>
      </w:r>
      <w:r w:rsidRPr="00C0198E">
        <w:rPr>
          <w:color w:val="000000"/>
        </w:rPr>
        <w:lastRenderedPageBreak/>
        <w:t xml:space="preserve">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w:t>
      </w:r>
      <w:r w:rsidRPr="002A4E46">
        <w:rPr>
          <w:i/>
          <w:color w:val="000000"/>
        </w:rPr>
        <w:t>See</w:t>
      </w:r>
      <w:r w:rsidRPr="00C0198E">
        <w:rPr>
          <w:color w:val="000000"/>
        </w:rPr>
        <w:t xml:space="preserv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any "tangible" employment action such as discharge or demotion, but rather suffered "intangible" harm flowing from harassment that is "sufficiently severe or pervasive to create a hostile work environment." </w:t>
      </w:r>
      <w:r w:rsidRPr="00C0198E">
        <w:rPr>
          <w:i/>
          <w:color w:val="000000"/>
        </w:rPr>
        <w:t>Faragher v. Boca Raton</w:t>
      </w:r>
      <w:r w:rsidRPr="00C0198E">
        <w:rPr>
          <w:color w:val="000000"/>
        </w:rPr>
        <w:t xml:space="preserve">, 524 U.S. 775, 808 (1998). In </w:t>
      </w:r>
      <w:r w:rsidRPr="00C0198E">
        <w:rPr>
          <w:i/>
          <w:color w:val="000000"/>
        </w:rPr>
        <w:t>Faragher</w:t>
      </w:r>
      <w:r w:rsidRPr="00C0198E">
        <w:rPr>
          <w:color w:val="000000"/>
        </w:rPr>
        <w:t xml:space="preserve"> and in </w:t>
      </w:r>
      <w:r w:rsidRPr="00C0198E">
        <w:rPr>
          <w:i/>
          <w:color w:val="000000"/>
        </w:rPr>
        <w:t>Burlington Industries, Inc. v. Ellerth</w:t>
      </w:r>
      <w:r w:rsidRPr="00C0198E">
        <w:rPr>
          <w:color w:val="000000"/>
        </w:rPr>
        <w:t xml:space="preserve">, 524 U.S. 742 (1998), the Court held that an employer is strictly liable for supervisor harassment that "culminates in a tangible employment action, such as discharge, demotion, or undesirable reassignment." </w:t>
      </w:r>
      <w:r w:rsidRPr="00C0198E">
        <w:rPr>
          <w:i/>
          <w:color w:val="000000"/>
        </w:rPr>
        <w:t xml:space="preserve">Ellerth,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Ellerth</w:t>
      </w:r>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r w:rsidRPr="00C0198E">
        <w:rPr>
          <w:i/>
          <w:color w:val="000000"/>
        </w:rPr>
        <w:t>Faragher/Ellerth</w:t>
      </w:r>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r w:rsidRPr="00C0198E">
        <w:rPr>
          <w:i/>
          <w:color w:val="000000"/>
        </w:rPr>
        <w:t>Ellerth</w:t>
      </w:r>
      <w:r w:rsidRPr="00C0198E">
        <w:rPr>
          <w:color w:val="000000"/>
        </w:rPr>
        <w:t>, the absence of a tangible employment action also justifies requiring the plaintiff to prove a further element, in order to protect the employer from unwarranted liability for the discriminatory acts of its non-supervisor employees.</w:t>
      </w:r>
      <w:r w:rsidR="000F62F9" w:rsidRPr="00C0198E">
        <w:rPr>
          <w:vertAlign w:val="superscript"/>
        </w:rPr>
        <w:footnoteReference w:customMarkFollows="1" w:id="8"/>
        <w:t>9</w:t>
      </w:r>
      <w:r w:rsidR="000F62F9" w:rsidRPr="00C0198E">
        <w:t xml:space="preserve"> </w:t>
      </w:r>
      <w:r w:rsidRPr="00C0198E">
        <w:rPr>
          <w:color w:val="000000"/>
        </w:rPr>
        <w:t xml:space="preserve"> Respondeat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r w:rsidRPr="00C0198E">
        <w:rPr>
          <w:i/>
          <w:color w:val="000000"/>
        </w:rPr>
        <w:t>Kunin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4"/>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Pennsylvania State Police v. Suders</w:t>
      </w:r>
      <w:r w:rsidRPr="00C0198E">
        <w:rPr>
          <w:color w:val="000000"/>
        </w:rPr>
        <w:t xml:space="preserve">, 542 U.S. 129, 138-41 (2004), the Court considered the relationship between constructive discharge brought about by supervisor </w:t>
      </w:r>
      <w:r w:rsidRPr="00C0198E">
        <w:rPr>
          <w:color w:val="000000"/>
        </w:rPr>
        <w:lastRenderedPageBreak/>
        <w:t xml:space="preserve">harassment  and the affirmative defense articulated in </w:t>
      </w:r>
      <w:r w:rsidRPr="00C0198E">
        <w:rPr>
          <w:i/>
          <w:color w:val="000000"/>
        </w:rPr>
        <w:t xml:space="preserve">Ellerth </w:t>
      </w:r>
      <w:r w:rsidRPr="00C0198E">
        <w:rPr>
          <w:color w:val="000000"/>
        </w:rPr>
        <w:t xml:space="preserve">and </w:t>
      </w:r>
      <w:r w:rsidRPr="00C0198E">
        <w:rPr>
          <w:i/>
          <w:color w:val="000000"/>
        </w:rPr>
        <w:t>Faragher</w:t>
      </w:r>
      <w:r w:rsidRPr="00C0198E">
        <w:rPr>
          <w:color w:val="000000"/>
        </w:rPr>
        <w:t xml:space="preserve">. The Court concluded that “an employer does not have recourse to the </w:t>
      </w:r>
      <w:r w:rsidRPr="00C0198E">
        <w:rPr>
          <w:i/>
          <w:color w:val="000000"/>
        </w:rPr>
        <w:t xml:space="preserve">Ellerth/Faragher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 xml:space="preserve">6.1.5  Elements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01A0D1A6"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5"/>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366 F. Supp.</w:t>
      </w:r>
      <w:r w:rsidR="00622783">
        <w:rPr>
          <w:color w:val="000000"/>
        </w:rPr>
        <w:t xml:space="preserve"> </w:t>
      </w:r>
      <w:r w:rsidRPr="00C0198E">
        <w:rPr>
          <w:color w:val="000000"/>
        </w:rPr>
        <w:t>2d 247, 252 (E</w:t>
      </w:r>
      <w:r w:rsidR="00316EB8">
        <w:rPr>
          <w:color w:val="000000"/>
        </w:rPr>
        <w:t>.D. Pa.</w:t>
      </w:r>
      <w:r w:rsidRPr="00C0198E">
        <w:rPr>
          <w:color w:val="000000"/>
        </w:rPr>
        <w:t xml:space="preserve">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  [describe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  must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  [describe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r w:rsidR="00F84935" w:rsidRPr="00C0198E">
        <w:t xml:space="preserve">  </w:t>
      </w:r>
      <w:r w:rsidRPr="00C0198E">
        <w:rPr>
          <w:color w:val="000000"/>
        </w:rPr>
        <w:t xml:space="preserve">Concerning the first element, [plaintiff] need not prove the merits of [his/her] [describe plaintiff’s activity], but only that [he/she] was acting under a </w:t>
      </w:r>
      <w:r w:rsidR="00F84935" w:rsidRPr="00F50C3E">
        <w:t>reasonable,</w:t>
      </w:r>
      <w:r w:rsidR="00F84935" w:rsidRPr="00F50C3E">
        <w:rPr>
          <w:rStyle w:val="FootnoteReference"/>
        </w:rPr>
        <w:footnoteReference w:id="9"/>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0"/>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w:t>
      </w:r>
      <w:r w:rsidRPr="00C0198E">
        <w:rPr>
          <w:color w:val="000000"/>
        </w:rPr>
        <w:lastRenderedPageBreak/>
        <w:t xml:space="preserve">timing, that is [defendant(s)] action followed shortly after [defendant(s)] became aware of [plaintiff’s]  [describe activity]. Causation is, however, not necessarily ruled out by a more extended passage of time. Causation may or may not be proven by antagonism shown toward [plaintiff]  or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the  legal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r w:rsidRPr="00C0198E">
        <w:rPr>
          <w:i/>
          <w:color w:val="000000"/>
        </w:rPr>
        <w:t>Khair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11976E3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this instruction for both causes of action.</w:t>
      </w:r>
      <w:r w:rsidR="004E4D45">
        <w:rPr>
          <w:rStyle w:val="FootnoteReference"/>
          <w:color w:val="000000"/>
        </w:rPr>
        <w:footnoteReference w:id="11"/>
      </w:r>
      <w:r w:rsidRPr="00C0198E">
        <w:rPr>
          <w:color w:val="000000"/>
        </w:rPr>
        <w:t xml:space="preserve">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xml:space="preserve">, 604 F.3d </w:t>
      </w:r>
      <w:r w:rsidR="008E2A59" w:rsidRPr="00C0198E">
        <w:lastRenderedPageBreak/>
        <w:t>788, 798 (3d Cir. 2010</w:t>
      </w:r>
      <w:r w:rsidR="00E93166" w:rsidRPr="00E93166">
        <w:t xml:space="preserve">), and </w:t>
      </w:r>
      <w:r w:rsidR="00E93166" w:rsidRPr="00E93166">
        <w:rPr>
          <w:i/>
        </w:rPr>
        <w:t>Castleberry v. STI Group</w:t>
      </w:r>
      <w:r w:rsidR="00E93166" w:rsidRPr="00E93166">
        <w:t>, 863 F.3d 259 (3d Cir. 2017)</w:t>
      </w:r>
      <w:r w:rsidR="008E2A59" w:rsidRPr="00C0198E">
        <w:t xml:space="preserve">.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w:t>
      </w:r>
      <w:r w:rsidR="00316EB8">
        <w:t>’ ”</w:t>
      </w:r>
      <w:r w:rsidR="008E2A59" w:rsidRPr="00C0198E">
        <w:t xml:space="preserve"> </w:t>
      </w:r>
      <w:r w:rsidR="008E2A59" w:rsidRPr="00C0198E">
        <w:rPr>
          <w:i/>
        </w:rPr>
        <w:t>Oliva</w:t>
      </w:r>
      <w:r w:rsidR="008E2A59" w:rsidRPr="00C0198E">
        <w:t xml:space="preserve">, 604 F.3d at 798 (quoting </w:t>
      </w:r>
      <w:r w:rsidR="008E2A59" w:rsidRPr="00C0198E">
        <w:rPr>
          <w:i/>
        </w:rPr>
        <w:t>CBOCS</w:t>
      </w:r>
      <w:r w:rsidR="008E2A59" w:rsidRPr="00C0198E">
        <w:t>, 128 S.</w:t>
      </w:r>
      <w:r w:rsidR="00827D46">
        <w:t xml:space="preserve"> </w:t>
      </w:r>
      <w:r w:rsidR="008E2A59" w:rsidRPr="00C0198E">
        <w:t xml:space="preserve">Ct.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bookmarkStart w:id="17" w:name="_Ref501091588"/>
      <w:r w:rsidR="008E2A59" w:rsidRPr="00C0198E">
        <w:rPr>
          <w:rStyle w:val="FootnoteReference"/>
        </w:rPr>
        <w:footnoteReference w:id="12"/>
      </w:r>
      <w:bookmarkEnd w:id="17"/>
      <w:r w:rsidR="008E2A59" w:rsidRPr="00C0198E">
        <w:t xml:space="preserve">  </w:t>
      </w:r>
    </w:p>
    <w:p w14:paraId="2BD732D3" w14:textId="796B6A66" w:rsidR="000F62F9" w:rsidRPr="00C0198E" w:rsidRDefault="008E2A59" w:rsidP="00F779F9">
      <w:pPr>
        <w:tabs>
          <w:tab w:val="right" w:pos="8640"/>
        </w:tabs>
        <w:spacing w:after="240"/>
        <w:ind w:firstLine="720"/>
      </w:pPr>
      <w:r w:rsidRPr="00C0198E">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Justices Thomas and Scalia, dissenting from the Court’s holding that Section 1981 encompasses retaliation claims, objected (inter alia) that a plaintiff “‘need not show that the [race] discrimination forming the basis of his complaints actually occurred,</w:t>
      </w:r>
      <w:r w:rsidR="00316EB8">
        <w:t>’ ”</w:t>
      </w:r>
      <w:r w:rsidRPr="00C0198E">
        <w:t xml:space="preserve"> and that as a result, “the Court ‘creates an entirely new cause of action for a secondary rights holder, beyond the claim of the original rights holder ….” </w:t>
      </w:r>
      <w:r w:rsidRPr="00C0198E">
        <w:rPr>
          <w:i/>
        </w:rPr>
        <w:t>CBOCS</w:t>
      </w:r>
      <w:r w:rsidRPr="00C0198E">
        <w:t xml:space="preserve">, </w:t>
      </w:r>
      <w:r w:rsidRPr="00C0198E">
        <w:lastRenderedPageBreak/>
        <w:t xml:space="preserve">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(Thomas, J., joined by Rehnquist, C.J., &amp; Scalia &amp; Kennedy, JJ., dissenting)</w:t>
      </w:r>
      <w:r w:rsidRPr="00C0198E">
        <w:t xml:space="preserve">). The </w:t>
      </w:r>
      <w:r w:rsidRPr="00C0198E">
        <w:rPr>
          <w:i/>
        </w:rPr>
        <w:t xml:space="preserve">CBOCS </w:t>
      </w:r>
      <w:r w:rsidRPr="00C0198E">
        <w:t>majority did not explicitly respond to this facet of the dissenters’ argument.</w:t>
      </w:r>
    </w:p>
    <w:p w14:paraId="2CEF1958" w14:textId="6662FB24" w:rsidR="0029440C" w:rsidRPr="00C0198E" w:rsidRDefault="0029440C" w:rsidP="001229D2">
      <w:pPr>
        <w:numPr>
          <w:ilvl w:val="12"/>
          <w:numId w:val="0"/>
        </w:numPr>
        <w:spacing w:after="240"/>
        <w:ind w:firstLine="720"/>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6BAC19DC" w14:textId="324C197D"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w:t>
      </w:r>
      <w:r w:rsidR="001229D2">
        <w:t xml:space="preserve">(also quoted in </w:t>
      </w:r>
      <w:r w:rsidR="001229D2">
        <w:rPr>
          <w:i/>
        </w:rPr>
        <w:t>Castleberry</w:t>
      </w:r>
      <w:r w:rsidR="001229D2">
        <w:t>)</w:t>
      </w:r>
      <w:r w:rsidR="001229D2">
        <w:rPr>
          <w:rStyle w:val="FootnoteReference"/>
        </w:rPr>
        <w:footnoteReference w:id="13"/>
      </w:r>
      <w:r w:rsidR="001229D2">
        <w:t xml:space="preserve"> </w:t>
      </w:r>
      <w:r w:rsidRPr="00C0198E">
        <w:t xml:space="preserve">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28DDC886"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126 S.</w:t>
      </w:r>
      <w:r w:rsidR="00827D46">
        <w:rPr>
          <w:color w:val="000000"/>
        </w:rPr>
        <w:t xml:space="preserve"> </w:t>
      </w:r>
      <w:r w:rsidRPr="00C0198E">
        <w:rPr>
          <w:color w:val="000000"/>
        </w:rPr>
        <w:t xml:space="preserve">Ct. 2405 (2006); </w:t>
      </w:r>
      <w:r w:rsidRPr="00C0198E">
        <w:rPr>
          <w:i/>
          <w:color w:val="000000"/>
        </w:rPr>
        <w:t xml:space="preserve">Kachmar v. Sungard Data Sys., Inc., </w:t>
      </w:r>
      <w:r w:rsidR="004D7B13">
        <w:rPr>
          <w:color w:val="000000"/>
        </w:rPr>
        <w:t>109 F.3d 173, 177 (3d Cir</w:t>
      </w:r>
      <w:r w:rsidRPr="00C0198E">
        <w:rPr>
          <w:color w:val="000000"/>
        </w:rPr>
        <w:t xml:space="preserve">. 1997) (advocating equal treatment was protected activity); </w:t>
      </w:r>
      <w:r w:rsidRPr="00C0198E">
        <w:rPr>
          <w:i/>
          <w:color w:val="000000"/>
        </w:rPr>
        <w:t>Aman v. Cort Furniture</w:t>
      </w:r>
      <w:r w:rsidRPr="00C0198E">
        <w:rPr>
          <w:color w:val="000000"/>
        </w:rPr>
        <w:t xml:space="preserve">, 85 F.3d 1074, 1085 (3d Cir. </w:t>
      </w:r>
      <w:r w:rsidR="000F62F9" w:rsidRPr="00C0198E">
        <w:t xml:space="preserve">1989) </w:t>
      </w:r>
      <w:r w:rsidR="00F41DB0" w:rsidRPr="00C0198E">
        <w:t>(under Title VII’s anti-retaliation provision “a plaintiff need not prove the merits of the underlying discrimination complaint, but only that ‘he was acting under a good faith, reasonable belief that a violation existed</w:t>
      </w:r>
      <w:r w:rsidR="00316EB8">
        <w:t>’ ”</w:t>
      </w:r>
      <w:r w:rsidR="00F41DB0" w:rsidRPr="00C0198E">
        <w:t xml:space="preserve">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w:t>
      </w:r>
      <w:r w:rsidRPr="00C0198E">
        <w:lastRenderedPageBreak/>
        <w:t xml:space="preserve">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’s statement that a Section 1981 retaliation claim requires proof of an underlying Section 1981 violation; this 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7B3A82E3" w14:textId="6D86DB14" w:rsidR="00E161E9" w:rsidRPr="001D3739" w:rsidRDefault="00E161E9" w:rsidP="001D3739">
      <w:pPr>
        <w:widowControl w:val="0"/>
        <w:spacing w:after="240"/>
        <w:jc w:val="both"/>
        <w:rPr>
          <w:i/>
          <w:color w:val="000000"/>
          <w:szCs w:val="24"/>
        </w:rPr>
      </w:pPr>
      <w:r w:rsidRPr="006C7D9E">
        <w:rPr>
          <w:szCs w:val="24"/>
        </w:rPr>
        <w:t xml:space="preserve">Instruction 6.1.6 requires the plaintiff to show that the plaintiff’s protected activity had a determinative effect on the allegedly retaliatory activity.  This is the standard mandated for Section 1981 discrimination cases outside the context of retaliation after </w:t>
      </w:r>
      <w:r w:rsidRPr="006C7D9E">
        <w:rPr>
          <w:i/>
          <w:iCs/>
          <w:szCs w:val="24"/>
        </w:rPr>
        <w:t>Comcast Corp. v. Nat'l Ass'n of African American-Owned Media</w:t>
      </w:r>
      <w:r w:rsidRPr="006C7D9E">
        <w:rPr>
          <w:szCs w:val="24"/>
        </w:rPr>
        <w:t xml:space="preserve">, 140 S. Ct. 1009 (2020).  See Instruction 6.1.2; </w:t>
      </w:r>
      <w:r w:rsidRPr="006C7D9E">
        <w:rPr>
          <w:i/>
          <w:iCs/>
          <w:szCs w:val="24"/>
        </w:rPr>
        <w:t>see also Estate of Oliva ex rel. McHugh v. New Jersey</w:t>
      </w:r>
      <w:r w:rsidRPr="006C7D9E">
        <w:rPr>
          <w:szCs w:val="24"/>
        </w:rPr>
        <w:t xml:space="preserve">, 604 F.3d 788, 798 (3d Cir. 2010) (applying the pretext framework to Section 1981 retaliation claims); </w:t>
      </w:r>
      <w:r w:rsidRPr="006C7D9E">
        <w:rPr>
          <w:i/>
          <w:iCs/>
          <w:szCs w:val="24"/>
        </w:rPr>
        <w:t>Carvalho-Grevious v. Delaware State University</w:t>
      </w:r>
      <w:r w:rsidRPr="006C7D9E">
        <w:rPr>
          <w:szCs w:val="24"/>
        </w:rPr>
        <w:t xml:space="preserve">, 851 F.3d 249, 258 (3d Cir. 2017) (basing its analysis on the premise that the determinative-effect requirement applied to both the plaintiff’s Title VII retaliation claims and her Section 1981 retaliation claims). </w:t>
      </w:r>
    </w:p>
    <w:p w14:paraId="1F808561" w14:textId="78FF710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lastRenderedPageBreak/>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r w:rsidRPr="00C0198E">
        <w:rPr>
          <w:color w:val="000000"/>
        </w:rPr>
        <w:t xml:space="preserve">at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xml:space="preserve">, 131 S. Ct. at 869 (analyzing language in 42 U.S.C. § 2000e-5(f)(1)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6"/>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Section 1981 applies against employers acting under color of State law. </w:t>
      </w:r>
      <w:r w:rsidRPr="002A4E46">
        <w:rPr>
          <w:i/>
          <w:color w:val="000000"/>
        </w:rPr>
        <w:t>See</w:t>
      </w:r>
      <w:r w:rsidRPr="00C0198E">
        <w:rPr>
          <w:color w:val="000000"/>
        </w:rPr>
        <w:t xml:space="preserve"> 42 U.S.C. § 1981(c). Where a government employee brings a claim of racial discrimination in employment,  there can be an overlap of Section 1981 and Section 1983 protections. In </w:t>
      </w:r>
      <w:r w:rsidRPr="00C0198E">
        <w:rPr>
          <w:i/>
          <w:color w:val="000000"/>
        </w:rPr>
        <w:t>Jett v. Dallas Indep.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“join[ed]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4"/>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Al-Khazraji</w:t>
      </w:r>
      <w:r w:rsidRPr="00C0198E">
        <w:rPr>
          <w:color w:val="000000"/>
        </w:rPr>
        <w:t>, 481 U.S. 604,  609-10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w:t>
      </w:r>
      <w:r w:rsidRPr="002A4E46">
        <w:rPr>
          <w:i/>
          <w:color w:val="000000"/>
        </w:rPr>
        <w:t>Id</w:t>
      </w:r>
      <w:r w:rsidRPr="00C0198E">
        <w:rPr>
          <w:color w:val="000000"/>
        </w:rPr>
        <w:t>.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w:t>
      </w:r>
      <w:r w:rsidRPr="00C0198E">
        <w:rPr>
          <w:color w:val="000000"/>
        </w:rPr>
        <w:lastRenderedPageBreak/>
        <w:t xml:space="preserve">1858, for example, referred to various races such as Finns, vol. 5, p. 123, gypsies, 6 id., at 123, Basques, 1 id., at 602, and Hebrews, 6 id., at 209. The 1863 version of the New American Cyclopaedia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8" w:name="1100-612"/>
      <w:bookmarkEnd w:id="18"/>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ibid.,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9" w:name="refpt_LEDHNL6A"/>
      <w:bookmarkEnd w:id="19"/>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physiognomically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37FFB7A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18"/>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w:t>
      </w:r>
      <w:r w:rsidRPr="002A4E46">
        <w:rPr>
          <w:i/>
        </w:rPr>
        <w:t>Bennun v. Rutgers State Univ.</w:t>
      </w:r>
      <w:r w:rsidRPr="00C0198E">
        <w:t xml:space="preserve">, 941 F.2d 154, 172 (3d Cir. 1991) ("Section 1981 does not mention national origin"); </w:t>
      </w:r>
      <w:r w:rsidRPr="002A4E46">
        <w:rPr>
          <w:i/>
        </w:rPr>
        <w:lastRenderedPageBreak/>
        <w:t>King v. Township of E. Lampeter</w:t>
      </w:r>
      <w:r w:rsidRPr="00C0198E">
        <w:t xml:space="preserve">,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broadly. Thus, in </w:t>
      </w:r>
      <w:r w:rsidRPr="00C0198E">
        <w:rPr>
          <w:i/>
        </w:rPr>
        <w:t>Schouten v. CSX Transp., Inc</w:t>
      </w:r>
      <w:r w:rsidRPr="00C0198E">
        <w:t>., 58 F.</w:t>
      </w:r>
      <w:r w:rsidR="00827D46">
        <w:t xml:space="preserve"> </w:t>
      </w:r>
      <w:r w:rsidRPr="00C0198E">
        <w:t>Supp.</w:t>
      </w:r>
      <w:r w:rsidR="00827D46">
        <w:t xml:space="preserve"> </w:t>
      </w:r>
      <w:r w:rsidRPr="00C0198E">
        <w:t>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It is not enough that the work environment was generally harsh, unfriendly, unpleasant, crude or vulgar to all employees. In order to find a hostile work environment, you must find that </w:t>
      </w:r>
      <w:r w:rsidRPr="00C0198E">
        <w:lastRenderedPageBreak/>
        <w:t>[plaintiff] was harassed because of [race]. The harassing conduct may, but need not be racially-based  in nature. Rather, its defining characteristic is that the harassment complained of was linked 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w:t>
      </w:r>
      <w:r w:rsidRPr="002A4E46">
        <w:rPr>
          <w:i/>
          <w:color w:val="000000"/>
        </w:rPr>
        <w:t>See</w:t>
      </w:r>
      <w:r w:rsidRPr="00C0198E">
        <w:rPr>
          <w:color w:val="000000"/>
        </w:rPr>
        <w:t xml:space="preserve"> Instruction 5.2.1. The standards for a hostile work environment claim are identical under Title VII and Section 1981.  </w:t>
      </w:r>
      <w:r w:rsidRPr="00C0198E">
        <w:rPr>
          <w:i/>
          <w:color w:val="000000"/>
        </w:rPr>
        <w:t>See, e.g., Verdin v. Weeks Marine Inc</w:t>
      </w:r>
      <w:r w:rsidRPr="00C0198E">
        <w:rPr>
          <w:color w:val="000000"/>
        </w:rPr>
        <w:t xml:space="preserve">., 124 Fed.Appx. 92, 94 (3d Cir. 2005) (“Regarding Verdin's hostile work environment claim, the same standard used under Title VII applies under Section 1981.”);  </w:t>
      </w:r>
      <w:r w:rsidRPr="00C0198E">
        <w:rPr>
          <w:i/>
          <w:color w:val="000000"/>
        </w:rPr>
        <w:t xml:space="preserve">Ocasio v. Lehigh Valley Family Health Center,   </w:t>
      </w:r>
      <w:r w:rsidRPr="00C0198E">
        <w:rPr>
          <w:color w:val="000000"/>
        </w:rPr>
        <w:t>92 Fed.Appx.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19"/>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AA01A44"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0"/>
          <w:pgSz w:w="12240" w:h="15840"/>
          <w:pgMar w:top="1920" w:right="1440" w:bottom="1920" w:left="1440" w:header="900" w:footer="1440" w:gutter="0"/>
          <w:lnNumType w:countBy="1" w:distance="576" w:restart="newSection"/>
          <w:cols w:space="720"/>
          <w:docGrid w:linePitch="326"/>
        </w:sectPr>
      </w:pPr>
      <w:r w:rsidRPr="00C0198E">
        <w:rPr>
          <w:color w:val="000000"/>
        </w:rPr>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w:t>
      </w:r>
      <w:r w:rsidR="001B2FA7">
        <w:rPr>
          <w:color w:val="000000"/>
        </w:rPr>
        <w:t xml:space="preserve"> use with any of Instructions 6.1.</w:t>
      </w:r>
      <w:r w:rsidR="00A50344">
        <w:rPr>
          <w:color w:val="000000"/>
        </w:rPr>
        <w:t>2</w:t>
      </w:r>
      <w:r w:rsidR="001B2FA7">
        <w:rPr>
          <w:color w:val="000000"/>
        </w:rPr>
        <w:t xml:space="preserve"> through 6.1.3</w:t>
      </w:r>
      <w:r w:rsidRPr="00C0198E">
        <w:rPr>
          <w:color w:val="000000"/>
        </w:rPr>
        <w:t xml:space="preserve">.   Assuming that the Title VII framework concerning employer liability for harassment applies to Section 1981 actions, the employer’s ability to assert an </w:t>
      </w:r>
      <w:r w:rsidRPr="00C0198E">
        <w:rPr>
          <w:i/>
          <w:color w:val="000000"/>
        </w:rPr>
        <w:t xml:space="preserve">Ellerth / Faragher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See Pennsylvania State Police v. Suders</w:t>
      </w:r>
      <w:r w:rsidRPr="00C0198E">
        <w:rPr>
          <w:color w:val="000000"/>
        </w:rPr>
        <w:t xml:space="preserve">, 542 U.S. 129, 140-41 (2004) (“[A]n employer does not have recourse to the Ellerth/ Faragher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6.3.1   Section 1981  Defenses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5F62897B"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1"/>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There is no BFOQ defense in racial discrimination cases. 42 </w:t>
      </w:r>
      <w:r w:rsidR="00316EB8">
        <w:rPr>
          <w:color w:val="000000"/>
        </w:rPr>
        <w:t>U.S.C.</w:t>
      </w:r>
      <w:r w:rsidRPr="00C0198E">
        <w:rPr>
          <w:color w:val="000000"/>
        </w:rPr>
        <w:t xml:space="preserve"> § 2000e-2(e)(1). </w:t>
      </w:r>
      <w:r w:rsidRPr="00C0198E">
        <w:rPr>
          <w:i/>
          <w:color w:val="000000"/>
        </w:rPr>
        <w:t>See</w:t>
      </w:r>
      <w:r w:rsidRPr="00C0198E">
        <w:rPr>
          <w:color w:val="000000"/>
        </w:rPr>
        <w:t xml:space="preserve"> </w:t>
      </w:r>
      <w:r w:rsidRPr="00C0198E">
        <w:rPr>
          <w:i/>
          <w:color w:val="000000"/>
        </w:rPr>
        <w:t>Ferrill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5BBF352"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Title VII provides that “[n]otwithstanding any other provision of this subchapter, it shall not be an unlawful employment practice for an employer to apply different standards of compensation, </w:t>
      </w:r>
      <w:bookmarkStart w:id="20" w:name="1100-905"/>
      <w:bookmarkEnd w:id="20"/>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U.S.C. § 2000e-2(h). In </w:t>
      </w:r>
      <w:r w:rsidRPr="00C0198E">
        <w:rPr>
          <w:i/>
          <w:color w:val="000000"/>
        </w:rPr>
        <w:t>Lorance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r w:rsidRPr="00C0198E">
        <w:rPr>
          <w:i/>
          <w:color w:val="000000"/>
        </w:rPr>
        <w:t xml:space="preserve">Gunby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damages for any pain, suffering, inconvenience,  mental anguish, or loss of enjoyment of life  that [plaintiff] experienced as a consequence of [defendant's] [allegedly unlawful act or omission]. No evidence of the monetary value of such intangible things as pain </w:t>
      </w:r>
      <w:r w:rsidRPr="00C0198E">
        <w:rPr>
          <w:color w:val="000000"/>
        </w:rPr>
        <w:lastRenderedPageBreak/>
        <w:t>and suffering has been, or need be, introduced into evidence. There is no exact standard for fixing the compensation to be awarded for these elements of damage. Any award you make should be fair in light of the evidence presented at the trial.</w:t>
      </w:r>
    </w:p>
    <w:p w14:paraId="5F8BDF71" w14:textId="000FCBE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w:t>
      </w:r>
      <w:r w:rsidR="001D252F">
        <w:rPr>
          <w:color w:val="000000"/>
        </w:rPr>
        <w:t xml:space="preserve"> </w:t>
      </w:r>
      <w:r w:rsidRPr="00C0198E">
        <w:rPr>
          <w:color w:val="000000"/>
        </w:rPr>
        <w:t>and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Gunby v. Pennsylvania Elec. Co.</w:t>
      </w:r>
      <w:r w:rsidRPr="00C0198E">
        <w:rPr>
          <w:color w:val="000000"/>
        </w:rPr>
        <w:t xml:space="preserve">,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w:t>
      </w:r>
      <w:r w:rsidRPr="002A4E46">
        <w:rPr>
          <w:i/>
          <w:color w:val="000000"/>
        </w:rPr>
        <w:t>Id</w:t>
      </w:r>
      <w:r w:rsidRPr="00C0198E">
        <w:rPr>
          <w:color w:val="000000"/>
        </w:rPr>
        <w:t>.</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Laskaris v. Thornburgh</w:t>
      </w:r>
      <w:r w:rsidRPr="00C0198E">
        <w:rPr>
          <w:color w:val="000000"/>
        </w:rPr>
        <w:t xml:space="preserve">, 733 F.2d 260, 263 (3d Cir. 1984). However, compensatory damages are to be distinguished from awards of front pay and back pay, which constitute equitable relief.  </w:t>
      </w:r>
      <w:r w:rsidRPr="002A4E46">
        <w:rPr>
          <w:i/>
          <w:color w:val="000000"/>
        </w:rPr>
        <w:t>Id</w:t>
      </w:r>
      <w:r w:rsidRPr="00C0198E">
        <w:rPr>
          <w:color w:val="000000"/>
        </w:rPr>
        <w:t>.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3"/>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w:t>
      </w:r>
      <w:r w:rsidRPr="00C0198E">
        <w:rPr>
          <w:color w:val="000000"/>
        </w:rPr>
        <w:lastRenderedPageBreak/>
        <w:t xml:space="preserve">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at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others  from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statutory cap for Section 1981 actions. </w:t>
      </w:r>
    </w:p>
    <w:p w14:paraId="4E09C16C" w14:textId="467290EB"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Kolstad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w:t>
      </w:r>
      <w:r w:rsidR="00316EB8">
        <w:rPr>
          <w:color w:val="000000"/>
        </w:rPr>
        <w:t>U.S.C.</w:t>
      </w:r>
      <w:r w:rsidRPr="00C0198E">
        <w:rPr>
          <w:color w:val="000000"/>
        </w:rPr>
        <w:t xml:space="preserve">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C0198E">
        <w:rPr>
          <w:i/>
          <w:color w:val="000000"/>
        </w:rPr>
        <w:t>Kolstad</w:t>
      </w:r>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C0198E">
        <w:rPr>
          <w:i/>
          <w:color w:val="000000"/>
        </w:rPr>
        <w:t>Kolstad</w:t>
      </w:r>
      <w:r w:rsidRPr="00C0198E">
        <w:rPr>
          <w:color w:val="000000"/>
        </w:rPr>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2A4E46">
        <w:rPr>
          <w:i/>
          <w:color w:val="000000"/>
        </w:rPr>
        <w:t>Id</w:t>
      </w:r>
      <w:r w:rsidRPr="00C0198E">
        <w:rPr>
          <w:color w:val="000000"/>
        </w:rPr>
        <w:t>.,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r w:rsidRPr="00C0198E">
        <w:rPr>
          <w:i/>
          <w:color w:val="000000"/>
        </w:rPr>
        <w:t>Kolstad</w:t>
      </w:r>
      <w:r w:rsidRPr="00C0198E">
        <w:rPr>
          <w:color w:val="000000"/>
        </w:rPr>
        <w:t xml:space="preserve"> decision construed a 1991 amendment to Title VII that made  punitive damages available in Title VII actions for the first time. Thus it is not explicitly applicable to Section 1981 actions, as to which punitive damages have always been available. Nonetheless, the analysis in </w:t>
      </w:r>
      <w:r w:rsidRPr="00C0198E">
        <w:rPr>
          <w:i/>
          <w:color w:val="000000"/>
        </w:rPr>
        <w:t>Kolstad</w:t>
      </w:r>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respondeat superior. </w:t>
      </w:r>
    </w:p>
    <w:p w14:paraId="3DF92B14" w14:textId="596F125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r w:rsidRPr="00C0198E">
        <w:rPr>
          <w:i/>
          <w:color w:val="000000"/>
        </w:rPr>
        <w:t>Kolstad</w:t>
      </w:r>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293 F.3d 1041, 1048 (8th Cir.</w:t>
      </w:r>
      <w:r w:rsidR="00316EB8">
        <w:rPr>
          <w:color w:val="000000"/>
        </w:rPr>
        <w:t xml:space="preserve"> </w:t>
      </w:r>
      <w:r w:rsidRPr="00C0198E">
        <w:rPr>
          <w:color w:val="000000"/>
        </w:rPr>
        <w:t xml:space="preserve">2002) (holding that the </w:t>
      </w:r>
      <w:r w:rsidRPr="00C0198E">
        <w:rPr>
          <w:i/>
          <w:color w:val="000000"/>
        </w:rPr>
        <w:t>Kolstad</w:t>
      </w:r>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r w:rsidRPr="00C0198E">
        <w:rPr>
          <w:rStyle w:val="searchterm"/>
          <w:i/>
          <w:color w:val="000000"/>
        </w:rPr>
        <w:t>Kolstad</w:t>
      </w:r>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270 F.3d 794, 817 (9th Cir.</w:t>
      </w:r>
      <w:r w:rsidR="00316EB8">
        <w:rPr>
          <w:color w:val="000000"/>
        </w:rPr>
        <w:t xml:space="preserve"> </w:t>
      </w:r>
      <w:r w:rsidRPr="00C0198E">
        <w:rPr>
          <w:color w:val="000000"/>
        </w:rPr>
        <w:t xml:space="preserve">2001) (applying </w:t>
      </w:r>
      <w:r w:rsidRPr="00C0198E">
        <w:rPr>
          <w:i/>
          <w:color w:val="000000"/>
        </w:rPr>
        <w:t>Kolstad</w:t>
      </w:r>
      <w:r w:rsidRPr="00C0198E">
        <w:rPr>
          <w:color w:val="000000"/>
        </w:rPr>
        <w:t xml:space="preserve"> in a Section 1981 action and affirming a punitive damages award of $1,000,000 against an employer, where highly offensive language was directed at the plaintiff, </w:t>
      </w:r>
      <w:r w:rsidRPr="00C0198E">
        <w:rPr>
          <w:color w:val="000000"/>
        </w:rPr>
        <w:lastRenderedPageBreak/>
        <w:t xml:space="preserve">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that [defendant-employer] intentionally discriminated against [plaintiff]  in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w:t>
      </w:r>
      <w:r w:rsidRPr="00C0198E">
        <w:rPr>
          <w:color w:val="000000"/>
        </w:rPr>
        <w:lastRenderedPageBreak/>
        <w:t>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backpay award under Section 1981 is not restricted to the two years specified for backpay recovery under Title VII. </w:t>
      </w:r>
      <w:r w:rsidRPr="002A4E46">
        <w:rPr>
          <w:i/>
          <w:color w:val="000000"/>
        </w:rPr>
        <w:t>Id</w:t>
      </w:r>
      <w:r w:rsidRPr="00C0198E">
        <w:rPr>
          <w:color w:val="000000"/>
        </w:rPr>
        <w:t xml:space="preserve">.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See Laskaris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5"/>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is  no right to a jury trial for a claim for front pay.</w:t>
      </w:r>
    </w:p>
    <w:p w14:paraId="2ECCFE4E" w14:textId="41546BF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2A4E46">
        <w:rPr>
          <w:i/>
          <w:color w:val="000000"/>
        </w:rPr>
        <w:t>See</w:t>
      </w:r>
      <w:r w:rsidRPr="00C0198E">
        <w:rPr>
          <w:color w:val="000000"/>
        </w:rPr>
        <w:t xml:space="preserve"> Fed. R.</w:t>
      </w:r>
      <w:r w:rsidR="001D252F">
        <w:rPr>
          <w:color w:val="000000"/>
        </w:rPr>
        <w:t xml:space="preserve"> </w:t>
      </w:r>
      <w:r w:rsidRPr="00C0198E">
        <w:rPr>
          <w:color w:val="000000"/>
        </w:rPr>
        <w:t>Civ.</w:t>
      </w:r>
      <w:r w:rsidR="001D252F">
        <w:rPr>
          <w:color w:val="000000"/>
        </w:rPr>
        <w:t xml:space="preserve"> </w:t>
      </w:r>
      <w:r w:rsidRPr="00C0198E">
        <w:rPr>
          <w:color w:val="000000"/>
        </w:rPr>
        <w:t xml:space="preserve">P. 39(c).  Alternatively, the parties may stipulate to a jury determination on front pay, in which case this instruction would also be appropriate.  </w:t>
      </w:r>
      <w:r w:rsidRPr="00C0198E">
        <w:rPr>
          <w:i/>
          <w:color w:val="000000"/>
        </w:rPr>
        <w:t>See  Feldman v. Philadelphia Housing Auth.</w:t>
      </w:r>
      <w:r w:rsidRPr="00C0198E">
        <w:rPr>
          <w:color w:val="000000"/>
        </w:rPr>
        <w:t>, 43 F.3d 823, 832 (3d Cir.</w:t>
      </w:r>
      <w:r w:rsidR="00316EB8">
        <w:rPr>
          <w:color w:val="000000"/>
        </w:rPr>
        <w:t xml:space="preserve"> </w:t>
      </w:r>
      <w:r w:rsidRPr="00C0198E">
        <w:rPr>
          <w:color w:val="000000"/>
        </w:rPr>
        <w:t>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w:t>
      </w:r>
      <w:r w:rsidRPr="002A4E46">
        <w:rPr>
          <w:i/>
          <w:color w:val="000000"/>
        </w:rPr>
        <w:t>Id</w:t>
      </w:r>
      <w:r w:rsidRPr="00C0198E">
        <w:rPr>
          <w:color w:val="000000"/>
        </w:rPr>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r w:rsidRPr="00C0198E">
        <w:rPr>
          <w:i/>
          <w:color w:val="000000"/>
        </w:rPr>
        <w:t>Kaczkowski v. Bolubasz</w:t>
      </w:r>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42616EC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See Erebia v. Chrysler Plastic Products Corp.</w:t>
      </w:r>
      <w:r w:rsidRPr="00C0198E">
        <w:rPr>
          <w:color w:val="000000"/>
        </w:rPr>
        <w:t>, 772 F.2d 1250, 1259 (6th Cir.</w:t>
      </w:r>
      <w:r w:rsidR="00316EB8">
        <w:rPr>
          <w:color w:val="000000"/>
        </w:rPr>
        <w:t xml:space="preserve"> </w:t>
      </w:r>
      <w:r w:rsidRPr="00C0198E">
        <w:rPr>
          <w:color w:val="000000"/>
        </w:rPr>
        <w:t xml:space="preserve">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C0198E">
        <w:rPr>
          <w:i/>
          <w:color w:val="000000"/>
        </w:rPr>
        <w:t>Pryer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r w:rsidRPr="00C0198E">
        <w:rPr>
          <w:color w:val="000000"/>
        </w:rPr>
        <w:t xml:space="preserve">at 453.  The court observed that the district court had “recognized that he had erroneously instructed the jury on nominal damages and failed to inform it of the availability of compensatory damages for pain and suffering.”  </w:t>
      </w:r>
      <w:r w:rsidRPr="002A4E46">
        <w:rPr>
          <w:i/>
          <w:color w:val="000000"/>
        </w:rPr>
        <w:t>Id</w:t>
      </w:r>
      <w:r w:rsidRPr="00C0198E">
        <w:rPr>
          <w:color w:val="000000"/>
        </w:rPr>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2A4E46">
        <w:rPr>
          <w:i/>
          <w:color w:val="000000"/>
        </w:rPr>
        <w:t>Id</w:t>
      </w:r>
      <w:r w:rsidRPr="00C0198E">
        <w:rPr>
          <w:color w:val="000000"/>
        </w:rPr>
        <w:t>. at 454.</w:t>
      </w:r>
    </w:p>
    <w:p w14:paraId="27C884DC" w14:textId="6D3A54BC"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w:t>
      </w:r>
      <w:r w:rsidR="00316EB8">
        <w:rPr>
          <w:color w:val="000000"/>
        </w:rPr>
        <w:t xml:space="preserve"> </w:t>
      </w:r>
      <w:r w:rsidRPr="00C0198E">
        <w:rPr>
          <w:color w:val="000000"/>
        </w:rPr>
        <w:t>Pa.</w:t>
      </w:r>
      <w:r w:rsidR="00316EB8">
        <w:rPr>
          <w:color w:val="000000"/>
        </w:rPr>
        <w:t xml:space="preserve"> </w:t>
      </w:r>
      <w:r w:rsidRPr="00C0198E">
        <w:rPr>
          <w:color w:val="000000"/>
        </w:rPr>
        <w:t xml:space="preserve">1977) ("It is clear that the rule of law in the Third Circuit is that </w:t>
      </w:r>
      <w:r w:rsidRPr="00C0198E">
        <w:rPr>
          <w:rStyle w:val="searchterm"/>
          <w:color w:val="000000"/>
        </w:rPr>
        <w:t>nominal damages</w:t>
      </w:r>
      <w:r w:rsidRPr="00C0198E">
        <w:rPr>
          <w:color w:val="000000"/>
        </w:rPr>
        <w:t xml:space="preserve"> may not exceed $1.00.") (citing </w:t>
      </w:r>
      <w:r w:rsidRPr="00C0198E">
        <w:rPr>
          <w:i/>
          <w:color w:val="000000"/>
        </w:rPr>
        <w:t>United States ex rel. Tyrrell v. Speaker,</w:t>
      </w:r>
      <w:r w:rsidRPr="00C0198E">
        <w:rPr>
          <w:color w:val="000000"/>
        </w:rPr>
        <w:t xml:space="preserve"> 535 F.2d 823, 830 (3d Cir.</w:t>
      </w:r>
      <w:r w:rsidR="00316EB8">
        <w:rPr>
          <w:color w:val="000000"/>
        </w:rPr>
        <w:t xml:space="preserve"> </w:t>
      </w:r>
      <w:r w:rsidRPr="00C0198E">
        <w:rPr>
          <w:color w:val="000000"/>
        </w:rPr>
        <w:t>1976)).</w:t>
      </w:r>
    </w:p>
    <w:sectPr w:rsidR="00252756" w:rsidRPr="005E1416" w:rsidSect="00C66B66">
      <w:headerReference w:type="default" r:id="rId27"/>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0FE8" w14:textId="77777777" w:rsidR="00357F39" w:rsidRDefault="00357F39">
      <w:r>
        <w:separator/>
      </w:r>
    </w:p>
  </w:endnote>
  <w:endnote w:type="continuationSeparator" w:id="0">
    <w:p w14:paraId="0FD7E109" w14:textId="77777777" w:rsidR="00357F39" w:rsidRDefault="00357F39">
      <w:r>
        <w:continuationSeparator/>
      </w:r>
    </w:p>
  </w:endnote>
  <w:endnote w:type="continuationNotice" w:id="1">
    <w:p w14:paraId="36914B96" w14:textId="77777777" w:rsidR="00357F39" w:rsidRDefault="00357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7E0B" w14:textId="75632342"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0C44" w14:textId="0F175D00" w:rsidR="009C34C0" w:rsidRPr="005E1416" w:rsidRDefault="009C34C0">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Pr>
        <w:rFonts w:ascii="Century Schoolbook" w:hAnsi="Century Schoolbook"/>
        <w:noProof/>
      </w:rPr>
      <w:t>38</w:t>
    </w:r>
    <w:r w:rsidRPr="005E1416">
      <w:rPr>
        <w:rFonts w:ascii="Century Schoolbook" w:hAnsi="Century Schoolbook"/>
        <w:noProof/>
      </w:rPr>
      <w:fldChar w:fldCharType="end"/>
    </w:r>
  </w:p>
  <w:p w14:paraId="48F56F02" w14:textId="4A0CFA62" w:rsidR="009C34C0" w:rsidRDefault="009C34C0"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r w:rsidRPr="005E1416">
      <w:rPr>
        <w:rFonts w:ascii="Century Schoolbook" w:hAnsi="Century Schoolbook"/>
        <w:i/>
      </w:rPr>
      <w:t xml:space="preserve">Last updated </w:t>
    </w:r>
    <w:r w:rsidR="00B131C6">
      <w:rPr>
        <w:rFonts w:ascii="Century Schoolbook" w:hAnsi="Century Schoolbook"/>
        <w:i/>
      </w:rPr>
      <w:t>August</w:t>
    </w:r>
    <w:r w:rsidR="00453129">
      <w:rPr>
        <w:rFonts w:ascii="Century Schoolbook" w:hAnsi="Century Schoolbook"/>
        <w:i/>
      </w:rPr>
      <w:t xml:space="preserve"> 2020</w:t>
    </w:r>
  </w:p>
  <w:p w14:paraId="32565EB9" w14:textId="2FC25B86" w:rsidR="00453129" w:rsidRDefault="00453129"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p>
  <w:p w14:paraId="4E3DF19B" w14:textId="77777777" w:rsidR="00453129" w:rsidRPr="005E1416" w:rsidRDefault="00453129" w:rsidP="0045312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720"/>
      <w:jc w:val="right"/>
      <w:rPr>
        <w:rFonts w:ascii="Century Schoolbook" w:hAnsi="Century Schoolbook"/>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D76F9" w14:textId="77777777" w:rsidR="00357F39" w:rsidRDefault="00357F39">
      <w:r>
        <w:separator/>
      </w:r>
    </w:p>
  </w:footnote>
  <w:footnote w:type="continuationSeparator" w:id="0">
    <w:p w14:paraId="172A7DCE" w14:textId="77777777" w:rsidR="00357F39" w:rsidRDefault="00357F39">
      <w:r>
        <w:continuationSeparator/>
      </w:r>
    </w:p>
  </w:footnote>
  <w:footnote w:type="continuationNotice" w:id="1">
    <w:p w14:paraId="4301A073" w14:textId="77777777" w:rsidR="00357F39" w:rsidRDefault="00357F39"/>
  </w:footnote>
  <w:footnote w:id="2">
    <w:p w14:paraId="529DC1F0" w14:textId="77D13903"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3">
    <w:p w14:paraId="5A1943DE" w14:textId="5759E52C" w:rsidR="009C34C0" w:rsidRDefault="009C34C0">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r w:rsidRPr="005B2259">
        <w:rPr>
          <w:i/>
        </w:rPr>
        <w:t>Faush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at 209 (holding that jury question existed as to whether the client of a temporary-staffing agency counted as an employer of one of the agency’s employees for Title VII purposes), </w:t>
      </w:r>
      <w:r w:rsidRPr="005C49B1">
        <w:rPr>
          <w:i/>
        </w:rPr>
        <w:t>with id.</w:t>
      </w:r>
      <w:r w:rsidRPr="005B2259">
        <w:t xml:space="preserve"> at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4">
    <w:p w14:paraId="1D895015" w14:textId="024C6C0D"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5">
    <w:p w14:paraId="37D1EA4E" w14:textId="77777777"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9C34C0" w:rsidRDefault="009C34C0"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6">
    <w:p w14:paraId="039EC582" w14:textId="77777777" w:rsidR="009C34C0" w:rsidRDefault="009C34C0"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Pennsylvania State Police v. Suders</w:t>
      </w:r>
      <w:r>
        <w:t>, 542 U.S. 129, 150 (2004).</w:t>
      </w:r>
    </w:p>
  </w:footnote>
  <w:footnote w:id="7">
    <w:p w14:paraId="32DB4BAD" w14:textId="77777777" w:rsidR="009C34C0" w:rsidRDefault="009C34C0">
      <w:pPr>
        <w:spacing w:after="240"/>
      </w:pPr>
      <w:r>
        <w:rPr>
          <w:vertAlign w:val="superscript"/>
        </w:rPr>
        <w:t>8</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8">
    <w:p w14:paraId="02144F4A" w14:textId="77777777" w:rsidR="009C34C0" w:rsidRDefault="009C34C0">
      <w:pPr>
        <w:spacing w:after="240"/>
      </w:pPr>
      <w:r>
        <w:rPr>
          <w:vertAlign w:val="superscript"/>
        </w:rPr>
        <w:t>9</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9">
    <w:p w14:paraId="2373683B" w14:textId="77777777" w:rsidR="009C34C0" w:rsidRPr="00E50D4F" w:rsidRDefault="009C34C0"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0">
    <w:p w14:paraId="461D03BB" w14:textId="77777777" w:rsidR="009C34C0" w:rsidRPr="00E50D4F" w:rsidRDefault="009C34C0"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1">
    <w:p w14:paraId="24ADF896" w14:textId="7B669ECF" w:rsidR="009C34C0" w:rsidRDefault="009C34C0">
      <w:pPr>
        <w:pStyle w:val="FootnoteText"/>
      </w:pPr>
      <w:r>
        <w:rPr>
          <w:rStyle w:val="FootnoteReference"/>
        </w:rPr>
        <w:footnoteRef/>
      </w:r>
      <w:r>
        <w:t xml:space="preserve"> </w:t>
      </w:r>
      <w:r w:rsidRPr="004E4D45">
        <w:t xml:space="preserve">However, because Section 1981 does not encompass sex discrimination, a complaint of sex discrimination would not count as protected activity so as to trigger a Section 1981 retaliation claim.  </w:t>
      </w:r>
      <w:r w:rsidRPr="004E4D45">
        <w:rPr>
          <w:i/>
        </w:rPr>
        <w:t>See Carvalho-Grevious v. Delaware State Univ</w:t>
      </w:r>
      <w:r w:rsidRPr="004E4D45">
        <w:t>., 851 F.3d 249, 257 (3d Cir. 2017) (“Title VII and § 1981 … are not coextensive, and to the extent that any of Dr. Grevious’s retaliation claims … are based on Dr. Grevious's complaints of gender discrimination, those claims are not cognizable” under Section 1981).</w:t>
      </w:r>
    </w:p>
  </w:footnote>
  <w:footnote w:id="12">
    <w:p w14:paraId="5D1A21F4" w14:textId="77777777" w:rsidR="009C34C0" w:rsidRPr="00952E00" w:rsidRDefault="009C34C0"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9C34C0" w:rsidRPr="00952E00" w:rsidRDefault="009C34C0" w:rsidP="008E2A59">
      <w:pPr>
        <w:numPr>
          <w:ilvl w:val="12"/>
          <w:numId w:val="0"/>
        </w:numPr>
        <w:ind w:left="720" w:right="720"/>
      </w:pPr>
    </w:p>
    <w:p w14:paraId="554AE45F" w14:textId="77777777" w:rsidR="009C34C0" w:rsidRPr="00952E00" w:rsidRDefault="009C34C0"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9C34C0" w:rsidRPr="00952E00" w:rsidRDefault="009C34C0" w:rsidP="008E2A59">
      <w:pPr>
        <w:numPr>
          <w:ilvl w:val="12"/>
          <w:numId w:val="0"/>
        </w:numPr>
        <w:ind w:left="720" w:right="720"/>
      </w:pPr>
    </w:p>
    <w:p w14:paraId="586A43F3" w14:textId="77777777" w:rsidR="009C34C0" w:rsidRDefault="009C34C0" w:rsidP="005A0E5F">
      <w:pPr>
        <w:pStyle w:val="FootnoteText"/>
        <w:ind w:firstLine="0"/>
        <w:rPr>
          <w:szCs w:val="24"/>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p w14:paraId="4CE863F4" w14:textId="77777777" w:rsidR="009C34C0" w:rsidRDefault="009C34C0" w:rsidP="005A0E5F">
      <w:pPr>
        <w:pStyle w:val="FootnoteText"/>
        <w:ind w:firstLine="0"/>
        <w:rPr>
          <w:szCs w:val="24"/>
        </w:rPr>
      </w:pPr>
    </w:p>
    <w:p w14:paraId="5A6F72E9" w14:textId="342E523A" w:rsidR="009C34C0" w:rsidRPr="008A1534" w:rsidRDefault="009C34C0" w:rsidP="008A1534">
      <w:pPr>
        <w:pStyle w:val="FootnoteText"/>
      </w:pPr>
      <w:r w:rsidRPr="008A1534">
        <w:t xml:space="preserve">In </w:t>
      </w:r>
      <w:r w:rsidRPr="008A1534">
        <w:rPr>
          <w:i/>
        </w:rPr>
        <w:t>Castleberry</w:t>
      </w:r>
      <w:r w:rsidRPr="008A1534">
        <w:t xml:space="preserve">, the court of appeals quoted the </w:t>
      </w:r>
      <w:r w:rsidRPr="008A1534">
        <w:rPr>
          <w:i/>
        </w:rPr>
        <w:t>Oliva</w:t>
      </w:r>
      <w:r w:rsidRPr="008A1534">
        <w:t xml:space="preserve"> court’s statement about requiring an underlying violation, but then continued:  “In doing so, the plaintiff ‘must have acted under a good faith, reasonable belief that a violation existed.</w:t>
      </w:r>
      <w:r>
        <w:t>’ ”</w:t>
      </w:r>
      <w:r w:rsidRPr="008A1534">
        <w:t xml:space="preserve">  </w:t>
      </w:r>
      <w:r w:rsidRPr="008A1534">
        <w:rPr>
          <w:i/>
        </w:rPr>
        <w:t>Castleberry v. STI Grp</w:t>
      </w:r>
      <w:r w:rsidRPr="008A1534">
        <w:t xml:space="preserve">., 863 F.3d 259, 267 (3d Cir. 2017) (quoting </w:t>
      </w:r>
      <w:r w:rsidRPr="008A1534">
        <w:rPr>
          <w:i/>
        </w:rPr>
        <w:t>Daniels v. Sch. Dist. of Phila</w:t>
      </w:r>
      <w:r w:rsidRPr="008A1534">
        <w:t xml:space="preserve">., 776 F.3d 181, 193 (3d Cir. 2015)).  The import of </w:t>
      </w:r>
      <w:r w:rsidRPr="008A1534">
        <w:rPr>
          <w:i/>
        </w:rPr>
        <w:t>Castleberry</w:t>
      </w:r>
      <w:r w:rsidRPr="008A1534">
        <w:t xml:space="preserve"> is unclear.</w:t>
      </w:r>
    </w:p>
  </w:footnote>
  <w:footnote w:id="13">
    <w:p w14:paraId="2C7AAB99" w14:textId="2639D11E" w:rsidR="009C34C0" w:rsidRPr="001229D2" w:rsidRDefault="009C34C0">
      <w:pPr>
        <w:pStyle w:val="FootnoteText"/>
      </w:pPr>
      <w:r>
        <w:rPr>
          <w:rStyle w:val="FootnoteReference"/>
        </w:rPr>
        <w:footnoteRef/>
      </w:r>
      <w:r>
        <w:t xml:space="preserve"> See supra note </w:t>
      </w:r>
      <w:fldSimple w:instr=" NOTEREF _Ref501091588 ">
        <w:r w:rsidR="0066396D">
          <w:t>9</w:t>
        </w:r>
      </w:fldSimple>
      <w:r w:rsidR="00A50344">
        <w:t>3</w:t>
      </w:r>
      <w:r>
        <w:t xml:space="preserve"> for a discussion of </w:t>
      </w:r>
      <w:r>
        <w:rPr>
          <w:i/>
        </w:rPr>
        <w:t>Castleberry</w:t>
      </w:r>
      <w:r>
        <w:t>.</w:t>
      </w:r>
    </w:p>
  </w:footnote>
  <w:footnote w:id="14">
    <w:p w14:paraId="7D0BBE5A" w14:textId="77777777" w:rsidR="009C34C0" w:rsidRDefault="009C34C0"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7064" w14:textId="77777777"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5C1D" w14:textId="73FE8AB0"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4712" w14:textId="004A9DB6"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3F51" w14:textId="25B6606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7CCF" w14:textId="493A81D9"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1193" w14:textId="6690ED8B"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AE3A" w14:textId="1DBEB75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4DEB" w14:textId="18D3106A"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30CD" w14:textId="7E11F04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95FE" w14:textId="72E3600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EA17" w14:textId="431CB38F"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4.4   Front Pay – For Advisory or Stipulated Jury</w:t>
    </w:r>
  </w:p>
  <w:p w14:paraId="4C13529D"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F678" w14:textId="77777777" w:rsidR="009C34C0" w:rsidRDefault="009C34C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56A4"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1518F" w14:textId="2E13F7F6"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F30B0"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B13B" w14:textId="3405F90A"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CB8D" w14:textId="316A55A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027F" w14:textId="0F886FE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7CBE" w14:textId="11DFCCB1"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1CDD" w14:textId="0F3D366B"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9C34C0" w:rsidRPr="00096944" w:rsidRDefault="009C34C0"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8F"/>
    <w:rsid w:val="00016EFC"/>
    <w:rsid w:val="00021633"/>
    <w:rsid w:val="00033FA8"/>
    <w:rsid w:val="00041D5B"/>
    <w:rsid w:val="00071B75"/>
    <w:rsid w:val="0007427B"/>
    <w:rsid w:val="00096944"/>
    <w:rsid w:val="000A683A"/>
    <w:rsid w:val="000B2E42"/>
    <w:rsid w:val="000C39EA"/>
    <w:rsid w:val="000D1D9D"/>
    <w:rsid w:val="000E6D92"/>
    <w:rsid w:val="000F62F9"/>
    <w:rsid w:val="00122623"/>
    <w:rsid w:val="001229D2"/>
    <w:rsid w:val="00162130"/>
    <w:rsid w:val="00187C73"/>
    <w:rsid w:val="001A26A2"/>
    <w:rsid w:val="001B07DE"/>
    <w:rsid w:val="001B2FA7"/>
    <w:rsid w:val="001B3D30"/>
    <w:rsid w:val="001D21D4"/>
    <w:rsid w:val="001D252F"/>
    <w:rsid w:val="001D3739"/>
    <w:rsid w:val="001F0CF8"/>
    <w:rsid w:val="001F5562"/>
    <w:rsid w:val="00214E6C"/>
    <w:rsid w:val="00233835"/>
    <w:rsid w:val="002449BE"/>
    <w:rsid w:val="00252756"/>
    <w:rsid w:val="00255F13"/>
    <w:rsid w:val="00261905"/>
    <w:rsid w:val="00264765"/>
    <w:rsid w:val="0027175C"/>
    <w:rsid w:val="0029440C"/>
    <w:rsid w:val="002A3B6F"/>
    <w:rsid w:val="002A4E46"/>
    <w:rsid w:val="002B6E62"/>
    <w:rsid w:val="002B7A5D"/>
    <w:rsid w:val="002F6992"/>
    <w:rsid w:val="00311D13"/>
    <w:rsid w:val="00313DA4"/>
    <w:rsid w:val="00315BE7"/>
    <w:rsid w:val="00316EB8"/>
    <w:rsid w:val="003274B0"/>
    <w:rsid w:val="00357F39"/>
    <w:rsid w:val="0038594F"/>
    <w:rsid w:val="003A6D7A"/>
    <w:rsid w:val="003E5734"/>
    <w:rsid w:val="003F740B"/>
    <w:rsid w:val="004113EF"/>
    <w:rsid w:val="00433DAB"/>
    <w:rsid w:val="00447DAD"/>
    <w:rsid w:val="00453129"/>
    <w:rsid w:val="004551A7"/>
    <w:rsid w:val="00455A0C"/>
    <w:rsid w:val="00471D66"/>
    <w:rsid w:val="00487363"/>
    <w:rsid w:val="004B21C5"/>
    <w:rsid w:val="004D7B13"/>
    <w:rsid w:val="004E3D42"/>
    <w:rsid w:val="004E4D45"/>
    <w:rsid w:val="004E512D"/>
    <w:rsid w:val="004F00E2"/>
    <w:rsid w:val="00513546"/>
    <w:rsid w:val="00513825"/>
    <w:rsid w:val="005179C4"/>
    <w:rsid w:val="005252C5"/>
    <w:rsid w:val="00527975"/>
    <w:rsid w:val="00532CF1"/>
    <w:rsid w:val="00540FAB"/>
    <w:rsid w:val="00541DBE"/>
    <w:rsid w:val="0056092A"/>
    <w:rsid w:val="0058172A"/>
    <w:rsid w:val="00595F43"/>
    <w:rsid w:val="005A0E5F"/>
    <w:rsid w:val="005B0995"/>
    <w:rsid w:val="005B2259"/>
    <w:rsid w:val="005C191D"/>
    <w:rsid w:val="005C2917"/>
    <w:rsid w:val="005C49B1"/>
    <w:rsid w:val="005C623D"/>
    <w:rsid w:val="005E1416"/>
    <w:rsid w:val="005E2183"/>
    <w:rsid w:val="005F4485"/>
    <w:rsid w:val="0060368F"/>
    <w:rsid w:val="00603B4A"/>
    <w:rsid w:val="00604665"/>
    <w:rsid w:val="00613DA0"/>
    <w:rsid w:val="00621424"/>
    <w:rsid w:val="00622783"/>
    <w:rsid w:val="00645798"/>
    <w:rsid w:val="00657C48"/>
    <w:rsid w:val="0066396D"/>
    <w:rsid w:val="0067643C"/>
    <w:rsid w:val="006812D0"/>
    <w:rsid w:val="00682FC4"/>
    <w:rsid w:val="00685490"/>
    <w:rsid w:val="006971A9"/>
    <w:rsid w:val="006D46A1"/>
    <w:rsid w:val="006D6CAD"/>
    <w:rsid w:val="006E0EF7"/>
    <w:rsid w:val="006F0C2A"/>
    <w:rsid w:val="006F6A2C"/>
    <w:rsid w:val="00725FFE"/>
    <w:rsid w:val="00727421"/>
    <w:rsid w:val="00765400"/>
    <w:rsid w:val="00770DA8"/>
    <w:rsid w:val="00787957"/>
    <w:rsid w:val="007961B2"/>
    <w:rsid w:val="007B60E8"/>
    <w:rsid w:val="007D11CE"/>
    <w:rsid w:val="007D464A"/>
    <w:rsid w:val="007E72B3"/>
    <w:rsid w:val="007F3A28"/>
    <w:rsid w:val="008172AD"/>
    <w:rsid w:val="00827D46"/>
    <w:rsid w:val="00850DC6"/>
    <w:rsid w:val="00851E5D"/>
    <w:rsid w:val="00860CAC"/>
    <w:rsid w:val="00862F3D"/>
    <w:rsid w:val="00873415"/>
    <w:rsid w:val="00880D60"/>
    <w:rsid w:val="008A1534"/>
    <w:rsid w:val="008A5787"/>
    <w:rsid w:val="008C6ED1"/>
    <w:rsid w:val="008E2A59"/>
    <w:rsid w:val="0091203D"/>
    <w:rsid w:val="00942F72"/>
    <w:rsid w:val="00943ADE"/>
    <w:rsid w:val="00952E00"/>
    <w:rsid w:val="0095674D"/>
    <w:rsid w:val="009575C8"/>
    <w:rsid w:val="00961912"/>
    <w:rsid w:val="009B146C"/>
    <w:rsid w:val="009C0DEC"/>
    <w:rsid w:val="009C34C0"/>
    <w:rsid w:val="009D169A"/>
    <w:rsid w:val="009D3EB2"/>
    <w:rsid w:val="009F0679"/>
    <w:rsid w:val="00A00D5B"/>
    <w:rsid w:val="00A03229"/>
    <w:rsid w:val="00A40600"/>
    <w:rsid w:val="00A50344"/>
    <w:rsid w:val="00A827D9"/>
    <w:rsid w:val="00B0521A"/>
    <w:rsid w:val="00B12F80"/>
    <w:rsid w:val="00B131C6"/>
    <w:rsid w:val="00B346BD"/>
    <w:rsid w:val="00B40311"/>
    <w:rsid w:val="00B42BBB"/>
    <w:rsid w:val="00B47674"/>
    <w:rsid w:val="00B57185"/>
    <w:rsid w:val="00B71758"/>
    <w:rsid w:val="00B83D63"/>
    <w:rsid w:val="00B87F2B"/>
    <w:rsid w:val="00BC0651"/>
    <w:rsid w:val="00BD3A37"/>
    <w:rsid w:val="00BD760B"/>
    <w:rsid w:val="00BD7D30"/>
    <w:rsid w:val="00BF603A"/>
    <w:rsid w:val="00C0198E"/>
    <w:rsid w:val="00C04214"/>
    <w:rsid w:val="00C05529"/>
    <w:rsid w:val="00C128A3"/>
    <w:rsid w:val="00C34EAC"/>
    <w:rsid w:val="00C35D5C"/>
    <w:rsid w:val="00C35EB0"/>
    <w:rsid w:val="00C45075"/>
    <w:rsid w:val="00C501E1"/>
    <w:rsid w:val="00C50F0B"/>
    <w:rsid w:val="00C6390A"/>
    <w:rsid w:val="00C66B66"/>
    <w:rsid w:val="00C870E5"/>
    <w:rsid w:val="00CB4AA8"/>
    <w:rsid w:val="00CB5C0B"/>
    <w:rsid w:val="00CD0B0C"/>
    <w:rsid w:val="00D03D7A"/>
    <w:rsid w:val="00D46C48"/>
    <w:rsid w:val="00D5583B"/>
    <w:rsid w:val="00D86DE6"/>
    <w:rsid w:val="00DA5792"/>
    <w:rsid w:val="00DD5D94"/>
    <w:rsid w:val="00DF7C27"/>
    <w:rsid w:val="00E02A3B"/>
    <w:rsid w:val="00E161E9"/>
    <w:rsid w:val="00E421D7"/>
    <w:rsid w:val="00E90721"/>
    <w:rsid w:val="00E93166"/>
    <w:rsid w:val="00EA7850"/>
    <w:rsid w:val="00EB358D"/>
    <w:rsid w:val="00EC77D5"/>
    <w:rsid w:val="00ED13A8"/>
    <w:rsid w:val="00EF0DC0"/>
    <w:rsid w:val="00EF321F"/>
    <w:rsid w:val="00EF4E84"/>
    <w:rsid w:val="00F12850"/>
    <w:rsid w:val="00F24821"/>
    <w:rsid w:val="00F33A1E"/>
    <w:rsid w:val="00F4116E"/>
    <w:rsid w:val="00F41DB0"/>
    <w:rsid w:val="00F50C3E"/>
    <w:rsid w:val="00F7081A"/>
    <w:rsid w:val="00F76A40"/>
    <w:rsid w:val="00F779F9"/>
    <w:rsid w:val="00F81532"/>
    <w:rsid w:val="00F84935"/>
    <w:rsid w:val="00F854F5"/>
    <w:rsid w:val="00F86270"/>
    <w:rsid w:val="00F94EE1"/>
    <w:rsid w:val="00FB7903"/>
    <w:rsid w:val="00FC0F6C"/>
    <w:rsid w:val="00FC579D"/>
    <w:rsid w:val="00FD4AED"/>
    <w:rsid w:val="00FD75F4"/>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1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316EB8"/>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 w:type="character" w:customStyle="1" w:styleId="ssprior">
    <w:name w:val="ss_prior"/>
    <w:basedOn w:val="DefaultParagraphFont"/>
    <w:rsid w:val="002A3B6F"/>
  </w:style>
  <w:style w:type="character" w:styleId="CommentReference">
    <w:name w:val="annotation reference"/>
    <w:basedOn w:val="DefaultParagraphFont"/>
    <w:uiPriority w:val="99"/>
    <w:semiHidden/>
    <w:unhideWhenUsed/>
    <w:rsid w:val="009C34C0"/>
    <w:rPr>
      <w:sz w:val="16"/>
      <w:szCs w:val="16"/>
    </w:rPr>
  </w:style>
  <w:style w:type="paragraph" w:styleId="CommentText">
    <w:name w:val="annotation text"/>
    <w:basedOn w:val="Normal"/>
    <w:link w:val="CommentTextChar"/>
    <w:uiPriority w:val="99"/>
    <w:semiHidden/>
    <w:unhideWhenUsed/>
    <w:rsid w:val="009C34C0"/>
    <w:rPr>
      <w:sz w:val="20"/>
    </w:rPr>
  </w:style>
  <w:style w:type="character" w:customStyle="1" w:styleId="CommentTextChar">
    <w:name w:val="Comment Text Char"/>
    <w:basedOn w:val="DefaultParagraphFont"/>
    <w:link w:val="CommentText"/>
    <w:uiPriority w:val="99"/>
    <w:semiHidden/>
    <w:rsid w:val="009C34C0"/>
  </w:style>
  <w:style w:type="paragraph" w:styleId="CommentSubject">
    <w:name w:val="annotation subject"/>
    <w:basedOn w:val="CommentText"/>
    <w:next w:val="CommentText"/>
    <w:link w:val="CommentSubjectChar"/>
    <w:uiPriority w:val="99"/>
    <w:semiHidden/>
    <w:unhideWhenUsed/>
    <w:rsid w:val="009C34C0"/>
    <w:rPr>
      <w:b/>
      <w:bCs/>
    </w:rPr>
  </w:style>
  <w:style w:type="character" w:customStyle="1" w:styleId="CommentSubjectChar">
    <w:name w:val="Comment Subject Char"/>
    <w:basedOn w:val="CommentTextChar"/>
    <w:link w:val="CommentSubject"/>
    <w:uiPriority w:val="99"/>
    <w:semiHidden/>
    <w:rsid w:val="009C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13827</Words>
  <Characters>78819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2021-08-04T11:02:00Z</dcterms:created>
  <dcterms:modified xsi:type="dcterms:W3CDTF">2021-08-04T11:04:00Z</dcterms:modified>
</cp:coreProperties>
</file>