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1. Preliminary Instructions For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1.9     Note-Taking By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For Use During Trial </w:t>
      </w:r>
    </w:p>
    <w:p w14:paraId="2C9A6C41" w14:textId="77777777" w:rsidR="0069027D" w:rsidRPr="0015449C" w:rsidRDefault="00704476" w:rsidP="00F96D1A">
      <w:pPr>
        <w:widowControl w:val="0"/>
        <w:spacing w:after="240"/>
        <w:jc w:val="both"/>
      </w:pPr>
      <w:r w:rsidRPr="0015449C">
        <w:tab/>
        <w:t>2.1    Impeachment of Witness’s Character for Truthfulness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3.   General Instructions For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7"/>
          <w:headerReference w:type="default" r:id="rId8"/>
          <w:footerReference w:type="even" r:id="rId9"/>
          <w:footerReference w:type="default" r:id="rId10"/>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 xml:space="preserve">This instruction is derived from the Bench Book for United States District Court Judges (Federal Judicial Center), and tracks similar pattern instructions in the First Circuit (Criminal 1.01) and Eleventh Circuit (2.1).  </w:t>
      </w:r>
      <w:r w:rsidRPr="0015449C">
        <w:rPr>
          <w:i/>
        </w:rPr>
        <w:t>See also</w:t>
      </w:r>
      <w:r w:rsidRPr="0015449C">
        <w:t xml:space="preserve"> Fifth Circuit 1.1.  For other versions of this instruction, see Sixth Circuit (Criminal) 1.02; Eighth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r w:rsidRPr="0015449C">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1"/>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r w:rsidRPr="0015449C">
        <w:rPr>
          <w:b/>
          <w:sz w:val="28"/>
        </w:rPr>
        <w:lastRenderedPageBreak/>
        <w:t>1.2</w:t>
      </w:r>
      <w:r w:rsidRPr="0015449C">
        <w:rPr>
          <w:b/>
        </w:rPr>
        <w:t xml:space="preserve"> </w:t>
      </w:r>
      <w:r w:rsidRPr="0015449C">
        <w:rPr>
          <w:b/>
          <w:sz w:val="28"/>
        </w:rPr>
        <w:t xml:space="preserve"> Preliminary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This instruction is derived from the pattern instruction used by United States District Courts in Camden. It is similar to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voir dire, or in light of what was given </w:t>
      </w:r>
      <w:r w:rsidR="00505080" w:rsidRPr="0015449C">
        <w:t>at the beginning of voir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2"/>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r w:rsidRPr="0015449C">
        <w:t xml:space="preserve">Now, a few words about your conduct as jurors. </w:t>
      </w:r>
    </w:p>
    <w:p w14:paraId="69647F0C" w14:textId="4E98A6D9" w:rsidR="0069027D" w:rsidRPr="0015449C" w:rsidRDefault="00704476" w:rsidP="00F96D1A">
      <w:pPr>
        <w:widowControl w:val="0"/>
        <w:spacing w:after="240"/>
        <w:jc w:val="both"/>
      </w:pPr>
      <w:r w:rsidRPr="0015449C">
        <w:tab/>
        <w:t>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MySpace, LinkedIn, and YouTube].</w:t>
      </w:r>
    </w:p>
    <w:p w14:paraId="5105A08F" w14:textId="77777777" w:rsidR="0069027D" w:rsidRPr="0015449C" w:rsidRDefault="00704476" w:rsidP="00F96D1A">
      <w:pPr>
        <w:widowControl w:val="0"/>
        <w:spacing w:after="240"/>
        <w:jc w:val="both"/>
      </w:pPr>
      <w:r w:rsidRPr="0015449C">
        <w:tab/>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 xml:space="preserve">Again, do not reach any conclusion on the claims [or defenses]  until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55352EA8" w:rsidR="0069027D" w:rsidRPr="0015449C" w:rsidRDefault="00704476" w:rsidP="00F96D1A">
      <w:pPr>
        <w:widowControl w:val="0"/>
        <w:spacing w:after="240"/>
        <w:jc w:val="both"/>
      </w:pPr>
      <w:r w:rsidRPr="0015449C">
        <w:rPr>
          <w:b/>
        </w:rPr>
        <w:tab/>
      </w:r>
      <w:r w:rsidRPr="0015449C">
        <w:t>This instruction is adapted from the pattern instruction used by United States District Courts in  Delaware. For variations on this instruction, see First Circuit (Criminal) 1.07</w:t>
      </w:r>
      <w:r w:rsidRPr="003E7BE0">
        <w:t>;</w:t>
      </w:r>
      <w:r w:rsidRPr="0015449C">
        <w:rPr>
          <w:b/>
        </w:rPr>
        <w:t xml:space="preserve"> </w:t>
      </w:r>
      <w:r w:rsidRPr="0015449C">
        <w:t xml:space="preserve">Eighth Circuit 1.05; Ninth Circuit 1.12.  </w:t>
      </w:r>
      <w:r w:rsidRPr="003E7BE0">
        <w:rPr>
          <w:i/>
        </w:rPr>
        <w:t>See also</w:t>
      </w:r>
      <w:r w:rsidRPr="0015449C">
        <w:t xml:space="preserve"> Montana 1.4 (concluding the instruction with a warning that “[f]ailure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See United States v. Fumo</w:t>
      </w:r>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r w:rsidRPr="0015449C">
        <w:rPr>
          <w:i/>
        </w:rPr>
        <w:t>Waldorf v. Shuta</w:t>
      </w:r>
      <w:r w:rsidRPr="0015449C">
        <w:t>,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w:t>
      </w:r>
      <w:r w:rsidRPr="003E7BE0">
        <w:rPr>
          <w:i/>
        </w:rPr>
        <w:t>United States v.</w:t>
      </w:r>
      <w:r w:rsidRPr="0015449C">
        <w:t xml:space="preserve">] </w:t>
      </w:r>
      <w:r w:rsidRPr="0015449C">
        <w:rPr>
          <w:i/>
        </w:rPr>
        <w:t>Resko</w:t>
      </w:r>
      <w:r w:rsidRPr="0015449C">
        <w:t>, 3 F.3d [684] at 688 [(3d Cir. 1993)].</w:t>
      </w:r>
    </w:p>
    <w:p w14:paraId="5AEF99C0" w14:textId="77777777" w:rsidR="0069027D" w:rsidRPr="0015449C" w:rsidRDefault="00704476" w:rsidP="00F96D1A">
      <w:pPr>
        <w:widowControl w:val="0"/>
        <w:spacing w:after="240"/>
        <w:jc w:val="both"/>
      </w:pPr>
      <w:r w:rsidRPr="0015449C">
        <w:rPr>
          <w:i/>
        </w:rPr>
        <w:t>United States v. Bertoli</w:t>
      </w:r>
      <w:r w:rsidRPr="0015449C">
        <w:t>, 40 F.3d 1384, 1393 (3d Cir. 1994).</w:t>
      </w:r>
    </w:p>
    <w:p w14:paraId="1B181230" w14:textId="77777777" w:rsidR="0069027D" w:rsidRPr="0015449C" w:rsidRDefault="00704476" w:rsidP="00F96D1A">
      <w:pPr>
        <w:widowControl w:val="0"/>
        <w:spacing w:after="240"/>
        <w:jc w:val="both"/>
      </w:pPr>
      <w:r w:rsidRPr="0015449C">
        <w:tab/>
        <w:t xml:space="preserve">Premature deliberations present a number of concerns, the most important being that jurors who discuss the case among themselves may harden their positions before all of the evidence is presented and the jury is instructed. Moreover, “[o]nce a juror has expressed views on a particular issue, that juror has a ‘stake’ in the expressed views and may give undue weight to additional 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3"/>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We are not trying to keep important information from you. These conferences are necessary for me to fulfill  my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At times during the trial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4"/>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The testimony of the witnesses;</w:t>
      </w:r>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2. Documents and other things received as exhibits;</w:t>
      </w:r>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Statements, arguments, and questions of the lawyers for the parties in this case;</w:t>
      </w:r>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1B68285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make your decision based only on the evidence that you see and hear in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1" w:name="SDU_2"/>
      <w:bookmarkEnd w:id="1"/>
      <w:r w:rsidRPr="0015449C">
        <w:t xml:space="preserve">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52939ED1" w14:textId="2077DB61" w:rsidR="00832E0D" w:rsidRPr="0015449C" w:rsidRDefault="00832E0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832E0D">
        <w:tab/>
        <w:t xml:space="preserve">Instructions concerning the evidence can sometimes help to mitigate the effects of testimony to which an objection is sustained. </w:t>
      </w:r>
      <w:r w:rsidRPr="003E18BC">
        <w:rPr>
          <w:i/>
        </w:rPr>
        <w:t>See Leonard v. Stemtech Int’l Inc</w:t>
      </w:r>
      <w:r w:rsidRPr="00832E0D">
        <w:t>, 834 F.3d 376, 400 n.24 (3d Cir. 2016) (noting the presumption that jurors follow instructions and observing that “the District Court instructed the jury at the outset of trial that it should disregard evidence to which an objection was lodged when the objection is sustained”).</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5"/>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through  his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consider both kinds of evidence that are presented to you. The law makes no distinction in  the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underinclusive, as they refer only to witness testimony, whereas an exhibit can be direct evidence 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6"/>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“Credibility” means whether a witness is worthy of belief.  You may believe everything a witness says or only part of it or none of it.   In deciding what to believe, you may consider a number of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the opportunity and ability of the witness to see or hear or know the things the witness testifies to;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the quality of the witness's understanding and memory;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the witness's manner while testifying;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whether the witness has an interest in the outcome of the case or any motive, bias or prejudice;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whether the witness is contradicted by anything the witness said or wrote before trial or by other evidence;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how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(7) any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 ]</w:t>
      </w:r>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05E0E3A2"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7"/>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usefully at the end of a 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w:t>
      </w:r>
      <w:r w:rsidRPr="003E7BE0">
        <w:rPr>
          <w:i/>
        </w:rPr>
        <w:t>See</w:t>
      </w:r>
      <w:r w:rsidRPr="0015449C">
        <w:t xml:space="preserv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court should follow a procedure for questions to prevent jury misconduct.  </w:t>
      </w:r>
      <w:r w:rsidRPr="0015449C">
        <w:rPr>
          <w:i/>
        </w:rPr>
        <w:t>Id.</w:t>
      </w:r>
      <w:r w:rsidRPr="0015449C">
        <w:t xml:space="preserve"> at 726 (warning that “the judge should ask any juror-generated questions, and he or she should do so only after allowing attorneys to raise any objection out of the hearing of the jury”).  The court also noted that  “properly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47 F.3d 511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18"/>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 xml:space="preserve">1.9    Preliminary Instructions — Note-Taking By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1F8976A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I repeat, at the end of each day, please leave your notes in the jury room. [Describe logistics of storing and securing notes,  for example: “If you do take notes, take them with you each time you leave the courtroom and please leave them in the jury room when you leave at night. At the conclusion of the case, after you have used your notes in deliberations, a court officer will collect and destroy them, 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998C0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may not take notes during the course of the trial. There are several reasons for this. It is difficult to take notes and, at the same time, pay attention to what a witness is saying and the witness’s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16CC50A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t>In</w:t>
      </w:r>
      <w:r w:rsidRPr="003E7BE0">
        <w:t xml:space="preserve"> </w:t>
      </w:r>
      <w:r w:rsidRPr="0015449C">
        <w:rPr>
          <w:i/>
        </w:rPr>
        <w:t xml:space="preserve">United States v. Maclean, </w:t>
      </w:r>
      <w:r w:rsidRPr="0015449C">
        <w:t xml:space="preserve">578 F.2d 64 (3d Cir. 1978), the court held that the trial judge has discretion to allow jurors to take notes. It stated that if note-taking is permitted, jurors must be instructed that the notes are only aids to memory, that they are not conclusive, and they are not to be given precedence over a juror’s independent recollection of the facts. </w:t>
      </w:r>
      <w:r w:rsidRPr="0015449C">
        <w:rPr>
          <w:i/>
        </w:rPr>
        <w:t xml:space="preserve">See also </w:t>
      </w:r>
      <w:r w:rsidRPr="0015449C">
        <w:t>American Bar Association, Civil Trial Practice Standards (2007) (court ordinarily should permit jurors to take notes, but should also give a cautionary instruction that notetaking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19"/>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Bertoli,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[Defendant]  is the party against [whom/which] the lawsuit was filed. [Plaintiff]  has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[plaintiff]  would have to make the scales tip somewhat on [his/her/its] side.  If [plaintiff] fails to meet this burden, the verdict must be for  [defendant].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proof and it applies only to criminal cases. It does not apply in civil cases such as this. So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analysis and weighing of all of the evidence presented by both sides. </w:t>
      </w:r>
      <w:r w:rsidRPr="0015449C">
        <w:rPr>
          <w:i/>
        </w:rPr>
        <w:t xml:space="preserve">See United States v. Montague, </w:t>
      </w:r>
      <w:r w:rsidRPr="0015449C">
        <w:t>40 F.3d 1251,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 . . .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20"/>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Dep’t of Health, </w:t>
      </w:r>
      <w:r w:rsidRPr="0015449C">
        <w:t>497 U.S. 261, 285 n.11 (1990).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1"/>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First,   attorney(s) for [plaintiff(s)] will make an opening statement to you. Next, attorney(s) for [defendant(s)]  may make an opening statement. What is said in the opening statements is not evidence, but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[Plaintiff] goes first because [plaintiff(s)] [has/have] the burden of proof. [Plaintiff(s)] will present witnesses whom counsel for [defendant(s)] may cross-examine, and  [plaintiff(s)]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Bracketed material allows options to the court on when to give instructions on the law. It is recommended that instructions on the law be given at various points in the trial in o</w:t>
      </w:r>
      <w:r w:rsidR="00505080" w:rsidRPr="0015449C">
        <w:t>rder to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2"/>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2.1</w:t>
      </w:r>
      <w:r w:rsidRPr="0015449C">
        <w:t xml:space="preserve">    </w:t>
      </w:r>
      <w:r w:rsidRPr="0015449C">
        <w:rPr>
          <w:b/>
          <w:sz w:val="28"/>
        </w:rPr>
        <w:t xml:space="preserve">General Instructions For Use During Trial </w:t>
      </w:r>
      <w:r w:rsidRPr="0015449C">
        <w:t xml:space="preserve">—  </w:t>
      </w:r>
      <w:r w:rsidRPr="0015449C">
        <w:rPr>
          <w:b/>
          <w:sz w:val="28"/>
        </w:rPr>
        <w:t>Impeachment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[have heard] evidence that [name of witness], a witness,  [e.g.,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3"/>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2.2    General Instructions For Use During Trial  —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r w:rsidRPr="0015449C">
        <w:rPr>
          <w:bCs/>
        </w:rPr>
        <w:t>:  “In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4"/>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 xml:space="preserve">2.3  </w:t>
      </w:r>
      <w:r w:rsidR="00DC3E15" w:rsidRPr="0015449C">
        <w:rPr>
          <w:b/>
          <w:sz w:val="28"/>
        </w:rPr>
        <w:t xml:space="preserve"> </w:t>
      </w:r>
      <w:r w:rsidRPr="0015449C">
        <w:rPr>
          <w:b/>
          <w:sz w:val="28"/>
        </w:rPr>
        <w:t>General Instructions For Use During Trial  —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373E5B7A"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r w:rsidRPr="0015449C">
        <w:rPr>
          <w:i/>
        </w:rPr>
        <w:t xml:space="preserve">United States v. Benally, </w:t>
      </w:r>
      <w:r w:rsidRPr="0015449C">
        <w:t>756 F.2d 773 (10</w:t>
      </w:r>
      <w:r w:rsidR="003D0031">
        <w:t>th</w:t>
      </w:r>
      <w:r w:rsidRPr="0015449C">
        <w:t xml:space="preserve"> Cir. 1985).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5"/>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2.4    General Instructions For Use During Trial  —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The [parties] have agreed that  [set forth stipulated fact or facts]  [is/are] true. [The parties have stipulated that certain facts are true, and those stipulations have been read to you during this trial.] You must therefore treat [this fact]  [these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6"/>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 xml:space="preserve">2.5    General Instructions For Use During Trial  —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Fed.R.Evid. 804(b)(1), 801(d)(2); Fed.R.Civ.P. 32(a).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7"/>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 xml:space="preserve">2.6 </w:t>
      </w:r>
      <w:r w:rsidRPr="0015449C">
        <w:rPr>
          <w:b/>
        </w:rPr>
        <w:t xml:space="preserve">   </w:t>
      </w:r>
      <w:r w:rsidRPr="0015449C">
        <w:rPr>
          <w:b/>
          <w:sz w:val="28"/>
        </w:rPr>
        <w:t xml:space="preserve">General Instructions For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oath, before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Fed.R.Civ.P.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should not be used for requests for admission under Fed.R.Civ.P.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28"/>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2.7</w:t>
      </w:r>
      <w:r w:rsidRPr="0015449C">
        <w:t xml:space="preserve">    </w:t>
      </w:r>
      <w:r w:rsidRPr="0015449C">
        <w:rPr>
          <w:b/>
          <w:sz w:val="28"/>
        </w:rPr>
        <w:t>General Instructions For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r w:rsidRPr="0015449C">
        <w:rPr>
          <w:i/>
        </w:rPr>
        <w:t>Id.</w:t>
      </w:r>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29"/>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2.8</w:t>
      </w:r>
      <w:r w:rsidRPr="0015449C">
        <w:t xml:space="preserve">    </w:t>
      </w:r>
      <w:r w:rsidRPr="0015449C">
        <w:rPr>
          <w:b/>
          <w:sz w:val="28"/>
        </w:rPr>
        <w:t>General Instructions For Use During Trial</w:t>
      </w:r>
      <w:r w:rsidRPr="0015449C">
        <w:t xml:space="preserve"> —  </w:t>
      </w:r>
      <w:r w:rsidRPr="0015449C">
        <w:rPr>
          <w:b/>
          <w:sz w:val="28"/>
        </w:rPr>
        <w:t>Charts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6E481E2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applicable to pedagogical devices and illustrations. Use of this material is governed by Rule 611(a)  of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DeBoer, </w:t>
      </w:r>
      <w:r w:rsidRPr="0015449C">
        <w:t>966 F.2d 1066, 1069 (6</w:t>
      </w:r>
      <w:r w:rsidR="003D0031">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0F11A5E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w:t>
      </w:r>
      <w:r w:rsidR="003D0031" w:rsidRPr="0015449C">
        <w:t>10</w:t>
      </w:r>
      <w:r w:rsidR="003D0031">
        <w:rPr>
          <w:vertAlign w:val="superscript"/>
        </w:rPr>
        <w:t xml:space="preserve">th </w:t>
      </w:r>
      <w:r w:rsidRPr="0015449C">
        <w:t xml:space="preserve">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0"/>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2.9</w:t>
      </w:r>
      <w:r w:rsidRPr="0015449C">
        <w:t xml:space="preserve">    </w:t>
      </w:r>
      <w:r w:rsidRPr="0015449C">
        <w:rPr>
          <w:b/>
          <w:sz w:val="28"/>
        </w:rPr>
        <w:t>General Instructions For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1"/>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2.10    General Instructions For Use During Trial —  Evidence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 xml:space="preserve">[i]s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6A33777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that tells the jury both how the evidence can be used and how it must not be used. </w:t>
      </w:r>
      <w:r w:rsidRPr="0015449C">
        <w:rPr>
          <w:i/>
        </w:rPr>
        <w:t xml:space="preserve">See Government of Virgin Islands v. Mujahid,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“encourag[ing]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United States v. Ciavarella</w:t>
      </w:r>
      <w:r w:rsidR="00327D36" w:rsidRPr="0015449C">
        <w:t>, 716 F.3d 705, 728 n.15 (3d Cir. 2013) (noting that evidence admitted under Rule 404(b) “must ... ‘be accompanied by a limiting instruction (where requested) about the purpose for which the jury may consider it</w:t>
      </w:r>
      <w:r w:rsidR="003D0031">
        <w:t xml:space="preserve">’ </w:t>
      </w:r>
      <w:r w:rsidR="00327D36" w:rsidRPr="0015449C">
        <w:t xml:space="preserve">”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SEC v. Teo</w:t>
      </w:r>
      <w:r w:rsidR="00436B3F" w:rsidRPr="0015449C">
        <w:t xml:space="preserve">, 746 F.3d 90, 97 (3d Cir. 2014) (concluding that the district court’s limiting instruction “provid[ed]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w:t>
      </w:r>
      <w:r w:rsidR="00D15CB0">
        <w:t xml:space="preserve">; </w:t>
      </w:r>
      <w:r w:rsidR="00D15CB0" w:rsidRPr="00D15CB0">
        <w:rPr>
          <w:i/>
        </w:rPr>
        <w:t>United States v. Bailey</w:t>
      </w:r>
      <w:r w:rsidR="00D15CB0" w:rsidRPr="00D15CB0">
        <w:t xml:space="preserve">, 840 F.3d 99, 128-29 &amp; n.138 (3d Cir. 2016) (quoting an instruction that “undisputedly met” the requirement for a requested limiting instruction under Rule 404(b) by contrasting permissible and impermissible uses of the evidence), </w:t>
      </w:r>
      <w:r w:rsidR="00D15CB0" w:rsidRPr="00D15CB0">
        <w:rPr>
          <w:i/>
        </w:rPr>
        <w:t>cert. denied</w:t>
      </w:r>
      <w:r w:rsidR="00D15CB0" w:rsidRPr="00D15CB0">
        <w:t xml:space="preserve">, </w:t>
      </w:r>
      <w:r w:rsidR="00C00619" w:rsidRPr="00C00619">
        <w:t>137 S.</w:t>
      </w:r>
      <w:r w:rsidR="00C00619">
        <w:t xml:space="preserve"> </w:t>
      </w:r>
      <w:r w:rsidR="00C00619" w:rsidRPr="00C00619">
        <w:t>Ct. 1116</w:t>
      </w:r>
      <w:r w:rsidR="00D15CB0" w:rsidRPr="00D15CB0">
        <w:t xml:space="preserve"> (2017)</w:t>
      </w:r>
      <w:r w:rsidR="00F219A4">
        <w:t xml:space="preserve">; </w:t>
      </w:r>
      <w:r w:rsidR="00F219A4" w:rsidRPr="00F219A4">
        <w:rPr>
          <w:i/>
        </w:rPr>
        <w:t>United States v. Repak</w:t>
      </w:r>
      <w:r w:rsidR="00F219A4" w:rsidRPr="00F219A4">
        <w:t>, 852 F.3d 230, 248 (3d Cir. 2017) (holding that the district court “appropriately provid[ed] limiting instructions for the other-acts evidence as requested by” the defendant, and quoting the relevant instructions, which directed that the evidence could be used “only for the purpose of” proving the defendant’s state of mind)</w:t>
      </w:r>
      <w:r w:rsidR="00436B3F" w:rsidRPr="0015449C">
        <w:t xml:space="preserve">.  </w:t>
      </w:r>
      <w:r w:rsidR="00436B3F" w:rsidRPr="0015449C">
        <w:rPr>
          <w:i/>
        </w:rPr>
        <w:t>Cf.</w:t>
      </w:r>
      <w:r w:rsidR="00436B3F" w:rsidRPr="0015449C">
        <w:t xml:space="preserve"> </w:t>
      </w:r>
      <w:r w:rsidR="00436B3F" w:rsidRPr="0015449C">
        <w:rPr>
          <w:i/>
        </w:rPr>
        <w:t>United States v. Caldwell</w:t>
      </w:r>
      <w:r w:rsidR="00436B3F" w:rsidRPr="0015449C">
        <w:t>, 760 F.3d 267, 274 (3d Cir. 2014) (stressing “that Rule 404(b) must be applied with careful precision, and that evidence of a defendant's prior bad acts is not to be admitted unless both the 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(“[E]xperts are generally precluded from disclosing inadmissible evidence to a jury. See Fed. Rule Evid.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2"/>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2.11    General Instructions For Use During Trial —  Opinion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witness]  testifies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33164072"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avoids labeling the witness as an “expert.” If the court refrains from designating the witness as an “expert” this will “ensure[]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r w:rsidRPr="0015449C">
        <w:rPr>
          <w:i/>
        </w:rPr>
        <w:t>See</w:t>
      </w:r>
      <w:r w:rsidRPr="003E7BE0">
        <w:rPr>
          <w:i/>
        </w:rPr>
        <w:t xml:space="preserve"> </w:t>
      </w:r>
      <w:r w:rsidRPr="0015449C">
        <w:t>Advisory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3"/>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2.12    General Instructions For Use During Trial —  Foreign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[testimony of a witness who will be testifying in] [an audio recording in]  [language used]. The evidence you are to consider is only that provided through the official court [interpreters] [translators]. Although some of you may know the  language used, it is important that all jurors consider the same evidence. So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Ninth Circuit has separate instructions for foreign language testimony and foreign language recordings. The model combines them and provides alternatives in brackets. </w:t>
      </w:r>
      <w:r w:rsidRPr="003E7BE0">
        <w:rPr>
          <w:i/>
        </w:rPr>
        <w:t>See</w:t>
      </w:r>
      <w:r w:rsidRPr="0015449C">
        <w:t xml:space="preserv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4"/>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2.13    General Instructions For Use During Trial —  Transcript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At this time you are going hear conversations that were recorded. This is proper evidence for you to consider. Please listen to it very carefully.  I am going to allow you to have a transcript of the recording [prepared by ___________]  to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5"/>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2.14    General Instructions For Use During Trial —  Recess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2.01 and former Ninth Circuit 2.1.  </w:t>
      </w:r>
      <w:r w:rsidRPr="0015449C">
        <w:rPr>
          <w:i/>
        </w:rPr>
        <w:t>Cf.</w:t>
      </w:r>
      <w:r w:rsidRPr="0015449C">
        <w:t xml:space="preserve"> Ninth Circuit 1.12.</w:t>
      </w:r>
    </w:p>
    <w:p w14:paraId="1E111812" w14:textId="77B331B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w:t>
      </w:r>
      <w:r w:rsidRPr="003E7BE0">
        <w:rPr>
          <w:i/>
        </w:rPr>
        <w:t>See</w:t>
      </w:r>
      <w:r w:rsidRPr="0015449C">
        <w:t xml:space="preserve">, </w:t>
      </w:r>
      <w:r w:rsidRPr="003E7BE0">
        <w:rPr>
          <w:i/>
        </w:rPr>
        <w:t>e.g.</w:t>
      </w:r>
      <w:r w:rsidRPr="0015449C">
        <w:t xml:space="preserve">, </w:t>
      </w:r>
      <w:r w:rsidRPr="0015449C">
        <w:rPr>
          <w:i/>
        </w:rPr>
        <w:t xml:space="preserve">United States v. Williams, </w:t>
      </w:r>
      <w:r w:rsidRPr="0015449C">
        <w:t>635 F.2d 744 (8</w:t>
      </w:r>
      <w:r w:rsidR="003D0031">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6"/>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3.1    General Instructions For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Perform these duties fairly.  Do not let any bias, sympathy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MySpace,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may not use these electronic means to investigate or communicate about the case because it is important that you decide this case based solely on the evidence presented in this courtroom. Information on the internet or available through social media might be wrong, 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One more thing about messages.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verdict must represent the considered judgment of each juror.  In order for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 form of verdict has been prepared for you.  It has a series of questions for you to answer.  You will take this form to the jury room and when you have reached unanimous agreement as to your verdict, you will fill it  in,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See United States v. Fumo</w:t>
      </w:r>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see also Fumo</w:t>
      </w:r>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27B4B967" w14:textId="57538868" w:rsidR="006F2AD8" w:rsidRPr="0015449C" w:rsidRDefault="006F2AD8" w:rsidP="006F2A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6F2AD8">
        <w:t xml:space="preserve">The Supreme Court has expressed approval of instructions that “explain the jurors’ duty to review the evidence and reach a verdict in a fair and impartial way, free from bias of any kind” and that “emphasize the group dynamic of deliberations by urging jurors to share their questions and conclusions with their colleagues.”  </w:t>
      </w:r>
      <w:r w:rsidRPr="00946E63">
        <w:rPr>
          <w:i/>
        </w:rPr>
        <w:t>Peña-Rodriguez v. Colorado</w:t>
      </w:r>
      <w:r w:rsidRPr="006F2AD8">
        <w:t>, 137 S. Ct. 855, 871 (2017) (quoting, as examples, the following instructions:  “Perform these duties fairly. Do not let any bias, sympathy or prejudice that you may feel toward one side or the other influence your decision in any way” and “It is your duty as jurors to consult with one another and to deliberate with one another with a view towards reaching an agreement if you can do so without violence to individual judgment”).</w:t>
      </w:r>
    </w:p>
    <w:p w14:paraId="09896A4E"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parties consent to a non-unanimous verdict. </w:t>
      </w:r>
      <w:r w:rsidRPr="0015449C">
        <w:rPr>
          <w:i/>
        </w:rPr>
        <w:t>See</w:t>
      </w:r>
      <w:r w:rsidR="00B720CB" w:rsidRPr="0015449C">
        <w:t xml:space="preserve"> Fed.R.Civ.P. 48.</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7"/>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3.2    General Instructions For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not to be given routinely, but it might be given, on request, when there is a disproportionate number of witnesses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8"/>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3.3     General Instructions For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At your request, I have decided to have [a transcript of ] [describe the testimony]</w:t>
      </w:r>
      <w:r w:rsidRPr="0015449C">
        <w:rPr>
          <w:b/>
        </w:rPr>
        <w:t xml:space="preserve"> </w:t>
      </w:r>
      <w:r w:rsidRPr="0015449C">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United States v. Bertoli</w:t>
      </w:r>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such requests may slow the trial when the requested testimony is lengthy; (2) if read only a portion of testimony, the jury may give undue weight to that portion. </w:t>
      </w:r>
    </w:p>
    <w:p w14:paraId="2E10B000" w14:textId="6F38E959"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r w:rsidRPr="0015449C">
        <w:rPr>
          <w:i/>
        </w:rPr>
        <w:t xml:space="preserve">Bertoli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w:t>
      </w:r>
      <w:r w:rsidR="00AB6B84">
        <w:t>;</w:t>
      </w:r>
      <w:r w:rsidR="00F22B60" w:rsidRPr="00F22B60">
        <w:t xml:space="preserve"> </w:t>
      </w:r>
      <w:r w:rsidR="00F22B60" w:rsidRPr="00AB6B84">
        <w:rPr>
          <w:i/>
        </w:rPr>
        <w:t>United States v. Kolodesh</w:t>
      </w:r>
      <w:r w:rsidR="00F22B60" w:rsidRPr="00F22B60">
        <w:t xml:space="preserve">, </w:t>
      </w:r>
      <w:r w:rsidR="00AB6B84">
        <w:t>787 F.3d 224, 238-39</w:t>
      </w:r>
      <w:r w:rsidR="00F22B60" w:rsidRPr="00F22B60">
        <w:t xml:space="preserve"> (3d Cir. 2015) (there was no abuse of discretion, “let alone … plain error,” in trial court’s failure to halt proceedings until it could provide testimony transcripts requested by the jury, or in trial court’s refusal to provide edited portions rather in than full transcripts, or in trial court’s statement to jury that as to one witness, only audio playback was available and not a transcript)</w:t>
      </w:r>
      <w:r w:rsidRPr="0015449C">
        <w:t xml:space="preserve">.  The </w:t>
      </w:r>
      <w:r w:rsidRPr="0015449C">
        <w:rPr>
          <w:i/>
        </w:rPr>
        <w:t>Bertoli</w:t>
      </w:r>
      <w:r w:rsidRPr="0015449C">
        <w:t xml:space="preserve"> court further held that a trial court is within its discretion in providing a transcript of the requested testimony. The </w:t>
      </w:r>
      <w:r w:rsidRPr="0015449C">
        <w:rPr>
          <w:i/>
        </w:rPr>
        <w:t xml:space="preserve">Bertoli </w:t>
      </w:r>
      <w:r w:rsidRPr="0015449C">
        <w:t xml:space="preserve">court suggested that any transcript or read-back should be accompanied by an instruction “to focus on the entire testimony and evidence.” </w:t>
      </w:r>
      <w:r w:rsidRPr="0015449C">
        <w:rPr>
          <w:i/>
        </w:rPr>
        <w:t>Bertoli</w:t>
      </w:r>
      <w:r w:rsidR="00B720CB" w:rsidRPr="0015449C">
        <w:t>, 40 F.3d at 1401.</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9"/>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3.4    General Instructions For Use At End of Trial —  Deadlock</w:t>
      </w:r>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conclusion, if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remind you that in your deliberations you are to consider the instructions I have given you as a whole.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Ninth 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21BBB1B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Fioravanti,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 xml:space="preserve">267 </w:t>
      </w:r>
      <w:r w:rsidRPr="003D0031">
        <w:t>F.</w:t>
      </w:r>
      <w:r w:rsidR="00B31DC8" w:rsidRPr="003D0031">
        <w:t xml:space="preserve"> </w:t>
      </w:r>
      <w:r w:rsidRPr="003D0031">
        <w:t>Supp.</w:t>
      </w:r>
      <w:r w:rsidR="00B31DC8" w:rsidRPr="003D0031">
        <w:t xml:space="preserve"> </w:t>
      </w:r>
      <w:r w:rsidRPr="003D0031">
        <w:t>2d</w:t>
      </w:r>
      <w:r w:rsidRPr="0015449C">
        <w:t xml:space="preserve"> 442 (W.D.</w:t>
      </w:r>
      <w:r w:rsidR="003D0031">
        <w:t xml:space="preserve"> </w:t>
      </w:r>
      <w:r w:rsidRPr="0015449C">
        <w:t xml:space="preserve">Pa. 2003), the danger of coercion in such a charge cautions against its use even in civil cases.  In concluding that a modified </w:t>
      </w:r>
      <w:r w:rsidRPr="0015449C">
        <w:rPr>
          <w:i/>
        </w:rPr>
        <w:t>Allen</w:t>
      </w:r>
      <w:r w:rsidRPr="0015449C">
        <w:t xml:space="preserve"> charge was “proper[]”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“instruct[ing]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an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p>
    <w:sectPr w:rsidR="000A6412" w:rsidRPr="00E13FD6" w:rsidSect="001D1826">
      <w:headerReference w:type="default" r:id="rId40"/>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75C1" w14:textId="77777777" w:rsidR="00455938" w:rsidRDefault="00455938">
      <w:r>
        <w:separator/>
      </w:r>
    </w:p>
  </w:endnote>
  <w:endnote w:type="continuationSeparator" w:id="0">
    <w:p w14:paraId="0E6F879C" w14:textId="77777777" w:rsidR="00455938" w:rsidRDefault="00455938">
      <w:r>
        <w:continuationSeparator/>
      </w:r>
    </w:p>
  </w:endnote>
  <w:endnote w:type="continuationNotice" w:id="1">
    <w:p w14:paraId="39A0AB05" w14:textId="77777777" w:rsidR="00455938" w:rsidRDefault="0045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2938"/>
      <w:docPartObj>
        <w:docPartGallery w:val="Page Numbers (Bottom of Page)"/>
        <w:docPartUnique/>
      </w:docPartObj>
    </w:sdtPr>
    <w:sdtEndPr>
      <w:rPr>
        <w:noProof/>
      </w:rPr>
    </w:sdtEndPr>
    <w:sdtContent>
      <w:p w14:paraId="183E639B" w14:textId="6E659829" w:rsidR="0008778B" w:rsidRDefault="0008778B">
        <w:pPr>
          <w:pStyle w:val="Footer"/>
          <w:jc w:val="center"/>
          <w:rPr>
            <w:noProof/>
          </w:rPr>
        </w:pPr>
        <w:r>
          <w:fldChar w:fldCharType="begin"/>
        </w:r>
        <w:r>
          <w:instrText xml:space="preserve"> PAGE   \* MERGEFORMAT </w:instrText>
        </w:r>
        <w:r>
          <w:fldChar w:fldCharType="separate"/>
        </w:r>
        <w:r w:rsidR="003D0031">
          <w:rPr>
            <w:noProof/>
          </w:rPr>
          <w:t>38</w:t>
        </w:r>
        <w:r>
          <w:rPr>
            <w:noProof/>
          </w:rPr>
          <w:fldChar w:fldCharType="end"/>
        </w:r>
      </w:p>
      <w:p w14:paraId="4472826C" w14:textId="77777777" w:rsidR="0008778B" w:rsidRDefault="0008778B">
        <w:pPr>
          <w:pStyle w:val="Footer"/>
          <w:jc w:val="center"/>
          <w:rPr>
            <w:noProof/>
          </w:rPr>
        </w:pPr>
      </w:p>
      <w:p w14:paraId="0B8B611A" w14:textId="26AC1B6B" w:rsidR="0008778B" w:rsidRDefault="0008778B" w:rsidP="0008778B">
        <w:pPr>
          <w:pStyle w:val="Footer"/>
          <w:jc w:val="right"/>
        </w:pPr>
        <w:r w:rsidRPr="00E13FD6">
          <w:rPr>
            <w:rFonts w:ascii="Century Schoolbook" w:hAnsi="Century Schoolbook"/>
            <w:i/>
            <w:iCs/>
          </w:rPr>
          <w:t xml:space="preserve">Last updated </w:t>
        </w:r>
        <w:r w:rsidR="00534354">
          <w:rPr>
            <w:rFonts w:ascii="Century Schoolbook" w:hAnsi="Century Schoolbook"/>
            <w:i/>
            <w:iCs/>
          </w:rPr>
          <w:t>October</w:t>
        </w:r>
        <w:r>
          <w:rPr>
            <w:rFonts w:ascii="Century Schoolbook" w:hAnsi="Century Schoolbook"/>
            <w:i/>
            <w:iCs/>
          </w:rPr>
          <w:t xml:space="preserve"> 2017</w:t>
        </w:r>
      </w:p>
    </w:sdtContent>
  </w:sdt>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CA0A" w14:textId="77777777" w:rsidR="00455938" w:rsidRDefault="00455938">
      <w:r>
        <w:separator/>
      </w:r>
    </w:p>
  </w:footnote>
  <w:footnote w:type="continuationSeparator" w:id="0">
    <w:p w14:paraId="3FCE262E" w14:textId="77777777" w:rsidR="00455938" w:rsidRDefault="00455938">
      <w:r>
        <w:continuationSeparator/>
      </w:r>
    </w:p>
  </w:footnote>
  <w:footnote w:type="continuationNotice" w:id="1">
    <w:p w14:paraId="6C37F17B" w14:textId="77777777" w:rsidR="00455938" w:rsidRDefault="0045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r>
      <w:rPr>
        <w:rFonts w:ascii="Century Schoolbook" w:hAnsi="Century Schoolbook"/>
        <w:b/>
      </w:rPr>
      <w:t>Note-Taking By Jurors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38D6" w14:textId="77777777" w:rsidR="00455938" w:rsidRDefault="004559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EF"/>
    <w:rsid w:val="000012C8"/>
    <w:rsid w:val="0003004A"/>
    <w:rsid w:val="0004163B"/>
    <w:rsid w:val="00060AC8"/>
    <w:rsid w:val="000821D6"/>
    <w:rsid w:val="0008778B"/>
    <w:rsid w:val="000A3C96"/>
    <w:rsid w:val="000A6412"/>
    <w:rsid w:val="000D4456"/>
    <w:rsid w:val="000E624E"/>
    <w:rsid w:val="001021EA"/>
    <w:rsid w:val="001216EF"/>
    <w:rsid w:val="00130DCC"/>
    <w:rsid w:val="001334CC"/>
    <w:rsid w:val="001410A3"/>
    <w:rsid w:val="0015449C"/>
    <w:rsid w:val="00157E65"/>
    <w:rsid w:val="00192C80"/>
    <w:rsid w:val="001D1826"/>
    <w:rsid w:val="001E4F87"/>
    <w:rsid w:val="00222223"/>
    <w:rsid w:val="00224937"/>
    <w:rsid w:val="0023565F"/>
    <w:rsid w:val="00246128"/>
    <w:rsid w:val="00263CC7"/>
    <w:rsid w:val="00327D36"/>
    <w:rsid w:val="00347DB1"/>
    <w:rsid w:val="003503C4"/>
    <w:rsid w:val="0038534D"/>
    <w:rsid w:val="003A2C3A"/>
    <w:rsid w:val="003A4FAB"/>
    <w:rsid w:val="003D0031"/>
    <w:rsid w:val="003E18BC"/>
    <w:rsid w:val="003E1BD3"/>
    <w:rsid w:val="003E7BE0"/>
    <w:rsid w:val="003F4F05"/>
    <w:rsid w:val="00421ACF"/>
    <w:rsid w:val="00436B3F"/>
    <w:rsid w:val="00455938"/>
    <w:rsid w:val="00455CA9"/>
    <w:rsid w:val="00466AA3"/>
    <w:rsid w:val="00471549"/>
    <w:rsid w:val="004718BA"/>
    <w:rsid w:val="00496394"/>
    <w:rsid w:val="00504618"/>
    <w:rsid w:val="00505080"/>
    <w:rsid w:val="00534354"/>
    <w:rsid w:val="00565E0C"/>
    <w:rsid w:val="005818F8"/>
    <w:rsid w:val="005824A7"/>
    <w:rsid w:val="00584C45"/>
    <w:rsid w:val="005A3834"/>
    <w:rsid w:val="005C38A5"/>
    <w:rsid w:val="005D279C"/>
    <w:rsid w:val="005E3F15"/>
    <w:rsid w:val="00613C52"/>
    <w:rsid w:val="0061682E"/>
    <w:rsid w:val="00656A65"/>
    <w:rsid w:val="006814D4"/>
    <w:rsid w:val="0069027D"/>
    <w:rsid w:val="006C35CD"/>
    <w:rsid w:val="006E01B3"/>
    <w:rsid w:val="006F2AD8"/>
    <w:rsid w:val="00704476"/>
    <w:rsid w:val="00775FE4"/>
    <w:rsid w:val="007836B6"/>
    <w:rsid w:val="007A1074"/>
    <w:rsid w:val="007C2D1D"/>
    <w:rsid w:val="007C2EE7"/>
    <w:rsid w:val="007E39BE"/>
    <w:rsid w:val="00832E0D"/>
    <w:rsid w:val="00847956"/>
    <w:rsid w:val="0086223E"/>
    <w:rsid w:val="008843D7"/>
    <w:rsid w:val="008A6604"/>
    <w:rsid w:val="008D01BC"/>
    <w:rsid w:val="008E4ED4"/>
    <w:rsid w:val="008F5F94"/>
    <w:rsid w:val="00905ECD"/>
    <w:rsid w:val="00926ECC"/>
    <w:rsid w:val="009364DD"/>
    <w:rsid w:val="00946E63"/>
    <w:rsid w:val="00963D2E"/>
    <w:rsid w:val="0098443B"/>
    <w:rsid w:val="009B494C"/>
    <w:rsid w:val="00A623F8"/>
    <w:rsid w:val="00AB6B84"/>
    <w:rsid w:val="00AC3FE3"/>
    <w:rsid w:val="00AD232C"/>
    <w:rsid w:val="00AE3300"/>
    <w:rsid w:val="00AE6D74"/>
    <w:rsid w:val="00AF7994"/>
    <w:rsid w:val="00B017EF"/>
    <w:rsid w:val="00B31DC8"/>
    <w:rsid w:val="00B71EDD"/>
    <w:rsid w:val="00B720CB"/>
    <w:rsid w:val="00B97CFC"/>
    <w:rsid w:val="00BB4AD8"/>
    <w:rsid w:val="00BC2FF6"/>
    <w:rsid w:val="00C00619"/>
    <w:rsid w:val="00C01B91"/>
    <w:rsid w:val="00C10616"/>
    <w:rsid w:val="00C271E5"/>
    <w:rsid w:val="00CA0034"/>
    <w:rsid w:val="00CA5112"/>
    <w:rsid w:val="00CF1238"/>
    <w:rsid w:val="00D11D18"/>
    <w:rsid w:val="00D15CB0"/>
    <w:rsid w:val="00D2390D"/>
    <w:rsid w:val="00D45F3E"/>
    <w:rsid w:val="00D50956"/>
    <w:rsid w:val="00DC3E15"/>
    <w:rsid w:val="00DF0A2F"/>
    <w:rsid w:val="00E12E71"/>
    <w:rsid w:val="00E13FD6"/>
    <w:rsid w:val="00E30AAB"/>
    <w:rsid w:val="00E43778"/>
    <w:rsid w:val="00E44C3B"/>
    <w:rsid w:val="00E67435"/>
    <w:rsid w:val="00E70C52"/>
    <w:rsid w:val="00EC3C69"/>
    <w:rsid w:val="00ED44B0"/>
    <w:rsid w:val="00EE75AC"/>
    <w:rsid w:val="00EF5E05"/>
    <w:rsid w:val="00F219A4"/>
    <w:rsid w:val="00F22B60"/>
    <w:rsid w:val="00F2633F"/>
    <w:rsid w:val="00F532B1"/>
    <w:rsid w:val="00F66393"/>
    <w:rsid w:val="00F96D1A"/>
    <w:rsid w:val="00FA2A12"/>
    <w:rsid w:val="00FA556D"/>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BA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 w:type="paragraph" w:styleId="Revision">
    <w:name w:val="Revision"/>
    <w:hidden/>
    <w:uiPriority w:val="99"/>
    <w:semiHidden/>
    <w:rsid w:val="004559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2018-06-16T18:46:00Z</dcterms:created>
  <dcterms:modified xsi:type="dcterms:W3CDTF">2018-11-21T14:11:00Z</dcterms:modified>
</cp:coreProperties>
</file>