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 xml:space="preserve">Instructions </w:t>
      </w:r>
      <w:proofErr w:type="gramStart"/>
      <w:r w:rsidRPr="001E4102">
        <w:rPr>
          <w:b/>
          <w:sz w:val="28"/>
        </w:rPr>
        <w:t>For</w:t>
      </w:r>
      <w:proofErr w:type="gramEnd"/>
      <w:r w:rsidRPr="001E4102">
        <w:rPr>
          <w:b/>
          <w:sz w:val="28"/>
        </w:rPr>
        <w:t xml:space="preserve">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7"/>
          <w:headerReference w:type="default" r:id="rId8"/>
          <w:footerReference w:type="even" r:id="rId9"/>
          <w:footerReference w:type="default" r:id="rId10"/>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09C0806"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w:t>
      </w:r>
      <w:proofErr w:type="spellStart"/>
      <w:r w:rsidRPr="001E4102">
        <w:rPr>
          <w:i/>
        </w:rPr>
        <w:t>Victorelli</w:t>
      </w:r>
      <w:proofErr w:type="spellEnd"/>
      <w:r w:rsidRPr="001E4102">
        <w:rPr>
          <w:i/>
        </w:rPr>
        <w:t xml:space="preserve">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2601(b)(1), (2)).</w:t>
      </w:r>
    </w:p>
    <w:p w14:paraId="137C5621" w14:textId="4DC37172" w:rsidR="006154EC" w:rsidRPr="001E4102" w:rsidRDefault="006154EC" w:rsidP="009C6F31">
      <w:pPr>
        <w:spacing w:after="240"/>
        <w:jc w:val="both"/>
      </w:pPr>
      <w:r w:rsidRPr="001E4102">
        <w:tab/>
        <w:t xml:space="preserve">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2612(a)(1). During the 12 week leave period, the employer must maintain the employee's group health coverage. § 2614(c)(1). Leave must be granted, when "medically necessary," on an intermittent or part-time basis. § 2612(b)(1). Upon the employee's timely return, </w:t>
      </w:r>
      <w:r w:rsidRPr="001E4102">
        <w:lastRenderedPageBreak/>
        <w:t>the employer must reinstate the employee to his or her former position or an equivalent, § 2614(a)(1),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 2617(a)(1).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Special Provisions Concerning Servicemembers</w:t>
      </w:r>
    </w:p>
    <w:p w14:paraId="52D24A81" w14:textId="49C2C6CB"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w:t>
      </w:r>
      <w:r w:rsidR="004D1880" w:rsidRPr="004D1880">
        <w:t>As further amended in 2009,</w:t>
      </w:r>
      <w:r w:rsidR="00742C50">
        <w:rPr>
          <w:rStyle w:val="FootnoteReference"/>
        </w:rPr>
        <w:footnoteReference w:id="4"/>
      </w:r>
      <w:r w:rsidR="004D1880" w:rsidRPr="004D1880">
        <w:t xml:space="preserve"> Section 2612(a)’s list of leave entitlements includes</w:t>
      </w:r>
      <w:r w:rsidR="00742C50">
        <w:t xml:space="preserve"> </w:t>
      </w:r>
      <w:r w:rsidRPr="001E4102">
        <w:t>leave “[b]</w:t>
      </w:r>
      <w:proofErr w:type="spellStart"/>
      <w:r w:rsidRPr="001E4102">
        <w:t>ecause</w:t>
      </w:r>
      <w:proofErr w:type="spellEnd"/>
      <w:r w:rsidRPr="001E4102">
        <w:t xml:space="preserve"> of any qualifying exigency (as the Secretary shall, by regulation, determine) arising out of the fact that the spouse, or a son, daughter, or parent of the employee is on </w:t>
      </w:r>
      <w:r w:rsidR="00E93443">
        <w:t xml:space="preserve">covered </w:t>
      </w:r>
      <w:r w:rsidRPr="001E4102">
        <w:t>active duty (or has been notified of an impending call or order to</w:t>
      </w:r>
      <w:r w:rsidR="002D4596">
        <w:t xml:space="preserve"> covered</w:t>
      </w:r>
      <w:r w:rsidRPr="001E4102">
        <w:t xml:space="preserve"> active duty) in the Armed Forces.” 29 U.S.C. § 2612(a)(1)(E). The</w:t>
      </w:r>
      <w:r w:rsidR="009C0961">
        <w:t xml:space="preserve"> 2008</w:t>
      </w:r>
      <w:r w:rsidRPr="001E4102">
        <w:t xml:space="preserve"> amendments also created an entitlement to servicemember family leave: “Subject to section 2613 of this title, an eligible employee who is the spouse, son, daughter, parent, </w:t>
      </w:r>
      <w:r w:rsidRPr="001E4102">
        <w:lastRenderedPageBreak/>
        <w:t xml:space="preserve">or next of kin of a covered servicemember shall be entitled to a total of 26 workweeks of leave during a 12-month period to care for the servicemember. The leave described in this paragraph shall only be available during a single 12-month period.”  </w:t>
      </w:r>
      <w:r w:rsidRPr="001E4102">
        <w:rPr>
          <w:i/>
        </w:rPr>
        <w:t>Id.</w:t>
      </w:r>
      <w:r w:rsidRPr="001E4102">
        <w:t xml:space="preserve"> § 2612(a)(3).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2612(a)(4).</w:t>
      </w:r>
    </w:p>
    <w:p w14:paraId="68810BE8" w14:textId="1EF2D98B"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5"/>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2611(4)(A)(i); 29 C.F.R. § 825.104(</w:t>
      </w:r>
      <w:r w:rsidR="00021735" w:rsidRPr="001E4102">
        <w:t>a</w:t>
      </w:r>
      <w:r w:rsidRPr="001E4102">
        <w:t>).</w:t>
      </w:r>
    </w:p>
    <w:p w14:paraId="07B5860A" w14:textId="019C1FF0" w:rsidR="006154EC" w:rsidRPr="001E4102" w:rsidRDefault="006154EC" w:rsidP="009C6F31">
      <w:pPr>
        <w:spacing w:after="240"/>
        <w:jc w:val="both"/>
      </w:pPr>
      <w:r w:rsidRPr="001E4102">
        <w:tab/>
        <w:t xml:space="preserve">29 U.S.C. § 2611(4)(A)(iii)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w:t>
      </w:r>
      <w:r w:rsidR="001332C7">
        <w:t>U.S.C.</w:t>
      </w:r>
      <w:r w:rsidRPr="001E4102">
        <w:t xml:space="preserve">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r w:rsidRPr="001E4102">
        <w:t xml:space="preserve">at 1338 (plurality opinion); </w:t>
      </w:r>
      <w:r w:rsidRPr="001E4102">
        <w:rPr>
          <w:i/>
        </w:rPr>
        <w:t>id.</w:t>
      </w:r>
      <w:r w:rsidRPr="001E4102">
        <w:t xml:space="preserve"> at 1338-39 (Scalia, J., concurring in the judgment).</w:t>
      </w:r>
      <w:r w:rsidRPr="001E4102">
        <w:tab/>
      </w:r>
    </w:p>
    <w:p w14:paraId="59E3E1A2" w14:textId="77777777" w:rsidR="006154EC" w:rsidRPr="001E4102" w:rsidRDefault="006154EC" w:rsidP="009C6F31">
      <w:pPr>
        <w:spacing w:after="240"/>
        <w:jc w:val="both"/>
      </w:pPr>
      <w:r w:rsidRPr="001E4102">
        <w:tab/>
        <w:t xml:space="preserve">29 U.S.C. § 2611(4)(A)(ii)(I)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w:t>
      </w:r>
      <w:r w:rsidRPr="001E4102">
        <w:lastRenderedPageBreak/>
        <w:t xml:space="preserve">responsible in whole or part for the alleged violation’ while acting in the employer's interest.”  </w:t>
      </w:r>
      <w:proofErr w:type="spellStart"/>
      <w:r w:rsidRPr="001E4102">
        <w:rPr>
          <w:i/>
        </w:rPr>
        <w:t>Haybarger</w:t>
      </w:r>
      <w:proofErr w:type="spellEnd"/>
      <w:r w:rsidRPr="001E4102">
        <w:rPr>
          <w:i/>
        </w:rPr>
        <w:t xml:space="preserve"> v. Lawrence </w:t>
      </w:r>
      <w:proofErr w:type="spellStart"/>
      <w:r w:rsidRPr="001E4102">
        <w:rPr>
          <w:i/>
        </w:rPr>
        <w:t>Cnty</w:t>
      </w:r>
      <w:proofErr w:type="spellEnd"/>
      <w:r w:rsidRPr="001E4102">
        <w:rPr>
          <w:i/>
        </w:rPr>
        <w:t>. Adult Prob. &amp; Parole</w:t>
      </w:r>
      <w:r w:rsidRPr="001E4102">
        <w:t xml:space="preserve">, 667 F.3d 408, 417 (3d Cir. 2012) (quoting </w:t>
      </w:r>
      <w:r w:rsidRPr="001E4102">
        <w:rPr>
          <w:i/>
        </w:rPr>
        <w:t xml:space="preserve">Riordan v. </w:t>
      </w:r>
      <w:proofErr w:type="spellStart"/>
      <w:r w:rsidRPr="001E4102">
        <w:rPr>
          <w:i/>
        </w:rPr>
        <w:t>Kempiners</w:t>
      </w:r>
      <w:proofErr w:type="spellEnd"/>
      <w:r w:rsidRPr="001E4102">
        <w:t xml:space="preserve">, 831 F.2d 690, 694 (7th Cir. 1987)).  The </w:t>
      </w:r>
      <w:proofErr w:type="spellStart"/>
      <w:r w:rsidRPr="001E4102">
        <w:rPr>
          <w:i/>
        </w:rPr>
        <w:t>Haybarger</w:t>
      </w:r>
      <w:proofErr w:type="spellEnd"/>
      <w:r w:rsidRPr="001E4102">
        <w:rPr>
          <w:i/>
        </w:rPr>
        <w:t xml:space="preserve"> </w:t>
      </w:r>
      <w:r w:rsidRPr="001E4102">
        <w:t xml:space="preserve">court held that this liability extends to supervisors in public agencies.  </w:t>
      </w:r>
      <w:r w:rsidRPr="008E7FCC">
        <w:rPr>
          <w:i/>
        </w:rPr>
        <w:t>See id</w:t>
      </w:r>
      <w:r w:rsidRPr="001E4102">
        <w:t>. at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 xml:space="preserve">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825.120(a)(3).  29 U.S.C. § 2612(f)(2) sets special provisions concerning servicemember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4F4DB220"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 xml:space="preserve">The FMLA defines “spouse” as “a husband or wife, as the case may be.”  29 U.S.C. § 2611(13). As of </w:t>
      </w:r>
      <w:r w:rsidR="0086723D">
        <w:t>spring 2016</w:t>
      </w:r>
      <w:r w:rsidR="005C2882">
        <w:t>,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 xml:space="preserve">Under the FMLA, a son or daughter means a biological, adopted or foster child, a stepchild, a legal ward, or a child of a person standing in loco parentis, who is either under age 18, or who is </w:t>
      </w:r>
      <w:r w:rsidRPr="001E4102">
        <w:lastRenderedPageBreak/>
        <w:t>age 18 or older but is incapable of self-care because of a mental or physical disability. 29 U.S.C. § 2611(12); 29 C.F.R. § 825.122(</w:t>
      </w:r>
      <w:r w:rsidR="00021735" w:rsidRPr="001E4102">
        <w:t>d</w:t>
      </w:r>
      <w:r w:rsidRPr="001E4102">
        <w:t>). Persons with “in loco parentis” status under the FMLA include those who had day-to-day responsibility to care for and financially support the employee when the employee was a child. 29 C.F.R. § 825.122(</w:t>
      </w:r>
      <w:r w:rsidR="005C1C73" w:rsidRPr="001E4102">
        <w:t>d</w:t>
      </w:r>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r w:rsidRPr="001E4102">
        <w:t xml:space="preserve">)(1). “Activities of daily living” include adaptive activities such as caring appropriately for one’s grooming and hygiene, bathing, dressing and eating. </w:t>
      </w:r>
      <w:r w:rsidRPr="00497AB4">
        <w:rPr>
          <w:i/>
        </w:rPr>
        <w:t>Id</w:t>
      </w:r>
      <w:r w:rsidRPr="001E4102">
        <w:t>. “Instrumental activities of daily living”</w:t>
      </w:r>
      <w:r w:rsidR="00371FEC" w:rsidRPr="001E4102">
        <w:t xml:space="preserve"> </w:t>
      </w:r>
      <w:r w:rsidRPr="001E4102">
        <w:t xml:space="preserve">include cooking, cleaning, shopping, taking public transportation, paying bills, maintaining a residence, using telephones and directories, using a post office, etc. </w:t>
      </w:r>
      <w:r w:rsidRPr="00497AB4">
        <w:rPr>
          <w:i/>
        </w:rPr>
        <w:t>Id</w:t>
      </w:r>
      <w:r w:rsidRPr="001E4102">
        <w:t>. “Physical or mental disability” means a physical or mental impairment that substantially limits one or more of the major life activities of an individual. 29 C.F.R. § 825.122(</w:t>
      </w:r>
      <w:r w:rsidR="005C1C73" w:rsidRPr="001E4102">
        <w:t>d</w:t>
      </w:r>
      <w:r w:rsidRPr="001E4102">
        <w:t xml:space="preserve">)(2). These terms are defined in the same manner as they are under the Americans with Disabilities Act. </w:t>
      </w:r>
      <w:r w:rsidRPr="00497AB4">
        <w:rPr>
          <w:i/>
        </w:rPr>
        <w:t>Id</w:t>
      </w:r>
      <w:r w:rsidRPr="001E4102">
        <w:t>.</w:t>
      </w:r>
    </w:p>
    <w:p w14:paraId="3B180510" w14:textId="7E023EFF"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w:t>
      </w:r>
      <w:proofErr w:type="spellStart"/>
      <w:r w:rsidR="001D5FA8" w:rsidRPr="001D5FA8">
        <w:t>arent</w:t>
      </w:r>
      <w:proofErr w:type="spellEnd"/>
      <w:r w:rsidR="001D5FA8" w:rsidRPr="001D5FA8">
        <w:t xml:space="preserve"> means a biological, adoptive, step or foster father or mother, or any other individual who stood in loco parentis to the employee when the employee was a son or daughter as defined in paragraph (d) of this section. This term does not include parents ‘in law.</w:t>
      </w:r>
      <w:proofErr w:type="gramStart"/>
      <w:r w:rsidR="001D5FA8" w:rsidRPr="001D5FA8">
        <w:t>’</w:t>
      </w:r>
      <w:r w:rsidR="00DF3239">
        <w:t xml:space="preserve"> </w:t>
      </w:r>
      <w:r w:rsidR="001D5FA8" w:rsidRPr="001D5FA8">
        <w:t>”</w:t>
      </w:r>
      <w:proofErr w:type="gramEnd"/>
      <w:r w:rsidR="001D5FA8" w:rsidRPr="001D5FA8">
        <w:t xml:space="preserve">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proofErr w:type="spellStart"/>
      <w:r w:rsidRPr="001E4102">
        <w:rPr>
          <w:i/>
        </w:rPr>
        <w:t>Stekloff</w:t>
      </w:r>
      <w:proofErr w:type="spellEnd"/>
      <w:r w:rsidRPr="001E4102">
        <w:rPr>
          <w:i/>
        </w:rPr>
        <w:t xml:space="preserve">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lastRenderedPageBreak/>
        <w:tab/>
      </w:r>
      <w:r w:rsidRPr="001E4102">
        <w:rPr>
          <w:i/>
        </w:rPr>
        <w:t>Certification of Medical Leave</w:t>
      </w:r>
    </w:p>
    <w:p w14:paraId="3DA27DF2" w14:textId="5D81E964" w:rsidR="006154EC" w:rsidRPr="001E4102" w:rsidRDefault="006154EC" w:rsidP="00E01AA2">
      <w:pPr>
        <w:spacing w:after="240"/>
        <w:jc w:val="both"/>
      </w:pPr>
      <w:r w:rsidRPr="001E4102">
        <w:rPr>
          <w:i/>
        </w:rPr>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w:t>
      </w:r>
      <w:r w:rsidR="004F1FE7" w:rsidRPr="00497AB4">
        <w:rPr>
          <w:i/>
        </w:rPr>
        <w:t>id</w:t>
      </w:r>
      <w:r w:rsidR="004F1FE7" w:rsidRPr="001E4102">
        <w:t>. § 2613(d) (providing for “[r]</w:t>
      </w:r>
      <w:proofErr w:type="spellStart"/>
      <w:r w:rsidR="004F1FE7" w:rsidRPr="001E4102">
        <w:t>esolution</w:t>
      </w:r>
      <w:proofErr w:type="spellEnd"/>
      <w:r w:rsidR="004F1FE7" w:rsidRPr="001E4102">
        <w:t xml:space="preserve"> of conflicting opinions”); </w:t>
      </w:r>
      <w:r w:rsidR="004F1FE7" w:rsidRPr="001E4102">
        <w:rPr>
          <w:i/>
        </w:rPr>
        <w:t>id</w:t>
      </w:r>
      <w:r w:rsidR="004F1FE7" w:rsidRPr="001E4102">
        <w:t xml:space="preserve">. § 2613(e) (authorizing employer to “require ... subsequent recertifications on a reasonable basis”); </w:t>
      </w:r>
      <w:r w:rsidR="004F1FE7" w:rsidRPr="001E4102">
        <w:rPr>
          <w:i/>
        </w:rPr>
        <w:t>id</w:t>
      </w:r>
      <w:r w:rsidR="004F1FE7" w:rsidRPr="001E4102">
        <w:t xml:space="preserve">. § 2613(f) (addressing certifications relating to service in the Armed Forces).  As of </w:t>
      </w:r>
      <w:r w:rsidR="00536E3F">
        <w:t>spring 2016</w:t>
      </w:r>
      <w:r w:rsidR="004F1FE7" w:rsidRPr="001E4102">
        <w:t xml:space="preserve">, the regulations fleshing out the certification mechanism can be found at 29 C.F.R. §§ 825.305 – 825.313. </w:t>
      </w:r>
      <w:r w:rsidR="00E01AA2">
        <w:t>“If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w:t>
      </w:r>
      <w:proofErr w:type="gramStart"/>
      <w:r w:rsidR="00DF3239">
        <w:t>’ ”</w:t>
      </w:r>
      <w:proofErr w:type="gramEnd"/>
      <w:r w:rsidR="00E01AA2">
        <w:t xml:space="preserve"> </w:t>
      </w:r>
      <w:proofErr w:type="spellStart"/>
      <w:r w:rsidR="00E01AA2" w:rsidRPr="00E01AA2">
        <w:rPr>
          <w:i/>
        </w:rPr>
        <w:t>Hansler</w:t>
      </w:r>
      <w:proofErr w:type="spellEnd"/>
      <w:r w:rsidR="00E01AA2" w:rsidRPr="00E01AA2">
        <w:rPr>
          <w:i/>
        </w:rPr>
        <w:t xml:space="preserve">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proofErr w:type="spellStart"/>
      <w:r w:rsidR="004F1FE7" w:rsidRPr="001E4102">
        <w:rPr>
          <w:i/>
        </w:rPr>
        <w:t>Budhun</w:t>
      </w:r>
      <w:proofErr w:type="spellEnd"/>
      <w:r w:rsidR="004F1FE7" w:rsidRPr="001E4102">
        <w:rPr>
          <w:i/>
        </w:rPr>
        <w:t xml:space="preserve">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proofErr w:type="spellStart"/>
      <w:r w:rsidR="004F1FE7" w:rsidRPr="001E4102">
        <w:rPr>
          <w:i/>
        </w:rPr>
        <w:t>Budhun</w:t>
      </w:r>
      <w:proofErr w:type="spellEnd"/>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A858E99" w:rsidR="006154EC" w:rsidRDefault="006154EC" w:rsidP="009C6F31">
      <w:pPr>
        <w:spacing w:after="240"/>
        <w:jc w:val="both"/>
      </w:pPr>
      <w:r w:rsidRPr="001E4102">
        <w:tab/>
        <w:t>29 U.S.C. § 2613(f) provides: “An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0BC8521" w14:textId="04B21B66" w:rsidR="00CD21E8" w:rsidRPr="00CD21E8" w:rsidRDefault="00CD21E8" w:rsidP="00CD21E8">
      <w:pPr>
        <w:spacing w:after="240"/>
        <w:jc w:val="center"/>
        <w:rPr>
          <w:i/>
          <w:iCs/>
        </w:rPr>
      </w:pPr>
      <w:r>
        <w:rPr>
          <w:i/>
          <w:iCs/>
        </w:rPr>
        <w:t>Ministerial exception</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xml:space="preserve">, 132 S. Ct. 694, 702, 709 n.4 (2012).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at 710 (“The case before us is an employment discrimination suit brought on behalf of a minister, challenging her church's decision to fire her…. [T]he ministerial exception bars such a suit.”).  For further discussion of the ministerial exception, see Comment 5.0.</w:t>
      </w:r>
    </w:p>
    <w:p w14:paraId="29AFCBA4" w14:textId="77777777" w:rsidR="00B4350F" w:rsidRPr="00B4350F" w:rsidRDefault="00B4350F" w:rsidP="00B4350F">
      <w:pPr>
        <w:spacing w:after="240"/>
        <w:jc w:val="center"/>
        <w:rPr>
          <w:i/>
        </w:rPr>
      </w:pPr>
      <w:r w:rsidRPr="00B4350F">
        <w:rPr>
          <w:i/>
        </w:rPr>
        <w:lastRenderedPageBreak/>
        <w:t xml:space="preserve">Potential overlap between ADA reasonable-accommodation claims and FMLA claims  </w:t>
      </w:r>
    </w:p>
    <w:p w14:paraId="23A1A285" w14:textId="5824261F" w:rsidR="005431F9" w:rsidRPr="001E4102" w:rsidRDefault="00B4350F" w:rsidP="00B4350F">
      <w:pPr>
        <w:spacing w:after="240"/>
        <w:jc w:val="both"/>
        <w:sectPr w:rsidR="005431F9" w:rsidRPr="001E4102" w:rsidSect="0072581A">
          <w:headerReference w:type="default" r:id="rId11"/>
          <w:pgSz w:w="12240" w:h="15840"/>
          <w:pgMar w:top="1920" w:right="1440" w:bottom="1920" w:left="1440" w:header="900" w:footer="1440" w:gutter="0"/>
          <w:lnNumType w:countBy="1" w:distance="576" w:restart="newSection"/>
          <w:cols w:space="720"/>
          <w:docGrid w:linePitch="326"/>
        </w:sectPr>
      </w:pPr>
      <w:r>
        <w:tab/>
        <w:t xml:space="preserve">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rights. ADA’s ‘disability’ and FMLA’s ‘serious health condition’ are different concepts, and must be analyzed separately.” 29 C.F.R. § 825.702(b). “[A] request for FMLA leave may qualify, under certain circumstances, as a request for a reasonable accommodation under the ADA.” </w:t>
      </w:r>
      <w:r w:rsidRPr="00B4350F">
        <w:rPr>
          <w:i/>
        </w:rPr>
        <w:t>Capps v. Mondelez Glob., LLC</w:t>
      </w:r>
      <w:r>
        <w:t xml:space="preserve">, 847 F.3d 144, 156-57 (3d Cir. 2017) (upholding grant of summary judgment to defendant because, “even assuming, </w:t>
      </w:r>
      <w:r w:rsidRPr="000B34D8">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 xml:space="preserve">Elements of an FMLA Claim— Interference </w:t>
      </w:r>
      <w:proofErr w:type="gramStart"/>
      <w:r w:rsidRPr="001E4102">
        <w:rPr>
          <w:b/>
          <w:sz w:val="28"/>
        </w:rPr>
        <w:t>With</w:t>
      </w:r>
      <w:proofErr w:type="gramEnd"/>
      <w:r w:rsidRPr="001E4102">
        <w:rPr>
          <w:b/>
          <w:sz w:val="28"/>
        </w:rPr>
        <w:t xml:space="preserve">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6"/>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7"/>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[if [plaintiff] could foresee the need for leave, [he/she] notified [defendant] at least 30 days before the leave was to begin]</w:t>
      </w:r>
      <w:r w:rsidR="00587C7F" w:rsidRPr="001E4102">
        <w:rPr>
          <w:rStyle w:val="FootnoteReference"/>
        </w:rPr>
        <w:footnoteReference w:id="8"/>
      </w:r>
      <w:r w:rsidRPr="001E4102">
        <w:t xml:space="preserve"> </w:t>
      </w:r>
    </w:p>
    <w:p w14:paraId="355453EF" w14:textId="77777777" w:rsidR="006154EC" w:rsidRPr="001E4102" w:rsidRDefault="006154EC" w:rsidP="009C6F31">
      <w:pPr>
        <w:spacing w:after="240"/>
        <w:ind w:left="1440"/>
        <w:jc w:val="both"/>
      </w:pPr>
      <w:r w:rsidRPr="001E4102">
        <w:t xml:space="preserve">[if [plaintiff] could not foresee the need for </w:t>
      </w:r>
      <w:proofErr w:type="gramStart"/>
      <w:r w:rsidRPr="001E4102">
        <w:t>leave,  [</w:t>
      </w:r>
      <w:proofErr w:type="gramEnd"/>
      <w:r w:rsidRPr="001E4102">
        <w:t xml:space="preserve">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w:t>
      </w:r>
      <w:r w:rsidRPr="001E4102">
        <w:lastRenderedPageBreak/>
        <w:t>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1) terminating employment;</w:t>
      </w:r>
      <w:r w:rsidR="00DE3881" w:rsidRPr="001E4102">
        <w:rPr>
          <w:rStyle w:val="FootnoteReference"/>
        </w:rPr>
        <w:footnoteReference w:id="9"/>
      </w:r>
    </w:p>
    <w:p w14:paraId="7A451E7F" w14:textId="77777777" w:rsidR="006154EC" w:rsidRPr="001E4102" w:rsidRDefault="006154EC" w:rsidP="009C6F31">
      <w:pPr>
        <w:spacing w:after="240"/>
        <w:ind w:left="1440"/>
        <w:jc w:val="both"/>
      </w:pPr>
      <w:r w:rsidRPr="001E4102">
        <w:t>2) refusing to allow an employee to return to his or her job, or to an equivalent position, upon return from leave;</w:t>
      </w:r>
      <w:r w:rsidRPr="001E4102">
        <w:rPr>
          <w:rStyle w:val="FootnoteReference"/>
        </w:rPr>
        <w:footnoteReference w:id="10"/>
      </w:r>
    </w:p>
    <w:p w14:paraId="48AFDDEE" w14:textId="4672A7B9" w:rsidR="006154EC" w:rsidRPr="001E4102" w:rsidRDefault="006154EC" w:rsidP="009C6F31">
      <w:pPr>
        <w:spacing w:after="240"/>
        <w:ind w:left="1440"/>
        <w:jc w:val="both"/>
      </w:pPr>
      <w:r w:rsidRPr="001E4102">
        <w:t>3) ordering an employee not to take leave or discouraging an employee from taking leave;</w:t>
      </w:r>
      <w:r w:rsidR="00AF52BE">
        <w:rPr>
          <w:rStyle w:val="FootnoteReference"/>
        </w:rPr>
        <w:footnoteReference w:id="11"/>
      </w:r>
      <w:r w:rsidRPr="001E4102">
        <w:t xml:space="preserve"> and</w:t>
      </w:r>
    </w:p>
    <w:p w14:paraId="1DE1CD9A" w14:textId="77777777" w:rsidR="006154EC" w:rsidRPr="001E4102" w:rsidRDefault="006154EC" w:rsidP="009C6F31">
      <w:pPr>
        <w:spacing w:after="240"/>
        <w:ind w:left="1440"/>
        <w:jc w:val="both"/>
      </w:pPr>
      <w:r w:rsidRPr="001E4102">
        <w:t>4) failing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lastRenderedPageBreak/>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332C7">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 xml:space="preserve">Ross v. </w:t>
      </w:r>
      <w:proofErr w:type="spellStart"/>
      <w:r w:rsidR="00F970EA" w:rsidRPr="001E4102">
        <w:rPr>
          <w:i/>
        </w:rPr>
        <w:t>Gilhuly</w:t>
      </w:r>
      <w:proofErr w:type="spellEnd"/>
      <w:r w:rsidR="00F970EA" w:rsidRPr="001E4102">
        <w:t xml:space="preserve">, 755 F.3d 185, 191-92 (3d Cir. 2014) (quoting </w:t>
      </w:r>
      <w:r w:rsidR="00F970EA" w:rsidRPr="001E4102">
        <w:rPr>
          <w:i/>
        </w:rPr>
        <w:t xml:space="preserve">Johnson v. </w:t>
      </w:r>
      <w:proofErr w:type="spellStart"/>
      <w:r w:rsidR="00F970EA" w:rsidRPr="001E4102">
        <w:rPr>
          <w:i/>
        </w:rPr>
        <w:t>Cmty</w:t>
      </w:r>
      <w:proofErr w:type="spellEnd"/>
      <w:r w:rsidR="00F970EA" w:rsidRPr="001E4102">
        <w:rPr>
          <w:i/>
        </w:rPr>
        <w:t xml:space="preserve">. Coll. of Allegheny </w:t>
      </w:r>
      <w:proofErr w:type="spellStart"/>
      <w:r w:rsidR="00F970EA" w:rsidRPr="001E4102">
        <w:rPr>
          <w:i/>
        </w:rPr>
        <w:t>Cnty</w:t>
      </w:r>
      <w:proofErr w:type="spellEnd"/>
      <w:r w:rsidR="00F970EA" w:rsidRPr="001E4102">
        <w:rPr>
          <w:i/>
        </w:rPr>
        <w:t>.</w:t>
      </w:r>
      <w:r w:rsidR="00F970EA" w:rsidRPr="001E4102">
        <w:t>, 566 F. Supp. 2d 405, 446 (W.D. Pa. 2008)).</w:t>
      </w:r>
      <w:r w:rsidR="00F970EA" w:rsidRPr="001E4102">
        <w:rPr>
          <w:rStyle w:val="FootnoteReference"/>
        </w:rPr>
        <w:footnoteReference w:id="12"/>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5F2124E5"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w:t>
      </w:r>
      <w:r w:rsidR="00FD46EB">
        <w:t xml:space="preserve"> </w:t>
      </w:r>
      <w:r w:rsidR="006154EC" w:rsidRPr="001E4102">
        <w:t>2d 478, 483 (D.N.J. 2002), provides helpful background on the gravamen of a claim brought under § 2615(a)(1):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w:t>
      </w:r>
      <w:r w:rsidRPr="001E4102">
        <w:lastRenderedPageBreak/>
        <w:t>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w:t>
      </w:r>
      <w:proofErr w:type="gramStart"/>
      <w:r w:rsidRPr="001E4102">
        <w:t>1). . .</w:t>
      </w:r>
      <w:proofErr w:type="gramEnd"/>
      <w:r w:rsidRPr="001E4102">
        <w:t xml:space="preserve">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w:t>
      </w:r>
      <w:proofErr w:type="spellStart"/>
      <w:r w:rsidRPr="001E4102">
        <w:rPr>
          <w:i/>
        </w:rPr>
        <w:t>Callison</w:t>
      </w:r>
      <w:proofErr w:type="spellEnd"/>
      <w:r w:rsidRPr="001E4102">
        <w:rPr>
          <w:i/>
        </w:rPr>
        <w:t xml:space="preserve">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2094B8A0"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w:t>
      </w:r>
      <w:proofErr w:type="spellStart"/>
      <w:r w:rsidRPr="001E4102">
        <w:rPr>
          <w:i/>
        </w:rPr>
        <w:t>Shenango</w:t>
      </w:r>
      <w:proofErr w:type="spellEnd"/>
      <w:r w:rsidRPr="001E4102">
        <w:rPr>
          <w:i/>
        </w:rPr>
        <w:t xml:space="preserve">, Inc., </w:t>
      </w:r>
      <w:r w:rsidRPr="001E4102">
        <w:t>986 F. Supp. 309, 317 (W</w:t>
      </w:r>
      <w:r w:rsidR="001332C7">
        <w:t>.D. Pa.</w:t>
      </w:r>
      <w:r w:rsidRPr="001E4102">
        <w:t xml:space="preserve"> 1997) (finding that “a claim under §  2615(a)(1) is governed by a strict liability standard”); </w:t>
      </w:r>
      <w:proofErr w:type="spellStart"/>
      <w:r w:rsidRPr="001E4102">
        <w:rPr>
          <w:i/>
        </w:rPr>
        <w:t>Moorer</w:t>
      </w:r>
      <w:proofErr w:type="spellEnd"/>
      <w:r w:rsidRPr="001E4102">
        <w:rPr>
          <w:i/>
        </w:rPr>
        <w:t xml:space="preserve"> v. Baptist Memorial Health Care</w:t>
      </w:r>
      <w:r w:rsidRPr="001E4102">
        <w:t>, 398 F.3d 469, 487 (6</w:t>
      </w:r>
      <w:r w:rsidR="001332C7" w:rsidRPr="001332C7">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001332C7" w:rsidRPr="001332C7">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825.216(a)(1).  The court continued its analysis as follows:</w:t>
      </w:r>
    </w:p>
    <w:p w14:paraId="655ECC5D" w14:textId="2D61163D" w:rsidR="006154EC" w:rsidRPr="001E4102" w:rsidRDefault="006154EC" w:rsidP="009C6F31">
      <w:pPr>
        <w:spacing w:after="240"/>
        <w:ind w:left="720"/>
        <w:jc w:val="both"/>
      </w:pPr>
      <w:r w:rsidRPr="001E4102">
        <w:lastRenderedPageBreak/>
        <w:t xml:space="preserve">The Third Circuit has not considered whether this regulation places the burden on the employer. The Tenth Circuit has held that it does and functions like an affirmative defense.  </w:t>
      </w:r>
      <w:r w:rsidRPr="001E4102">
        <w:rPr>
          <w:i/>
        </w:rPr>
        <w:t xml:space="preserve">Smith v. </w:t>
      </w:r>
      <w:proofErr w:type="spellStart"/>
      <w:r w:rsidRPr="001E4102">
        <w:rPr>
          <w:i/>
        </w:rPr>
        <w:t>Diffee</w:t>
      </w:r>
      <w:proofErr w:type="spellEnd"/>
      <w:r w:rsidRPr="001E4102">
        <w:rPr>
          <w:i/>
        </w:rPr>
        <w:t xml:space="preserv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047BA1A1" w:rsidR="006154EC" w:rsidRPr="001E4102" w:rsidRDefault="006154EC" w:rsidP="009C6F31">
      <w:pPr>
        <w:spacing w:after="240"/>
        <w:jc w:val="both"/>
      </w:pPr>
      <w:r w:rsidRPr="001E4102">
        <w:t>234 F. Supp.</w:t>
      </w:r>
      <w:r w:rsidR="00FD46EB">
        <w:t xml:space="preserve"> </w:t>
      </w:r>
      <w:r w:rsidRPr="001E4102">
        <w:t xml:space="preserve">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w:t>
      </w:r>
      <w:proofErr w:type="spellStart"/>
      <w:r w:rsidRPr="001E4102">
        <w:rPr>
          <w:i/>
        </w:rPr>
        <w:t>Throneberry</w:t>
      </w:r>
      <w:proofErr w:type="spellEnd"/>
      <w:r w:rsidRPr="001E4102">
        <w:rPr>
          <w:i/>
        </w:rPr>
        <w:t xml:space="preserve"> v. McGehee Desha County Hosp., </w:t>
      </w:r>
      <w:r w:rsidRPr="001E4102">
        <w:t>403 F.3d 972 (8</w:t>
      </w:r>
      <w:r w:rsidR="001332C7" w:rsidRPr="001332C7">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3DE7ED61" w:rsidR="006154EC" w:rsidRPr="001E4102" w:rsidRDefault="006154EC" w:rsidP="009C6F31">
      <w:pPr>
        <w:spacing w:after="240"/>
        <w:jc w:val="both"/>
      </w:pPr>
      <w:r w:rsidRPr="001E4102">
        <w:lastRenderedPageBreak/>
        <w:tab/>
        <w:t>“[F]</w:t>
      </w:r>
      <w:proofErr w:type="spellStart"/>
      <w:r w:rsidRPr="001E4102">
        <w:t>iring</w:t>
      </w:r>
      <w:proofErr w:type="spellEnd"/>
      <w:r w:rsidRPr="001E4102">
        <w:t xml:space="preserve">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proofErr w:type="spellStart"/>
      <w:r w:rsidR="00A55ED6" w:rsidRPr="001E4102">
        <w:rPr>
          <w:i/>
        </w:rPr>
        <w:t>Budhun</w:t>
      </w:r>
      <w:proofErr w:type="spellEnd"/>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w:t>
      </w:r>
      <w:proofErr w:type="spellStart"/>
      <w:r w:rsidR="00FA6EB9" w:rsidRPr="001E4102">
        <w:rPr>
          <w:i/>
        </w:rPr>
        <w:t>Gilhuly</w:t>
      </w:r>
      <w:proofErr w:type="spellEnd"/>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r w:rsidR="00252BF2">
        <w:t xml:space="preserve">; </w:t>
      </w:r>
      <w:r w:rsidR="00252BF2" w:rsidRPr="00252BF2">
        <w:rPr>
          <w:i/>
        </w:rPr>
        <w:t>Capps v. Mondelez Glob., LLC</w:t>
      </w:r>
      <w:r w:rsidR="00252BF2" w:rsidRPr="00252BF2">
        <w:t xml:space="preserve">, 847 F.3d 144, 156 (3d Cir. 2017) (citing </w:t>
      </w:r>
      <w:r w:rsidR="00252BF2" w:rsidRPr="00252BF2">
        <w:rPr>
          <w:i/>
        </w:rPr>
        <w:t>Ross</w:t>
      </w:r>
      <w:r w:rsidR="00252BF2" w:rsidRPr="00252BF2">
        <w:t xml:space="preserve"> and holding that “[u]</w:t>
      </w:r>
      <w:proofErr w:type="spellStart"/>
      <w:r w:rsidR="00252BF2" w:rsidRPr="00252BF2">
        <w:t>nder</w:t>
      </w:r>
      <w:proofErr w:type="spellEnd"/>
      <w:r w:rsidR="00252BF2" w:rsidRPr="00252BF2">
        <w:t xml:space="preserve"> the specific circumstances in this case” termination after employee’s return from FMLA leave did not give rise to an FMLA interference claim)</w:t>
      </w:r>
      <w:r w:rsidRPr="001E4102">
        <w:t>.</w:t>
      </w:r>
    </w:p>
    <w:p w14:paraId="74A18525" w14:textId="15F44641" w:rsidR="000A311E" w:rsidRDefault="006154EC" w:rsidP="000A311E">
      <w:pPr>
        <w:spacing w:after="240"/>
        <w:jc w:val="both"/>
      </w:pPr>
      <w:r w:rsidRPr="001E4102">
        <w:tab/>
      </w:r>
      <w:r w:rsidR="005B4608">
        <w:t xml:space="preserve">29 C.F.R. § </w:t>
      </w:r>
      <w:r w:rsidRPr="001E4102">
        <w:t xml:space="preserve">825.220(b) defines </w:t>
      </w:r>
      <w:r w:rsidR="006E54B2">
        <w:t>“interference” as including “</w:t>
      </w:r>
      <w:r w:rsidRPr="001E4102">
        <w:t xml:space="preserve">not only refusing to authorize FMLA leave, but discouraging an employee from using such leave.” </w:t>
      </w:r>
      <w:r w:rsidR="000A311E">
        <w:t xml:space="preserve">Some lower-court caselaw could be read to suggest that even </w:t>
      </w:r>
      <w:r w:rsidR="000A311E" w:rsidRPr="00B84500">
        <w:rPr>
          <w:i/>
        </w:rPr>
        <w:t>unsuccessful</w:t>
      </w:r>
      <w:r w:rsidR="000A311E">
        <w:t xml:space="preserve"> attempts to discourage the exercise of FMLA rights may constitute interference.  </w:t>
      </w:r>
      <w:r w:rsidR="000A311E" w:rsidRPr="00705E77">
        <w:rPr>
          <w:i/>
        </w:rPr>
        <w:t>See, e.g</w:t>
      </w:r>
      <w:r w:rsidR="000A311E">
        <w:t xml:space="preserve">., </w:t>
      </w:r>
      <w:proofErr w:type="spellStart"/>
      <w:r w:rsidR="000A311E" w:rsidRPr="00705E77">
        <w:rPr>
          <w:i/>
        </w:rPr>
        <w:t>Shtab</w:t>
      </w:r>
      <w:proofErr w:type="spellEnd"/>
      <w:r w:rsidR="000A311E" w:rsidRPr="00705E77">
        <w:rPr>
          <w:i/>
        </w:rPr>
        <w:t xml:space="preserve"> v. The </w:t>
      </w:r>
      <w:proofErr w:type="spellStart"/>
      <w:r w:rsidR="000A311E" w:rsidRPr="00705E77">
        <w:rPr>
          <w:i/>
        </w:rPr>
        <w:t>Greate</w:t>
      </w:r>
      <w:proofErr w:type="spellEnd"/>
      <w:r w:rsidR="000A311E" w:rsidRPr="00705E77">
        <w:rPr>
          <w:i/>
        </w:rPr>
        <w:t xml:space="preserve"> Bay Hotel and Casino</w:t>
      </w:r>
      <w:r w:rsidR="000A311E">
        <w:t>, 173 F. Supp.</w:t>
      </w:r>
      <w:r w:rsidR="00FD46EB">
        <w:t xml:space="preserve"> </w:t>
      </w:r>
      <w:r w:rsidR="000A311E">
        <w:t xml:space="preserve">2d 255, 267-68 (D.N.J. 2001); </w:t>
      </w:r>
      <w:r w:rsidR="000A311E" w:rsidRPr="00705E77">
        <w:rPr>
          <w:i/>
        </w:rPr>
        <w:t xml:space="preserve">Williams v. </w:t>
      </w:r>
      <w:proofErr w:type="spellStart"/>
      <w:r w:rsidR="000A311E" w:rsidRPr="00705E77">
        <w:rPr>
          <w:i/>
        </w:rPr>
        <w:t>Shenango</w:t>
      </w:r>
      <w:proofErr w:type="spellEnd"/>
      <w:r w:rsidR="000A311E" w:rsidRPr="00705E77">
        <w:rPr>
          <w:i/>
        </w:rPr>
        <w:t>, Inc</w:t>
      </w:r>
      <w:r w:rsidR="000A311E">
        <w:t xml:space="preserve">., 986 F. Supp. 309, 321 (W.D. Pa. 1997).  But the Court of Appeals </w:t>
      </w:r>
      <w:r w:rsidR="00705E77">
        <w:t xml:space="preserve">has adopted the opposite view. </w:t>
      </w:r>
      <w:r w:rsidR="000A311E">
        <w:t xml:space="preserve">In </w:t>
      </w:r>
      <w:r w:rsidR="000A311E" w:rsidRPr="00705E77">
        <w:rPr>
          <w:i/>
        </w:rPr>
        <w:t>Fraternal Order of Police v. City of Camden</w:t>
      </w:r>
      <w:r w:rsidR="000A311E">
        <w:t>, 842 F.3d 231, 245 (3d Cir. 2016), the plaintiff based his FMLA-interference claim on the fact that, though he was approved for (and took) FMLA leave to care for his mother, he was “warned that he was using too much leave”; “placed in the ‘Chronic Sick Category</w:t>
      </w:r>
      <w:r w:rsidR="00DF3239">
        <w:t>’ ”</w:t>
      </w:r>
      <w:r w:rsidR="000A311E">
        <w:t xml:space="preserve"> and warned of eventual future discipline; and “visited … at home while he was on leave.” </w:t>
      </w:r>
      <w:r w:rsidR="000A311E" w:rsidRPr="00705E77">
        <w:rPr>
          <w:i/>
        </w:rPr>
        <w:t>Fraternal Order of Police</w:t>
      </w:r>
      <w:r w:rsidR="000A311E">
        <w:t>, 842 F.3d at 245.  The Court of Appeals, noting that the plaintiff relied both on 29 C.F.R. §</w:t>
      </w:r>
      <w:r w:rsidR="00705E77">
        <w:t> </w:t>
      </w:r>
      <w:r w:rsidR="000A311E">
        <w:t xml:space="preserve">825.220(b) and on </w:t>
      </w:r>
      <w:proofErr w:type="spellStart"/>
      <w:r w:rsidR="000A311E" w:rsidRPr="00705E77">
        <w:rPr>
          <w:i/>
        </w:rPr>
        <w:t>Shtab</w:t>
      </w:r>
      <w:proofErr w:type="spellEnd"/>
      <w:r w:rsidR="000A311E">
        <w:t xml:space="preserve">, rejected the plaintiff’s arguments on two grounds.  First, it held that the level of discouragement was insufficient to constitute interference. </w:t>
      </w:r>
      <w:r w:rsidR="000A311E" w:rsidRPr="00705E77">
        <w:rPr>
          <w:i/>
        </w:rPr>
        <w:t>See Fraternal Order of Police</w:t>
      </w:r>
      <w:r w:rsidR="000A311E">
        <w:t xml:space="preserve">, 842 F.3d at 246 (“Camden officials only visited Officer Holland once while he was on leave, and we agree that this was minimally intrusive.… Camden’s actions … were not beyond the limitations the FMLA places on employers attempting to manage their workplaces….”).  Second, the Court of Appeals stressed that the FMLA authorizes no remedy unless the plaintiff has been harmed by the defendant’s conduct.  </w:t>
      </w:r>
      <w:r w:rsidR="000A311E" w:rsidRPr="00705E77">
        <w:rPr>
          <w:i/>
        </w:rPr>
        <w:t>See id</w:t>
      </w:r>
      <w:r w:rsidR="000A311E">
        <w:t>. (“Officer Holland does not allege he was actually denied FMLA leave. In fact, he concedes that he was able to take time off to care for his mother.”).</w:t>
      </w:r>
    </w:p>
    <w:p w14:paraId="33D18C5D" w14:textId="3C33CE72" w:rsidR="006154EC" w:rsidRPr="001E4102" w:rsidRDefault="000A311E" w:rsidP="009C6F31">
      <w:pPr>
        <w:spacing w:after="240"/>
        <w:jc w:val="both"/>
      </w:pPr>
      <w:r>
        <w:tab/>
        <w:t>As the preceding discussion suggests, t</w:t>
      </w:r>
      <w:r w:rsidR="006154EC" w:rsidRPr="001E4102">
        <w:t xml:space="preserve">he FMLA does not prohibit reasonable attempts by the employer to protect against abuses in taking leave. Thus, in </w:t>
      </w:r>
      <w:proofErr w:type="spellStart"/>
      <w:r w:rsidR="006154EC" w:rsidRPr="001E4102">
        <w:rPr>
          <w:i/>
        </w:rPr>
        <w:t>Callison</w:t>
      </w:r>
      <w:proofErr w:type="spellEnd"/>
      <w:r w:rsidR="006154EC" w:rsidRPr="001E4102">
        <w:rPr>
          <w:i/>
        </w:rPr>
        <w:t xml:space="preserve"> v. City of Philadelphia, </w:t>
      </w:r>
      <w:r w:rsidR="006154EC"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w:t>
      </w:r>
      <w:r w:rsidR="006154EC" w:rsidRPr="001E4102">
        <w:lastRenderedPageBreak/>
        <w:t xml:space="preserve">disagreed, stating that the FMLA does not prevent employers “from ensuring that employees who are on leave from work do not abuse their leave.”  Bracketed material in the instruction is consistent with the </w:t>
      </w:r>
      <w:proofErr w:type="spellStart"/>
      <w:r w:rsidR="006154EC" w:rsidRPr="001E4102">
        <w:rPr>
          <w:i/>
        </w:rPr>
        <w:t>Callison</w:t>
      </w:r>
      <w:proofErr w:type="spellEnd"/>
      <w:r w:rsidR="006154EC" w:rsidRPr="001E4102">
        <w:rPr>
          <w:i/>
        </w:rPr>
        <w:t xml:space="preserve"> </w:t>
      </w:r>
      <w:r w:rsidR="006154EC" w:rsidRPr="001E4102">
        <w:t>decision.</w:t>
      </w:r>
    </w:p>
    <w:p w14:paraId="3FB162AA" w14:textId="6CA5F61D" w:rsidR="00CA3155" w:rsidRPr="001E4102" w:rsidRDefault="00CA3155" w:rsidP="009C6F31">
      <w:pPr>
        <w:spacing w:after="240"/>
        <w:ind w:firstLine="720"/>
        <w:jc w:val="both"/>
      </w:pPr>
      <w:r w:rsidRPr="001E4102">
        <w:t xml:space="preserve">The Court of Appeals addressed interference with the employee’s right to return to work in </w:t>
      </w:r>
      <w:proofErr w:type="spellStart"/>
      <w:r w:rsidRPr="001E4102">
        <w:rPr>
          <w:i/>
        </w:rPr>
        <w:t>Budhun</w:t>
      </w:r>
      <w:proofErr w:type="spellEnd"/>
      <w:r w:rsidRPr="001E4102">
        <w:rPr>
          <w:i/>
        </w:rPr>
        <w:t xml:space="preserve"> v. Reading Hosp. &amp; Med. Ctr.</w:t>
      </w:r>
      <w:r w:rsidRPr="001E4102">
        <w:t xml:space="preserve">, </w:t>
      </w:r>
      <w:r w:rsidR="00DF5020" w:rsidRPr="001E4102">
        <w:t xml:space="preserve">765 F.3d 245 </w:t>
      </w:r>
      <w:r w:rsidRPr="001E4102">
        <w:t xml:space="preserve">(3d Cir. 2014).  Viewing the facts in the light most favorable to </w:t>
      </w:r>
      <w:proofErr w:type="spellStart"/>
      <w:r w:rsidRPr="001E4102">
        <w:t>Budhun</w:t>
      </w:r>
      <w:proofErr w:type="spellEnd"/>
      <w:r w:rsidRPr="001E4102">
        <w:t xml:space="preserve">, the Court of Appeals held that </w:t>
      </w:r>
      <w:proofErr w:type="spellStart"/>
      <w:r w:rsidRPr="001E4102">
        <w:t>Budhun</w:t>
      </w:r>
      <w:proofErr w:type="spellEnd"/>
      <w:r w:rsidRPr="001E4102">
        <w:t xml:space="preserve"> invoked her right to return by stating in an August 12 email that she would return on August 16 and by attaching a doctor’s note stating that she had no restrictions.  </w:t>
      </w:r>
      <w:r w:rsidRPr="001E4102">
        <w:rPr>
          <w:i/>
        </w:rPr>
        <w:t>See id.</w:t>
      </w:r>
      <w:r w:rsidR="00E8599D" w:rsidRPr="001E4102">
        <w:t xml:space="preserve"> at 249</w:t>
      </w:r>
      <w:r w:rsidRPr="001E4102">
        <w:t xml:space="preserve">, </w:t>
      </w:r>
      <w:r w:rsidR="00E8599D" w:rsidRPr="001E4102">
        <w:t>252.</w:t>
      </w:r>
      <w:r w:rsidRPr="001E4102">
        <w:t xml:space="preserve">  The fact that the doctor’s note spoke only in general terms (and did not address </w:t>
      </w:r>
      <w:proofErr w:type="spellStart"/>
      <w:r w:rsidRPr="001E4102">
        <w:t>Budhun’s</w:t>
      </w:r>
      <w:proofErr w:type="spellEnd"/>
      <w:r w:rsidRPr="001E4102">
        <w:t xml:space="preserve"> ability to perform specific tasks) did not make the certification inadequate, because </w:t>
      </w:r>
      <w:proofErr w:type="spellStart"/>
      <w:r w:rsidRPr="001E4102">
        <w:t>Budhun’s</w:t>
      </w:r>
      <w:proofErr w:type="spellEnd"/>
      <w:r w:rsidRPr="001E4102">
        <w:t xml:space="preserve"> employer had not included (in its individualized FMLA notice to </w:t>
      </w:r>
      <w:proofErr w:type="spellStart"/>
      <w:r w:rsidRPr="001E4102">
        <w:t>Budhun</w:t>
      </w:r>
      <w:proofErr w:type="spellEnd"/>
      <w:r w:rsidRPr="001E4102">
        <w:t xml:space="preserve">) “a list of essential functions” for </w:t>
      </w:r>
      <w:proofErr w:type="spellStart"/>
      <w:r w:rsidRPr="001E4102">
        <w:t>Budhun’s</w:t>
      </w:r>
      <w:proofErr w:type="spellEnd"/>
      <w:r w:rsidRPr="001E4102">
        <w:t xml:space="preserve"> job.  </w:t>
      </w:r>
      <w:r w:rsidRPr="001E4102">
        <w:rPr>
          <w:i/>
        </w:rPr>
        <w:t>Id</w:t>
      </w:r>
      <w:r w:rsidRPr="001E4102">
        <w:t xml:space="preserve">. at </w:t>
      </w:r>
      <w:r w:rsidR="00841CB5" w:rsidRPr="001E4102">
        <w:t>253</w:t>
      </w:r>
      <w:r w:rsidRPr="001E4102">
        <w:t xml:space="preserve">.  Moreover, a subsequent equivocation by the doctor (stating that </w:t>
      </w:r>
      <w:proofErr w:type="spellStart"/>
      <w:r w:rsidRPr="001E4102">
        <w:t>Budhun</w:t>
      </w:r>
      <w:proofErr w:type="spellEnd"/>
      <w:r w:rsidRPr="001E4102">
        <w:t xml:space="preserve"> should instead be off work until September 8) did not alter the analysis because that statement post-dated the employer’s directive to </w:t>
      </w:r>
      <w:proofErr w:type="spellStart"/>
      <w:r w:rsidRPr="001E4102">
        <w:t>Budhun</w:t>
      </w:r>
      <w:proofErr w:type="spellEnd"/>
      <w:r w:rsidRPr="001E4102">
        <w:t xml:space="preserve"> “that she could not return to work until she had full use of all ten fingers.”  </w:t>
      </w:r>
      <w:r w:rsidRPr="001E4102">
        <w:rPr>
          <w:i/>
        </w:rPr>
        <w:t>Id.</w:t>
      </w:r>
      <w:r w:rsidRPr="001E4102">
        <w:t xml:space="preserve">  (The </w:t>
      </w:r>
      <w:proofErr w:type="spellStart"/>
      <w:r w:rsidRPr="001E4102">
        <w:rPr>
          <w:i/>
        </w:rPr>
        <w:t>Budhun</w:t>
      </w:r>
      <w:proofErr w:type="spellEnd"/>
      <w:r w:rsidRPr="001E4102">
        <w:t xml:space="preserve"> court was applying </w:t>
      </w:r>
      <w:r w:rsidR="006154EC" w:rsidRPr="001E4102">
        <w:t>29 C.F.R. §</w:t>
      </w:r>
      <w:r w:rsidRPr="001E4102">
        <w:t xml:space="preserve"> 825.312 as it stood in 2010, </w:t>
      </w:r>
      <w:r w:rsidRPr="001E4102">
        <w:rPr>
          <w:i/>
        </w:rPr>
        <w:t xml:space="preserve">see </w:t>
      </w:r>
      <w:proofErr w:type="spellStart"/>
      <w:r w:rsidRPr="001E4102">
        <w:rPr>
          <w:i/>
        </w:rPr>
        <w:t>Budhun</w:t>
      </w:r>
      <w:proofErr w:type="spellEnd"/>
      <w:r w:rsidRPr="001E4102">
        <w:t xml:space="preserve">, </w:t>
      </w:r>
      <w:r w:rsidR="00841CB5" w:rsidRPr="001E4102">
        <w:t>765 F.3d at 251</w:t>
      </w:r>
      <w:r w:rsidRPr="001E4102">
        <w:t xml:space="preserve"> n.1; the version in effect as of </w:t>
      </w:r>
      <w:r w:rsidR="00931970">
        <w:t>spring 2016</w:t>
      </w:r>
      <w:r w:rsidRPr="001E4102">
        <w:t xml:space="preserve">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r w:rsidRPr="001E4102">
        <w:t xml:space="preserve">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lastRenderedPageBreak/>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proofErr w:type="spellStart"/>
      <w:r w:rsidRPr="001E4102">
        <w:rPr>
          <w:i/>
        </w:rPr>
        <w:t>Conoshenti</w:t>
      </w:r>
      <w:proofErr w:type="spellEnd"/>
      <w:r w:rsidRPr="001E4102">
        <w:rPr>
          <w:i/>
        </w:rPr>
        <w:t xml:space="preserve">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proofErr w:type="spellStart"/>
      <w:r w:rsidRPr="001E4102">
        <w:rPr>
          <w:i/>
        </w:rPr>
        <w:t>Lupyan</w:t>
      </w:r>
      <w:proofErr w:type="spellEnd"/>
      <w:r w:rsidRPr="001E4102">
        <w:rPr>
          <w:i/>
        </w:rPr>
        <w:t xml:space="preserve">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2A10685F"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3"/>
      </w:r>
      <w:r w:rsidRPr="001E4102">
        <w:t xml:space="preserve">  As of </w:t>
      </w:r>
      <w:r w:rsidR="009274A6">
        <w:t>spring 2016</w:t>
      </w:r>
      <w:r w:rsidRPr="001E4102">
        <w:t xml:space="preserve">,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proofErr w:type="spellStart"/>
      <w:r w:rsidR="006154EC" w:rsidRPr="001E4102">
        <w:rPr>
          <w:i/>
        </w:rPr>
        <w:t>Sarnowski</w:t>
      </w:r>
      <w:proofErr w:type="spellEnd"/>
      <w:r w:rsidR="006154EC" w:rsidRPr="001E4102">
        <w:rPr>
          <w:i/>
        </w:rPr>
        <w:t xml:space="preserve">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proofErr w:type="spellStart"/>
      <w:r w:rsidR="006154EC" w:rsidRPr="001E4102">
        <w:rPr>
          <w:i/>
        </w:rPr>
        <w:t>Sarnowski</w:t>
      </w:r>
      <w:proofErr w:type="spellEnd"/>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t>
      </w:r>
      <w:proofErr w:type="gramStart"/>
      <w:r w:rsidRPr="001E4102">
        <w:rPr>
          <w:i/>
        </w:rPr>
        <w:t>With</w:t>
      </w:r>
      <w:proofErr w:type="gramEnd"/>
      <w:r w:rsidRPr="001E4102">
        <w:rPr>
          <w:i/>
        </w:rPr>
        <w:t xml:space="preserve">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w:t>
      </w:r>
      <w:r w:rsidRPr="001E4102">
        <w:lastRenderedPageBreak/>
        <w:t xml:space="preserve">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proofErr w:type="spellStart"/>
      <w:r w:rsidRPr="001E4102">
        <w:rPr>
          <w:i/>
        </w:rPr>
        <w:t>Conoshenti</w:t>
      </w:r>
      <w:proofErr w:type="spellEnd"/>
      <w:r w:rsidRPr="001E4102">
        <w:rPr>
          <w:i/>
        </w:rPr>
        <w:t xml:space="preserve"> v. Public Service Electric &amp; Gas Co.</w:t>
      </w:r>
      <w:r w:rsidRPr="001E4102">
        <w:t xml:space="preserve">, 364 F.3d 135, 143 (3d Cir. 2004).  The </w:t>
      </w:r>
      <w:proofErr w:type="spellStart"/>
      <w:r w:rsidRPr="001E4102">
        <w:rPr>
          <w:i/>
        </w:rPr>
        <w:t>Conoshenti</w:t>
      </w:r>
      <w:proofErr w:type="spellEnd"/>
      <w:r w:rsidRPr="001E4102">
        <w:rPr>
          <w:i/>
        </w:rPr>
        <w:t xml:space="preserve">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w:t>
      </w:r>
      <w:proofErr w:type="gramStart"/>
      <w:r w:rsidRPr="001E4102">
        <w:t>§  825.301</w:t>
      </w:r>
      <w:proofErr w:type="gramEnd"/>
      <w:r w:rsidRPr="001E4102">
        <w:t xml:space="preserve">(b)(1), (c)). The plaintiff in </w:t>
      </w:r>
      <w:proofErr w:type="spellStart"/>
      <w:r w:rsidRPr="001E4102">
        <w:rPr>
          <w:i/>
        </w:rPr>
        <w:t>Conoshenti</w:t>
      </w:r>
      <w:proofErr w:type="spellEnd"/>
      <w:r w:rsidRPr="001E4102">
        <w:rPr>
          <w:i/>
        </w:rPr>
        <w:t xml:space="preserve">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 xml:space="preserve">See also </w:t>
      </w:r>
      <w:proofErr w:type="spellStart"/>
      <w:r w:rsidR="006373E2" w:rsidRPr="001E4102">
        <w:rPr>
          <w:i/>
        </w:rPr>
        <w:t>Lupyan</w:t>
      </w:r>
      <w:proofErr w:type="spellEnd"/>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w:t>
      </w:r>
      <w:r w:rsidRPr="001E4102">
        <w:lastRenderedPageBreak/>
        <w:t xml:space="preserve">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2"/>
          <w:pgSz w:w="12240" w:h="15840"/>
          <w:pgMar w:top="1920" w:right="1440" w:bottom="1920" w:left="1440" w:header="900" w:footer="1440" w:gutter="0"/>
          <w:lnNumType w:countBy="1" w:distance="576" w:restart="newSection"/>
          <w:cols w:space="720"/>
          <w:docGrid w:linePitch="326"/>
        </w:sectPr>
      </w:pPr>
      <w:proofErr w:type="spellStart"/>
      <w:r w:rsidRPr="00896394">
        <w:rPr>
          <w:i/>
        </w:rPr>
        <w:t>Hansler</w:t>
      </w:r>
      <w:proofErr w:type="spellEnd"/>
      <w:r w:rsidRPr="00896394">
        <w:rPr>
          <w:i/>
        </w:rPr>
        <w:t xml:space="preserve"> v. Lehigh Valley Hosp. Network</w:t>
      </w:r>
      <w:r>
        <w:t>, 798 F.3d 149, 157 (3d Cir. 2015)</w:t>
      </w:r>
      <w:r w:rsidR="007F32F8" w:rsidRPr="007F32F8">
        <w:t xml:space="preserve">; </w:t>
      </w:r>
      <w:r w:rsidR="007F32F8" w:rsidRPr="00CD3164">
        <w:rPr>
          <w:i/>
        </w:rPr>
        <w:t>id</w:t>
      </w:r>
      <w:r w:rsidR="007F32F8" w:rsidRPr="007F32F8">
        <w:t xml:space="preserve">. at 156 (“Assuming that she can prove she was denied benefits to which she was otherwise entitled, </w:t>
      </w:r>
      <w:proofErr w:type="spellStart"/>
      <w:r w:rsidR="007F32F8" w:rsidRPr="007F32F8">
        <w:t>Hansler</w:t>
      </w:r>
      <w:proofErr w:type="spellEnd"/>
      <w:r w:rsidR="007F32F8" w:rsidRPr="007F32F8">
        <w:t xml:space="preserve"> may premise her interference claim on these alleged regulatory violations.”)</w:t>
      </w:r>
      <w:r>
        <w:t>.</w:t>
      </w:r>
    </w:p>
    <w:p w14:paraId="18CFD9AE" w14:textId="7AB6EE2B" w:rsidR="006154EC" w:rsidRPr="001E4102" w:rsidRDefault="006154EC" w:rsidP="009C6F31">
      <w:pPr>
        <w:spacing w:after="240"/>
        <w:jc w:val="both"/>
      </w:pPr>
      <w:proofErr w:type="gramStart"/>
      <w:r w:rsidRPr="001E4102">
        <w:rPr>
          <w:b/>
          <w:sz w:val="28"/>
        </w:rPr>
        <w:lastRenderedPageBreak/>
        <w:t>10.1.2  Elements</w:t>
      </w:r>
      <w:proofErr w:type="gramEnd"/>
      <w:r w:rsidRPr="001E4102">
        <w:rPr>
          <w:b/>
          <w:sz w:val="28"/>
        </w:rPr>
        <w:t xml:space="preserve">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378AAE30"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w:t>
      </w:r>
      <w:r w:rsidR="008E38A4">
        <w:rPr>
          <w:rStyle w:val="FootnoteReference"/>
        </w:rPr>
        <w:footnoteReference w:id="14"/>
      </w:r>
      <w:r w:rsidRPr="001E4102">
        <w:t xml:space="preserve"> in [d</w:t>
      </w:r>
      <w:r w:rsidR="00442E56">
        <w:t>efendant’</w:t>
      </w:r>
      <w:r w:rsidRPr="001E4102">
        <w:t>s] decision</w:t>
      </w:r>
      <w:r w:rsidR="00442E56">
        <w:t xml:space="preserve"> to</w:t>
      </w:r>
      <w:r w:rsidRPr="001E4102">
        <w:t xml:space="preserve">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5"/>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6"/>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 xml:space="preserve">[if [plaintiff] could not foresee the need for </w:t>
      </w:r>
      <w:proofErr w:type="gramStart"/>
      <w:r w:rsidRPr="001E4102">
        <w:t>leave,  [</w:t>
      </w:r>
      <w:proofErr w:type="gramEnd"/>
      <w:r w:rsidRPr="001E4102">
        <w:t xml:space="preserve">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w:t>
      </w:r>
      <w:r w:rsidRPr="001E4102">
        <w:lastRenderedPageBreak/>
        <w:t>[plaintiff]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7A6C8374" w14:textId="3C2E9C05"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7"/>
      </w:r>
      <w:r w:rsidRPr="001E4102">
        <w:t xml:space="preserve"> [was terminated after returning from leave] [was demoted after returning from leave].</w:t>
      </w:r>
      <w:r w:rsidR="00DA14F8" w:rsidRPr="00DA14F8">
        <w:rPr>
          <w:rStyle w:val="FootnoteReference"/>
          <w:szCs w:val="24"/>
        </w:rPr>
        <w:footnoteReference w:id="18"/>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[plaintiff].</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9"/>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332C7">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lastRenderedPageBreak/>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36BBBEED"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20"/>
      </w:r>
      <w:r w:rsidR="00F27D8C" w:rsidRPr="001E4102">
        <w:t xml:space="preserve">  Although dictum in </w:t>
      </w:r>
      <w:proofErr w:type="spellStart"/>
      <w:r w:rsidR="00F27D8C" w:rsidRPr="001E4102">
        <w:rPr>
          <w:i/>
          <w:iCs/>
        </w:rPr>
        <w:t>Callison</w:t>
      </w:r>
      <w:proofErr w:type="spellEnd"/>
      <w:r w:rsidR="00F27D8C" w:rsidRPr="001E4102">
        <w:rPr>
          <w:i/>
          <w:iCs/>
        </w:rPr>
        <w:t xml:space="preserve">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w:t>
      </w:r>
      <w:r w:rsidR="00274824">
        <w:t>has</w:t>
      </w:r>
      <w:r w:rsidR="00F27D8C" w:rsidRPr="001E4102">
        <w:t xml:space="preserve"> cited Section 2615(a)(2) as the basis for such claims, </w:t>
      </w:r>
      <w:r w:rsidR="00F27D8C" w:rsidRPr="001E4102">
        <w:rPr>
          <w:i/>
        </w:rPr>
        <w:t>see</w:t>
      </w:r>
      <w:r w:rsidR="00F27D8C" w:rsidRPr="001E4102">
        <w:t xml:space="preserve"> </w:t>
      </w:r>
      <w:proofErr w:type="spellStart"/>
      <w:r w:rsidR="00F27D8C" w:rsidRPr="001E4102">
        <w:rPr>
          <w:i/>
        </w:rPr>
        <w:t>Lupyan</w:t>
      </w:r>
      <w:proofErr w:type="spellEnd"/>
      <w:r w:rsidR="00F27D8C" w:rsidRPr="001E4102">
        <w:rPr>
          <w:i/>
        </w:rPr>
        <w:t xml:space="preserve">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xml:space="preserve">), if an employer retaliates against an employee for exercising her FMLA rights”), in </w:t>
      </w:r>
      <w:r w:rsidR="00274824">
        <w:t>five</w:t>
      </w:r>
      <w:r w:rsidR="00F27D8C" w:rsidRPr="001E4102">
        <w:t xml:space="preserve">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[R]</w:t>
      </w:r>
      <w:proofErr w:type="spellStart"/>
      <w:r w:rsidRPr="001E4102">
        <w:t>etaliation</w:t>
      </w:r>
      <w:proofErr w:type="spellEnd"/>
      <w:r w:rsidRPr="001E4102">
        <w:t xml:space="preserve"> for taking an FMLA leave does not come within the literal scope of the sections of the FMLA directed to retaliation: § 2615(a)(2),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5737D7E5" w:rsidR="00F27D8C" w:rsidRPr="001E4102" w:rsidRDefault="00F27D8C" w:rsidP="00E365D8">
      <w:pPr>
        <w:spacing w:after="240"/>
        <w:jc w:val="both"/>
        <w:rPr>
          <w:u w:val="single"/>
        </w:rPr>
      </w:pPr>
      <w:proofErr w:type="spellStart"/>
      <w:r w:rsidRPr="001E4102">
        <w:rPr>
          <w:i/>
        </w:rPr>
        <w:lastRenderedPageBreak/>
        <w:t>Conoshenti</w:t>
      </w:r>
      <w:proofErr w:type="spellEnd"/>
      <w:r w:rsidRPr="001E4102">
        <w:rPr>
          <w:i/>
        </w:rPr>
        <w:t xml:space="preserve"> v. Pub. Serv. Elec. &amp; Gas Co.</w:t>
      </w:r>
      <w:r w:rsidRPr="001E4102">
        <w:t>, 364 F.3d 135, 146</w:t>
      </w:r>
      <w:r w:rsidR="001332C7">
        <w:t xml:space="preserve"> n.</w:t>
      </w:r>
      <w:r w:rsidRPr="001E4102">
        <w:t xml:space="preserve">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proofErr w:type="spellStart"/>
      <w:r w:rsidRPr="001E4102">
        <w:rPr>
          <w:i/>
        </w:rPr>
        <w:t>Conoshenti</w:t>
      </w:r>
      <w:r w:rsidRPr="001E4102">
        <w:t>’s</w:t>
      </w:r>
      <w:proofErr w:type="spellEnd"/>
      <w:r w:rsidRPr="001E4102">
        <w:t xml:space="preserve"> reliance on the regulation); </w:t>
      </w:r>
      <w:proofErr w:type="spellStart"/>
      <w:r w:rsidRPr="001E4102">
        <w:rPr>
          <w:i/>
        </w:rPr>
        <w:t>Budhun</w:t>
      </w:r>
      <w:proofErr w:type="spellEnd"/>
      <w:r w:rsidRPr="001E4102">
        <w:rPr>
          <w:i/>
        </w:rPr>
        <w:t xml:space="preserve"> v. Reading Hosp. &amp; Med. Ctr.</w:t>
      </w:r>
      <w:r w:rsidRPr="001E4102">
        <w:t xml:space="preserve">,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proofErr w:type="spellStart"/>
      <w:r w:rsidR="00263C2B" w:rsidRPr="00263C2B">
        <w:rPr>
          <w:i/>
        </w:rPr>
        <w:t>Hansler</w:t>
      </w:r>
      <w:proofErr w:type="spellEnd"/>
      <w:r w:rsidR="00263C2B" w:rsidRPr="00263C2B">
        <w:rPr>
          <w:i/>
        </w:rPr>
        <w:t xml:space="preserve"> v. Lehigh Valley Hosp. Network</w:t>
      </w:r>
      <w:r w:rsidR="00263C2B">
        <w:t>, 798 F.3d 149, 158 (3d Cir. 2015)</w:t>
      </w:r>
      <w:r w:rsidR="00E6348F" w:rsidRPr="00E6348F">
        <w:t xml:space="preserve"> (citing both Section 2615(a)(2) and 29 C.F.R. § 825.220(c) as authority for a retaliation-for-exercise claim).</w:t>
      </w:r>
      <w:r w:rsidR="00090A79">
        <w:t xml:space="preserve"> </w:t>
      </w:r>
      <w:r w:rsidR="00090A79" w:rsidRPr="00090A79">
        <w:t xml:space="preserve">Most recently, the Court of Appeals has upheld Section 825.220(c)’s creation of the retaliation-for-exercise claim as “a reasonable interpretation of § 2615(a)(1).” </w:t>
      </w:r>
      <w:r w:rsidR="00090A79" w:rsidRPr="00090A79">
        <w:rPr>
          <w:i/>
        </w:rPr>
        <w:t>Egan v. Delaware River Port Authority</w:t>
      </w:r>
      <w:r w:rsidR="00090A79" w:rsidRPr="00090A79">
        <w:t xml:space="preserve">, </w:t>
      </w:r>
      <w:r w:rsidR="00E365D8">
        <w:t>851 F.3d 263, 271 (3d Cir. 2017).</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002B029" w:rsidR="00127A0C" w:rsidRPr="001E4102" w:rsidRDefault="008D628F" w:rsidP="009C6F31">
      <w:pPr>
        <w:spacing w:after="240"/>
        <w:jc w:val="both"/>
      </w:pPr>
      <w:r>
        <w:rPr>
          <w:i/>
          <w:iCs/>
        </w:rPr>
        <w:t>A</w:t>
      </w:r>
      <w:r w:rsidR="00127A0C" w:rsidRPr="001E4102">
        <w:rPr>
          <w:i/>
          <w:iCs/>
        </w:rPr>
        <w:t>vailability of a mixed-motive framework for FMLA claims</w:t>
      </w:r>
    </w:p>
    <w:p w14:paraId="30AB9119" w14:textId="079BCA14" w:rsidR="006154EC" w:rsidRPr="001E4102" w:rsidRDefault="0063714F" w:rsidP="009C6F31">
      <w:pPr>
        <w:spacing w:after="240"/>
        <w:ind w:firstLine="720"/>
        <w:jc w:val="both"/>
        <w:rPr>
          <w:i/>
        </w:rPr>
      </w:pPr>
      <w:r>
        <w:t>Prior to</w:t>
      </w:r>
      <w:r w:rsidR="00557504" w:rsidRPr="001E4102">
        <w:t xml:space="preserve"> the Supreme Court’s decisions in </w:t>
      </w:r>
      <w:r w:rsidR="00557504" w:rsidRPr="001E4102">
        <w:rPr>
          <w:i/>
        </w:rPr>
        <w:t xml:space="preserve">University of Texas Southwestern </w:t>
      </w:r>
      <w:r w:rsidR="006154EC" w:rsidRPr="001E4102">
        <w:rPr>
          <w:i/>
        </w:rPr>
        <w:t xml:space="preserve">Medical </w:t>
      </w:r>
      <w:r w:rsidR="00557504" w:rsidRPr="001E4102">
        <w:rPr>
          <w:i/>
        </w:rPr>
        <w:t>Center v. Nassar</w:t>
      </w:r>
      <w:r w:rsidR="00557504" w:rsidRPr="001E4102">
        <w:t xml:space="preserve">, 133 S. </w:t>
      </w:r>
      <w:r w:rsidR="006154EC" w:rsidRPr="001E4102">
        <w:t xml:space="preserve">Ct. </w:t>
      </w:r>
      <w:r w:rsidR="00557504" w:rsidRPr="001E4102">
        <w:t xml:space="preserve">2517, 2533 (2013), and </w:t>
      </w:r>
      <w:r w:rsidR="00557504" w:rsidRPr="001E4102">
        <w:rPr>
          <w:i/>
        </w:rPr>
        <w:t xml:space="preserve">Gross v. </w:t>
      </w:r>
      <w:r w:rsidR="006154EC" w:rsidRPr="001E4102">
        <w:rPr>
          <w:i/>
        </w:rPr>
        <w:t>FBL Financial Services, Inc</w:t>
      </w:r>
      <w:r w:rsidR="006154EC" w:rsidRPr="001E4102">
        <w:t xml:space="preserve">., </w:t>
      </w:r>
      <w:r w:rsidR="00557504" w:rsidRPr="001E4102">
        <w:t xml:space="preserve">557 </w:t>
      </w:r>
      <w:r w:rsidR="006154EC" w:rsidRPr="001E4102">
        <w:t>U.S.</w:t>
      </w:r>
      <w:r w:rsidR="00557504" w:rsidRPr="001E4102">
        <w:t xml:space="preserve"> 167 (2009), </w:t>
      </w:r>
      <w:r w:rsidR="00475D22" w:rsidRPr="001E4102">
        <w:t>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 xml:space="preserve">See generally </w:t>
      </w:r>
      <w:proofErr w:type="spellStart"/>
      <w:r w:rsidR="006154EC" w:rsidRPr="001E4102">
        <w:rPr>
          <w:i/>
        </w:rPr>
        <w:t>Conoshenti</w:t>
      </w:r>
      <w:proofErr w:type="spellEnd"/>
      <w:r w:rsidR="006154EC" w:rsidRPr="001E4102">
        <w:rPr>
          <w:i/>
        </w:rPr>
        <w:t xml:space="preserve">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w:t>
      </w:r>
      <w:proofErr w:type="spellStart"/>
      <w:r w:rsidRPr="001E4102">
        <w:t>en</w:t>
      </w:r>
      <w:proofErr w:type="spellEnd"/>
      <w:r w:rsidRPr="001E4102">
        <w:t xml:space="preserve">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 xml:space="preserve">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w:t>
      </w:r>
      <w:proofErr w:type="spellStart"/>
      <w:r w:rsidRPr="001E4102">
        <w:t>decisionmaking</w:t>
      </w:r>
      <w:proofErr w:type="spellEnd"/>
      <w:r w:rsidRPr="001E4102">
        <w:t xml:space="preserve"> process and that it had a determinative effect on the outcome of that process.</w:t>
      </w:r>
    </w:p>
    <w:p w14:paraId="0D772C1B" w14:textId="7FB75A95" w:rsidR="006154EC" w:rsidRPr="001E4102" w:rsidRDefault="006154EC" w:rsidP="009C6F31">
      <w:pPr>
        <w:spacing w:after="240"/>
        <w:jc w:val="both"/>
      </w:pPr>
      <w:r w:rsidRPr="001E4102">
        <w:lastRenderedPageBreak/>
        <w:tab/>
        <w:t xml:space="preserve">To the extent that </w:t>
      </w:r>
      <w:r w:rsidRPr="001E4102">
        <w:rPr>
          <w:i/>
        </w:rPr>
        <w:t xml:space="preserve">Miller </w:t>
      </w:r>
      <w:r w:rsidRPr="001E4102">
        <w:t xml:space="preserve">held that a mixed-motive framework is available in ADEA cases, </w:t>
      </w:r>
      <w:r w:rsidR="006474C6">
        <w:t>it was</w:t>
      </w:r>
      <w:r w:rsidRPr="001E4102">
        <w:t xml:space="preserve">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1BF856FB" w14:textId="03D4C142"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See Univ. of Tex. Sw. Med. Ctr. v. Nassar</w:t>
      </w:r>
      <w:r w:rsidRPr="001E4102">
        <w:t>, 133 S.</w:t>
      </w:r>
      <w:r w:rsidR="006E549A">
        <w:t xml:space="preserve"> </w:t>
      </w:r>
      <w:r w:rsidRPr="001E4102">
        <w:t xml:space="preserve">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3D51CDF7" w14:textId="0407AC39" w:rsidR="009D3B3B" w:rsidRDefault="00A72B8B" w:rsidP="009D3B3B">
      <w:pPr>
        <w:spacing w:after="240"/>
        <w:ind w:firstLine="720"/>
        <w:jc w:val="both"/>
      </w:pPr>
      <w:r>
        <w:t>It was initially unclear</w:t>
      </w:r>
      <w:r w:rsidR="00127A0C" w:rsidRPr="001E4102">
        <w:t xml:space="preserve"> what effect, if any, </w:t>
      </w:r>
      <w:r w:rsidR="00127A0C" w:rsidRPr="001E4102">
        <w:rPr>
          <w:i/>
          <w:iCs/>
        </w:rPr>
        <w:t xml:space="preserve">Gross </w:t>
      </w:r>
      <w:r w:rsidR="009B1E6D" w:rsidRPr="001E4102">
        <w:rPr>
          <w:iCs/>
        </w:rPr>
        <w:t xml:space="preserve">and </w:t>
      </w:r>
      <w:r w:rsidR="009B1E6D" w:rsidRPr="001E4102">
        <w:rPr>
          <w:i/>
          <w:iCs/>
        </w:rPr>
        <w:t>Nassar</w:t>
      </w:r>
      <w:r w:rsidR="009B1E6D" w:rsidRPr="001E4102">
        <w:rPr>
          <w:iCs/>
        </w:rPr>
        <w:t xml:space="preserve"> </w:t>
      </w:r>
      <w:r>
        <w:t>would</w:t>
      </w:r>
      <w:r w:rsidR="00127A0C" w:rsidRPr="001E4102">
        <w:t xml:space="preserve"> have on existing precedents recognizing a mixed</w:t>
      </w:r>
      <w:r w:rsidR="00127A0C"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r w:rsidR="002A6BBC">
        <w:t xml:space="preserve">; </w:t>
      </w:r>
      <w:r w:rsidR="002A6BBC" w:rsidRPr="00CD13C1">
        <w:rPr>
          <w:i/>
        </w:rPr>
        <w:t>Capps v. Mondelez Glob., LLC</w:t>
      </w:r>
      <w:r w:rsidR="002A6BBC" w:rsidRPr="002A6BBC">
        <w:t xml:space="preserve">, 847 F.3d 144, 151 n.5 (3d Cir. 2017) (noting the question, citing </w:t>
      </w:r>
      <w:r w:rsidR="002A6BBC" w:rsidRPr="00CD13C1">
        <w:rPr>
          <w:i/>
        </w:rPr>
        <w:t>Lichtenstein</w:t>
      </w:r>
      <w:r w:rsidR="002A6BBC" w:rsidRPr="002A6BBC">
        <w:t>, and holding that the plaintiff had failed to adduce evidence sufficient to trigger a mixed-motive analysis (if such an analysis remained available))</w:t>
      </w:r>
      <w:r w:rsidR="00915A6F" w:rsidRPr="001E4102">
        <w:t>.</w:t>
      </w:r>
      <w:r w:rsidR="009D3B3B">
        <w:t xml:space="preserve"> In </w:t>
      </w:r>
      <w:r w:rsidR="0042544D" w:rsidRPr="00090A79">
        <w:rPr>
          <w:i/>
        </w:rPr>
        <w:t>Egan v. Delaware River Port Authority</w:t>
      </w:r>
      <w:r w:rsidR="0042544D" w:rsidRPr="00090A79">
        <w:t xml:space="preserve">, </w:t>
      </w:r>
      <w:r w:rsidR="0042544D">
        <w:t>851 F.3d 263 (3d Cir. 2017)</w:t>
      </w:r>
      <w:r w:rsidR="009D3B3B">
        <w:t xml:space="preserve">, the Court of Appeals held that FMLA retaliation-for-exercise claims are grounded in 29 C.F.R. § 825.220(c); that the regulation authorizes mixed-motive claims; and that because “§ 825.220(c) is entitled to controlling deference under Chevron, … a mixed-motive jury instruction is available for FMLA retaliation[-for-exercise] claims.” </w:t>
      </w:r>
      <w:r w:rsidR="009D3B3B" w:rsidRPr="0044713B">
        <w:rPr>
          <w:i/>
        </w:rPr>
        <w:t>Egan</w:t>
      </w:r>
      <w:r w:rsidR="009D3B3B">
        <w:t xml:space="preserve">, </w:t>
      </w:r>
      <w:r w:rsidR="0044713B">
        <w:t>851 F.3d</w:t>
      </w:r>
      <w:r w:rsidR="009D3B3B">
        <w:t xml:space="preserve"> at </w:t>
      </w:r>
      <w:r w:rsidR="006B3E70">
        <w:t>274.</w:t>
      </w:r>
    </w:p>
    <w:p w14:paraId="06575261" w14:textId="4D56D4A3" w:rsidR="009D3B3B" w:rsidRDefault="009D3B3B" w:rsidP="009D3B3B">
      <w:pPr>
        <w:spacing w:after="240"/>
        <w:ind w:firstLine="720"/>
        <w:jc w:val="both"/>
      </w:pPr>
      <w:r>
        <w:t xml:space="preserve">Under </w:t>
      </w:r>
      <w:r w:rsidRPr="00D44404">
        <w:rPr>
          <w:i/>
        </w:rPr>
        <w:t>Egan</w:t>
      </w:r>
      <w:r>
        <w:t xml:space="preserve">, a litigant need not adduce direct evidence of discrimination in order to obtain a mixed-motive instruction in an FMLA retaliation-for-exercise case.  Rather, if a litigant requests a mixed-motive instruction, the court should “determine[] whether there [is] evidence from which a reasonable jury could conclude that the [defendant] had legitimate and illegitimate reasons for </w:t>
      </w:r>
      <w:r>
        <w:lastRenderedPageBreak/>
        <w:t xml:space="preserve">its employment decision and that [the plaintiff’s] use of FMLA leave was a negative factor in the employment decision.” </w:t>
      </w:r>
      <w:r w:rsidRPr="00FF3819">
        <w:rPr>
          <w:i/>
        </w:rPr>
        <w:t>Egan</w:t>
      </w:r>
      <w:r>
        <w:t xml:space="preserve">, </w:t>
      </w:r>
      <w:r w:rsidR="009252AA" w:rsidRPr="009252AA">
        <w:t>851 F.3d at 27</w:t>
      </w:r>
      <w:r w:rsidR="009252AA">
        <w:t>5</w:t>
      </w:r>
      <w:r>
        <w:t>.</w:t>
      </w:r>
    </w:p>
    <w:p w14:paraId="5EFFF7F4" w14:textId="77777777" w:rsidR="009D3B3B" w:rsidRPr="00436FD9" w:rsidRDefault="009D3B3B" w:rsidP="00436FD9">
      <w:pPr>
        <w:spacing w:after="240"/>
        <w:jc w:val="both"/>
        <w:rPr>
          <w:i/>
        </w:rPr>
      </w:pPr>
      <w:r w:rsidRPr="00436FD9">
        <w:rPr>
          <w:i/>
        </w:rPr>
        <w:t>“Negative factor” versus “motivating factor”</w:t>
      </w:r>
    </w:p>
    <w:p w14:paraId="1CD825A2" w14:textId="32536231" w:rsidR="009D3B3B" w:rsidRDefault="009D3B3B" w:rsidP="009D3B3B">
      <w:pPr>
        <w:spacing w:after="240"/>
        <w:ind w:firstLine="720"/>
        <w:jc w:val="both"/>
      </w:pPr>
      <w:r>
        <w:t>The regulation on which FMLA retaliation-for-exercise claims are founded uses the term “negative factor,” in contrast to the Instruction’s use of the term “motivating factor.” The regulation states that “employers cannot use the taking of FMLA leave as a negative factor in employment actions, such as hiring, promotions or disc</w:t>
      </w:r>
      <w:r w:rsidR="00491502">
        <w:t>iplinary actions….” 29 C.F.R. § </w:t>
      </w:r>
      <w:r>
        <w:t xml:space="preserve">825.220(c).  Relying on this provision, the </w:t>
      </w:r>
      <w:r w:rsidRPr="00922BEE">
        <w:rPr>
          <w:i/>
        </w:rPr>
        <w:t>Egan</w:t>
      </w:r>
      <w:r>
        <w:t xml:space="preserve"> court also referred repeatedly to the mixed-motive theory as involving the question of whether the exercise of FMLA rights was a “negative factor.”  Users may wish to consider whether to revise the Instruction to use the term “negative factor” in order to track these authorities closely.  But there are at least two counter-arguments.</w:t>
      </w:r>
    </w:p>
    <w:p w14:paraId="2B287119" w14:textId="1BF14AAF" w:rsidR="009D3B3B" w:rsidRDefault="009D3B3B" w:rsidP="009D3B3B">
      <w:pPr>
        <w:spacing w:after="240"/>
        <w:ind w:firstLine="720"/>
        <w:jc w:val="both"/>
      </w:pPr>
      <w:r>
        <w:t xml:space="preserve">First, the regulation and the Instruction are structured differently. The regulation focuses generically on “employment actions,” whereas Instruction 10.1.2 refers specifically to the </w:t>
      </w:r>
      <w:r w:rsidRPr="00922BEE">
        <w:rPr>
          <w:i/>
        </w:rPr>
        <w:t>adverse</w:t>
      </w:r>
      <w:r>
        <w:t xml:space="preserve"> action taken by a particular defendant. In the context of the Instruction, saying that the exercise of FMLA rights was a </w:t>
      </w:r>
      <w:r w:rsidRPr="00922BEE">
        <w:rPr>
          <w:i/>
        </w:rPr>
        <w:t>negative</w:t>
      </w:r>
      <w:r>
        <w:t xml:space="preserve"> factor could be confusing. Jurors might well interpret “negative” correctly – to mean, a factor that operated adversely to the plaintiff’s interests – but they might instead misinterpret “negative” to mean a factor that weighed </w:t>
      </w:r>
      <w:r w:rsidRPr="00922BEE">
        <w:rPr>
          <w:i/>
        </w:rPr>
        <w:t>against</w:t>
      </w:r>
      <w:r>
        <w:t xml:space="preserve"> the defendant’s adverse employment decision. Assuming that “negative factor” (as the regulation employs that term) means “a factor weighing in favor of an adverse employment decision,” the term “motivating factor” would seem to be a useful translation for purposes of the Instruction, and “negative factor” might actually cause juror confusion.  </w:t>
      </w:r>
    </w:p>
    <w:p w14:paraId="212D8D2A" w14:textId="43F48871" w:rsidR="00127A0C" w:rsidRDefault="009D3B3B" w:rsidP="009D3B3B">
      <w:pPr>
        <w:spacing w:after="240"/>
        <w:ind w:firstLine="720"/>
        <w:jc w:val="both"/>
      </w:pPr>
      <w:r>
        <w:t xml:space="preserve">Second, there is a potential cost to using terminology that is unique to FMLA claims. The term “motivating factor” appears in the model instructions for mixed-motive claims under other </w:t>
      </w:r>
      <w:proofErr w:type="spellStart"/>
      <w:r>
        <w:t>other</w:t>
      </w:r>
      <w:proofErr w:type="spellEnd"/>
      <w:r>
        <w:t xml:space="preserve"> statutory schemes. </w:t>
      </w:r>
      <w:r w:rsidRPr="00E644B0">
        <w:rPr>
          <w:i/>
        </w:rPr>
        <w:t>See</w:t>
      </w:r>
      <w:r>
        <w:t xml:space="preserve"> Instruction 5.1.1 (employing the term “motivating factor” for mixed-motive Title VII claims); Instruction 6.1.1 (same, for mixed-motive Section 1981 claims); Instruction 7.1 (same, for mixed-motive Section 1983 equal-protection claims); Instruction 9.1.1 (same, for mixed-motive ADA claims); </w:t>
      </w:r>
      <w:r w:rsidRPr="00E644B0">
        <w:rPr>
          <w:i/>
        </w:rPr>
        <w:t>see also</w:t>
      </w:r>
      <w:r>
        <w:t xml:space="preserve"> Instruction 7.4 (using the term “motivating factor” in instruction for Section 1983 First-Amendment-retaliation claims). It is possible that some cases will involve both mixed-motive FMLA retaliation-for-exercise claims and mixed-motive claims under another statutory scheme (such as the ADA); in such a case, using “negative factor” for one type of claim and “motivating factor” for the other type could be confusing.</w:t>
      </w:r>
    </w:p>
    <w:p w14:paraId="3ECA2F7A" w14:textId="77777777" w:rsidR="008735E5" w:rsidRPr="00BA3AB0" w:rsidRDefault="008735E5" w:rsidP="008735E5">
      <w:pPr>
        <w:shd w:val="clear" w:color="auto" w:fill="FFFFFF" w:themeFill="background1"/>
        <w:spacing w:after="240"/>
        <w:jc w:val="both"/>
        <w:rPr>
          <w:szCs w:val="24"/>
        </w:rPr>
      </w:pPr>
      <w:r w:rsidRPr="00BA3AB0">
        <w:rPr>
          <w:i/>
          <w:szCs w:val="24"/>
        </w:rPr>
        <w:t>Adverse Employment Action</w:t>
      </w:r>
    </w:p>
    <w:p w14:paraId="7C3677D8" w14:textId="14625372" w:rsidR="008735E5" w:rsidRPr="001E4102" w:rsidRDefault="008735E5" w:rsidP="008735E5">
      <w:pPr>
        <w:spacing w:after="240"/>
        <w:ind w:firstLine="720"/>
        <w:jc w:val="both"/>
      </w:pPr>
      <w:r w:rsidRPr="00BA3AB0">
        <w:rPr>
          <w:szCs w:val="24"/>
        </w:rPr>
        <w:t>Instruction 10.1.2’s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w:t>
      </w:r>
      <w:proofErr w:type="gramStart"/>
      <w:r w:rsidR="00DF3239">
        <w:rPr>
          <w:szCs w:val="24"/>
        </w:rPr>
        <w:t>’ ”</w:t>
      </w:r>
      <w:proofErr w:type="gramEnd"/>
      <w:r w:rsidRPr="00BA3AB0">
        <w:rPr>
          <w:szCs w:val="24"/>
        </w:rPr>
        <w:t xml:space="preserve"> </w:t>
      </w:r>
      <w:proofErr w:type="spellStart"/>
      <w:r w:rsidRPr="00BA3AB0">
        <w:rPr>
          <w:i/>
          <w:szCs w:val="24"/>
        </w:rPr>
        <w:t>Budhun</w:t>
      </w:r>
      <w:proofErr w:type="spellEnd"/>
      <w:r w:rsidRPr="00BA3AB0">
        <w:rPr>
          <w:i/>
          <w:szCs w:val="24"/>
        </w:rPr>
        <w:t xml:space="preserve"> v. Reading Hosp. &amp; Med. Ctr</w:t>
      </w:r>
      <w:r w:rsidRPr="00BA3AB0">
        <w:rPr>
          <w:szCs w:val="24"/>
        </w:rPr>
        <w:t xml:space="preserve">., 765 F.3d 245, 257 (3d Cir. 2014) (quoting </w:t>
      </w:r>
      <w:r w:rsidRPr="00BA3AB0">
        <w:rPr>
          <w:i/>
          <w:szCs w:val="24"/>
        </w:rPr>
        <w:t>Robinson v. City of Pittsburgh</w:t>
      </w:r>
      <w:r w:rsidRPr="00BA3AB0">
        <w:rPr>
          <w:szCs w:val="24"/>
        </w:rPr>
        <w:t>, 120 F.3d 1286, 1300 (3d Cir.</w:t>
      </w:r>
      <w:r w:rsidR="001332C7">
        <w:rPr>
          <w:szCs w:val="24"/>
        </w:rPr>
        <w:t xml:space="preserve"> </w:t>
      </w:r>
      <w:r w:rsidRPr="00BA3AB0">
        <w:rPr>
          <w:szCs w:val="24"/>
        </w:rPr>
        <w:t xml:space="preserve">1997)). In </w:t>
      </w:r>
      <w:proofErr w:type="spellStart"/>
      <w:r w:rsidRPr="00BA3AB0">
        <w:rPr>
          <w:i/>
          <w:szCs w:val="24"/>
        </w:rPr>
        <w:t>Budhun</w:t>
      </w:r>
      <w:proofErr w:type="spellEnd"/>
      <w:r w:rsidRPr="00BA3AB0">
        <w:rPr>
          <w:szCs w:val="24"/>
        </w:rPr>
        <w:t xml:space="preserve"> </w:t>
      </w:r>
      <w:r w:rsidRPr="00BA3AB0">
        <w:rPr>
          <w:szCs w:val="24"/>
        </w:rPr>
        <w:lastRenderedPageBreak/>
        <w:t xml:space="preserve">– an FMLA case under 29 C.F.R. § 825.220(c) – the Court of Appeals noted but did not decide the question whether “the less restrictive standard for ‘adverse employment action’ promulgated in the Title VII context by </w:t>
      </w:r>
      <w:r w:rsidRPr="00BA3AB0">
        <w:rPr>
          <w:i/>
          <w:szCs w:val="24"/>
        </w:rPr>
        <w:t>Burlington Northern &amp; Santa Fe Railway Co. v. White</w:t>
      </w:r>
      <w:r w:rsidRPr="00BA3AB0">
        <w:rPr>
          <w:szCs w:val="24"/>
        </w:rPr>
        <w:t xml:space="preserve">, 548 U.S. 53 … (2006)” can apply in such FMLA cases. </w:t>
      </w:r>
      <w:proofErr w:type="spellStart"/>
      <w:r w:rsidRPr="00BA3AB0">
        <w:rPr>
          <w:i/>
          <w:szCs w:val="24"/>
        </w:rPr>
        <w:t>Budhun</w:t>
      </w:r>
      <w:proofErr w:type="spellEnd"/>
      <w:r w:rsidRPr="00BA3AB0">
        <w:rPr>
          <w:szCs w:val="24"/>
        </w:rPr>
        <w:t>, 765 F.3d at 257.</w:t>
      </w:r>
    </w:p>
    <w:p w14:paraId="2FE3B8D0" w14:textId="77777777" w:rsidR="006154EC" w:rsidRPr="001E4102" w:rsidRDefault="006154EC" w:rsidP="009C6F31">
      <w:pPr>
        <w:spacing w:after="240"/>
        <w:jc w:val="both"/>
      </w:pPr>
      <w:r w:rsidRPr="001E4102">
        <w:rPr>
          <w:i/>
        </w:rPr>
        <w:t>“Same Decision” Affirmative Defense</w:t>
      </w:r>
    </w:p>
    <w:p w14:paraId="753434C1" w14:textId="73F13D05" w:rsidR="00055921" w:rsidRDefault="006154EC" w:rsidP="00055921">
      <w:pPr>
        <w:spacing w:after="240"/>
        <w:jc w:val="both"/>
      </w:pPr>
      <w:r w:rsidRPr="001E4102">
        <w:tab/>
      </w:r>
      <w:r w:rsidR="00055921">
        <w:t xml:space="preserve">Mixed-motive discrimination claims are typically subject to a “same-decision defense” – </w:t>
      </w:r>
      <w:r w:rsidR="00055921" w:rsidRPr="00357B3C">
        <w:rPr>
          <w:i/>
        </w:rPr>
        <w:t>i.e</w:t>
      </w:r>
      <w:r w:rsidR="00055921">
        <w:t xml:space="preserve">., that the defendant would have made the same decision even absent the discriminatory motive. For Title VII mixed-motive discrimination claims, the same-decision defense limits remedies rather than providing a defense to liability. </w:t>
      </w:r>
      <w:r w:rsidR="00055921" w:rsidRPr="00357B3C">
        <w:rPr>
          <w:i/>
        </w:rPr>
        <w:t>See</w:t>
      </w:r>
      <w:r w:rsidR="00055921">
        <w:t xml:space="preserve"> Comment 5.1.1; </w:t>
      </w:r>
      <w:r w:rsidR="00055921" w:rsidRPr="002460E9">
        <w:rPr>
          <w:i/>
        </w:rPr>
        <w:t>see also</w:t>
      </w:r>
      <w:r w:rsidR="00055921">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sidR="00055921" w:rsidRPr="00357B3C">
        <w:rPr>
          <w:i/>
        </w:rPr>
        <w:t>id</w:t>
      </w:r>
      <w:r w:rsidR="00055921">
        <w:t>. § 2000e-5(g)(2)(B) (limiting remedies under Section 2000e-2(m), in a case where the defendant “demonstrates that [it] would have taken the same action in the absence of the impermissible motivating factor,” to declaratory relief, certain injunctive relief, and certain attorney’s fees and costs). Noting that the Americans with Disabilities Act borrows enforcement and remedial provisions from Title VII, Comment 9.1.1 takes the view that the same-decision defense similarly limits remedies for mixed-motive claims under the ADA.</w:t>
      </w:r>
      <w:r w:rsidR="009458D9">
        <w:rPr>
          <w:rStyle w:val="FootnoteReference"/>
        </w:rPr>
        <w:footnoteReference w:id="21"/>
      </w:r>
      <w:r w:rsidR="00055921">
        <w:t xml:space="preserve"> By contrast, the model instructions set out the same-decision defense as a defense to liability for mixed-motive claims under Section 1981 and Section 1983. </w:t>
      </w:r>
      <w:r w:rsidR="00055921" w:rsidRPr="009723B8">
        <w:rPr>
          <w:i/>
        </w:rPr>
        <w:t>See</w:t>
      </w:r>
      <w:r w:rsidR="00055921">
        <w:t xml:space="preserve"> Instruction 6.1.1 (mixed-motive Section 1981 claims); Instruction 7.1 (mixed-motive Section 1983 equal-protection claims); </w:t>
      </w:r>
      <w:r w:rsidR="00055921" w:rsidRPr="009723B8">
        <w:rPr>
          <w:i/>
        </w:rPr>
        <w:t>see also</w:t>
      </w:r>
      <w:r w:rsidR="00055921">
        <w:t xml:space="preserve"> Instruction 7.4 (setting out same-decision defense as defense to liability for Section 1983 First-Amendment-retaliation claims). The difference arises because pre-1991 caselaw recognized the same-decision defense as a defense to liability for mixed-motive claims, </w:t>
      </w:r>
      <w:r w:rsidR="00055921" w:rsidRPr="009723B8">
        <w:rPr>
          <w:i/>
        </w:rPr>
        <w:t>see, e.g</w:t>
      </w:r>
      <w:r w:rsidR="00055921">
        <w:t xml:space="preserve">., </w:t>
      </w:r>
      <w:r w:rsidR="00055921" w:rsidRPr="009723B8">
        <w:rPr>
          <w:i/>
        </w:rPr>
        <w:t>Price Waterhouse v. Hopkins</w:t>
      </w:r>
      <w:r w:rsidR="00055921">
        <w:t xml:space="preserve">, 490 U.S. 228, 258 (1989) (plurality opinion), but Congress altered that landscape in 1991 with respect to Title VII claims. For Title VII claims, the Civil Rights Act of 1991 modified the </w:t>
      </w:r>
      <w:r w:rsidR="00055921" w:rsidRPr="009723B8">
        <w:rPr>
          <w:i/>
        </w:rPr>
        <w:t>Price Waterhouse</w:t>
      </w:r>
      <w:r w:rsidR="00055921">
        <w:t xml:space="preserve"> framework so that the same-decision defense limits remedies rather foreclosing liability. The model instructions reflect the view that the framework set by the 1991 amendments governs Title VII and ADA claims, but not Section 1983 equal-protection or Section 1981 claims.</w:t>
      </w:r>
    </w:p>
    <w:p w14:paraId="024AD7CD" w14:textId="5BF8B0C2" w:rsidR="006154EC" w:rsidRPr="001E4102" w:rsidRDefault="00055921" w:rsidP="002C64CB">
      <w:pPr>
        <w:spacing w:after="240"/>
        <w:ind w:firstLine="720"/>
        <w:jc w:val="both"/>
      </w:pPr>
      <w:r>
        <w:t xml:space="preserve">The Court of Appeals has not discussed the application of the same-decision defense to mixed-motive FMLA retaliation-for-exercise claims, and the regulation that is regarded as creating those claims (29 C.F.R. § 825.220(c)) makes no mention of the defense either. Instruction 10.1.2 </w:t>
      </w:r>
      <w:r>
        <w:lastRenderedPageBreak/>
        <w:t xml:space="preserve">reflects an assumption that the </w:t>
      </w:r>
      <w:r w:rsidRPr="007F37A4">
        <w:rPr>
          <w:i/>
        </w:rPr>
        <w:t>Price Waterhouse</w:t>
      </w:r>
      <w:r>
        <w:t xml:space="preserve"> approach applies, so that the same-decision defense, if established, forecloses liability.</w:t>
      </w:r>
      <w:r w:rsidR="006154EC"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Animus of Employee Who Was Not the Ultimate Decisionmaker</w:t>
      </w:r>
    </w:p>
    <w:p w14:paraId="7C73A277" w14:textId="77777777" w:rsidR="00AB03C3" w:rsidRPr="001E4102" w:rsidRDefault="006154EC" w:rsidP="009C6F31">
      <w:pPr>
        <w:spacing w:after="240"/>
        <w:jc w:val="both"/>
      </w:pPr>
      <w:r w:rsidRPr="001E4102">
        <w:tab/>
        <w:t xml:space="preserve">For a discussion of the Court’s treatment in </w:t>
      </w:r>
      <w:r w:rsidRPr="001E4102">
        <w:rPr>
          <w:i/>
        </w:rPr>
        <w:t>Staub v. Proctor Hosp.</w:t>
      </w:r>
      <w:r w:rsidRPr="001E4102">
        <w:t xml:space="preserve">, 131 S. Ct. 1186 (2011), of the animus of an employee who was not the ultimate decisionmaker, see Comment 5.1.7.  </w:t>
      </w:r>
      <w:r w:rsidRPr="001E4102">
        <w:rPr>
          <w:i/>
        </w:rPr>
        <w:t>Staub</w:t>
      </w:r>
      <w:r w:rsidRPr="001E4102">
        <w:t xml:space="preserve"> concerned a statute that used the term “motivating factor,” and it is unclear whether the ruling in </w:t>
      </w:r>
      <w:r w:rsidRPr="001E4102">
        <w:rPr>
          <w:i/>
        </w:rPr>
        <w:t>Staub</w:t>
      </w:r>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3"/>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22"/>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23"/>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 xml:space="preserve">[if [plaintiff] could not foresee the need for </w:t>
      </w:r>
      <w:proofErr w:type="gramStart"/>
      <w:r w:rsidRPr="001E4102">
        <w:t>leave,  [</w:t>
      </w:r>
      <w:proofErr w:type="gramEnd"/>
      <w:r w:rsidRPr="001E4102">
        <w:t xml:space="preserve">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w:t>
      </w:r>
      <w:r w:rsidRPr="001E4102">
        <w:lastRenderedPageBreak/>
        <w:t>[plaintiff]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2B503229"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24"/>
      </w:r>
      <w:r w:rsidRPr="001E4102">
        <w:t xml:space="preserve"> [was terminated after returning from leave] [was demoted after returning from leave].</w:t>
      </w:r>
      <w:r w:rsidR="002F4556" w:rsidRPr="002F4556">
        <w:rPr>
          <w:rStyle w:val="FootnoteReference"/>
          <w:szCs w:val="24"/>
        </w:rPr>
        <w:footnoteReference w:id="25"/>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37D3FF47" w:rsidR="006154EC" w:rsidRPr="001E4102" w:rsidRDefault="006154EC" w:rsidP="009C6F31">
      <w:pPr>
        <w:spacing w:after="240"/>
        <w:jc w:val="both"/>
      </w:pPr>
      <w:r w:rsidRPr="001E4102">
        <w:tab/>
      </w:r>
      <w:bookmarkStart w:id="1" w:name="Pretext_language_start"/>
      <w:r w:rsidR="006E5693" w:rsidRPr="006E5693">
        <w:rPr>
          <w:szCs w:val="24"/>
        </w:rPr>
        <w:t xml:space="preserve">You should weigh </w:t>
      </w:r>
      <w:bookmarkEnd w:id="1"/>
      <w:r w:rsidR="006E5693" w:rsidRPr="006E5693">
        <w:rPr>
          <w:szCs w:val="24"/>
        </w:rPr>
        <w:t>all the evidence received in the case in deciding whether [defendant] intentionally discriminated against [plaintiff]</w:t>
      </w:r>
      <w:r w:rsidR="006E5693" w:rsidRPr="006E5693">
        <w:t>.</w:t>
      </w:r>
      <w:r w:rsidR="006E5693" w:rsidRPr="001E4102">
        <w:t xml:space="preserve"> </w:t>
      </w:r>
      <w:r w:rsidRPr="001E4102">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w:t>
      </w:r>
      <w:r w:rsidR="006E5693">
        <w:t>he other evidence.]</w:t>
      </w:r>
    </w:p>
    <w:p w14:paraId="449399AA" w14:textId="15EA2835" w:rsidR="006154EC" w:rsidRPr="001E4102" w:rsidRDefault="006154EC" w:rsidP="009C6F31">
      <w:pPr>
        <w:spacing w:after="240"/>
        <w:jc w:val="both"/>
      </w:pPr>
      <w:r w:rsidRPr="001E4102">
        <w:tab/>
        <w:t xml:space="preserve">[Defendant] has given a nondiscriminatory reason for its [describe defendant’s action]. </w:t>
      </w:r>
      <w:r w:rsidR="002C107A" w:rsidRPr="002C107A">
        <w:rPr>
          <w:szCs w:val="24"/>
        </w:rPr>
        <w:t xml:space="preserve">If you believe [defendant’s] stated reason and if you find that the [adverse employment action] would have occurred because of defendant’s stated reason regardless of [plaintiff’s] </w:t>
      </w:r>
      <w:r w:rsidR="002C107A">
        <w:rPr>
          <w:szCs w:val="24"/>
        </w:rPr>
        <w:t>taking leave</w:t>
      </w:r>
      <w:r w:rsidR="002C107A" w:rsidRPr="002C107A">
        <w:rPr>
          <w:szCs w:val="24"/>
        </w:rPr>
        <w:t>, then you must find for [defendant].</w:t>
      </w:r>
      <w:r w:rsidRPr="001E4102">
        <w:t xml:space="preserve"> If you disbelieve [defendant’s] </w:t>
      </w:r>
      <w:r w:rsidR="0009381B">
        <w:t>stated reason</w:t>
      </w:r>
      <w:r w:rsidRPr="001E4102">
        <w:t xml:space="preserve"> for its conduct, then you may, but need not, find that [plaintiff] has proved intentional discrimination. In</w:t>
      </w:r>
      <w:r w:rsidR="00637F36">
        <w:t xml:space="preserve"> determining whether [defendant’</w:t>
      </w:r>
      <w:r w:rsidRPr="001E4102">
        <w:t>s] stated reason for its actions was a pretext, or excuse, for discrimination, you may not question [defendant</w:t>
      </w:r>
      <w:r w:rsidR="00637F36">
        <w:t>’</w:t>
      </w:r>
      <w:r w:rsidRPr="001E4102">
        <w:t>s] business judgment. You cannot find intentional discrimination simply because you disagree with the business judgment of [defendant] or believe it is harsh or unreasonable. You</w:t>
      </w:r>
      <w:r w:rsidR="00637F36">
        <w:t xml:space="preserve"> are not to consider [defendant’</w:t>
      </w:r>
      <w:r w:rsidRPr="001E4102">
        <w:t xml:space="preserve">s] wisdom. However, you may consider whether </w:t>
      </w:r>
      <w:r w:rsidR="00637F36">
        <w:t xml:space="preserve">[plaintiff] has proven that </w:t>
      </w:r>
      <w:r w:rsidRPr="001E4102">
        <w:t>[defen</w:t>
      </w:r>
      <w:r w:rsidR="00637F36">
        <w:t>dant’</w:t>
      </w:r>
      <w:r w:rsidRPr="001E4102">
        <w:t>s] reason is merely a cover-up for discrimination.</w:t>
      </w:r>
    </w:p>
    <w:p w14:paraId="6D7AE453" w14:textId="4B39CCAF"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decision.] </w:t>
      </w:r>
      <w:r w:rsidRPr="001E4102">
        <w:lastRenderedPageBreak/>
        <w:t>“Determinative factor” me</w:t>
      </w:r>
      <w:r w:rsidR="00637F36">
        <w:t>ans that if not for [plaintiff’s</w:t>
      </w:r>
      <w:r w:rsidRPr="001E4102">
        <w:t xml:space="preserve">]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t>Comment</w:t>
      </w:r>
    </w:p>
    <w:p w14:paraId="47BA56D4" w14:textId="0B274E33" w:rsidR="007E35AD" w:rsidRDefault="006154EC" w:rsidP="009C6F31">
      <w:pPr>
        <w:spacing w:after="240"/>
        <w:jc w:val="both"/>
      </w:pPr>
      <w:r w:rsidRPr="001E4102">
        <w:tab/>
      </w:r>
      <w:r w:rsidR="007E35AD" w:rsidRPr="007E35AD">
        <w:t xml:space="preserve">In </w:t>
      </w:r>
      <w:r w:rsidR="00067FBE" w:rsidRPr="00090A79">
        <w:rPr>
          <w:i/>
        </w:rPr>
        <w:t>Egan v. Delaware River Port Authority</w:t>
      </w:r>
      <w:r w:rsidR="00067FBE" w:rsidRPr="00090A79">
        <w:t xml:space="preserve">, </w:t>
      </w:r>
      <w:r w:rsidR="00067FBE">
        <w:t>851 F.3d 263 (3d Cir. 2017)</w:t>
      </w:r>
      <w:r w:rsidR="007E35AD" w:rsidRPr="007E35AD">
        <w:t>, the Court of Appeals held that FMLA retaliation-for-exercise claims are grounded in 29 C.F.R. § 825.220(c) and that such claims encompass both pret</w:t>
      </w:r>
      <w:r w:rsidR="00F30FE0">
        <w:t xml:space="preserve">ext and mixed-motive theories. </w:t>
      </w:r>
      <w:r w:rsidR="00F30FE0">
        <w:rPr>
          <w:i/>
        </w:rPr>
        <w:t xml:space="preserve">See </w:t>
      </w:r>
      <w:r w:rsidR="00F30FE0" w:rsidRPr="0044713B">
        <w:rPr>
          <w:i/>
        </w:rPr>
        <w:t>Egan</w:t>
      </w:r>
      <w:r w:rsidR="00F30FE0">
        <w:t>, 851 F.3d at 274</w:t>
      </w:r>
      <w:r w:rsidR="007E35AD" w:rsidRPr="007E35AD">
        <w:t xml:space="preserve">.  If a litigant requests a mixed-motive instruction, the court should “determine[] whether there [is] evidence from which a reasonable jury could conclude that the [defendant] had legitimate and illegitimate reasons for its employment decision and that [the plaintiff’s] use of FMLA leave was a negative factor in the employment decision”; if so, a mixed-motive instruction is available.  </w:t>
      </w:r>
      <w:r w:rsidR="00DA0347" w:rsidRPr="00FF3819">
        <w:rPr>
          <w:i/>
        </w:rPr>
        <w:t>Egan</w:t>
      </w:r>
      <w:r w:rsidR="00DA0347">
        <w:t xml:space="preserve">, </w:t>
      </w:r>
      <w:r w:rsidR="00DA0347" w:rsidRPr="009252AA">
        <w:t>851 F.3d at 27</w:t>
      </w:r>
      <w:r w:rsidR="00DA0347">
        <w:t>5</w:t>
      </w:r>
      <w:r w:rsidR="007E35AD" w:rsidRPr="007E35AD">
        <w:t>. See Instruction and Comment 10.1.2 for the mixed-motive instruction. Instruction 10.1.3 provides a pretext instruction.</w:t>
      </w:r>
    </w:p>
    <w:p w14:paraId="256B52E7" w14:textId="7B7C5D24" w:rsidR="006154EC" w:rsidRPr="001E4102" w:rsidRDefault="006154EC" w:rsidP="00DE616B">
      <w:pPr>
        <w:spacing w:after="240"/>
        <w:ind w:firstLine="720"/>
        <w:jc w:val="both"/>
      </w:pPr>
      <w:r w:rsidRPr="001E4102">
        <w:t xml:space="preserve">In </w:t>
      </w:r>
      <w:r w:rsidRPr="001E4102">
        <w:rPr>
          <w:i/>
        </w:rPr>
        <w:t xml:space="preserve">Miller v. Cigna Corp., </w:t>
      </w:r>
      <w:r w:rsidRPr="001E4102">
        <w:t>47 F.3d 586 (3d Cir. 1995) (</w:t>
      </w:r>
      <w:proofErr w:type="spellStart"/>
      <w:r w:rsidRPr="001E4102">
        <w:t>en</w:t>
      </w:r>
      <w:proofErr w:type="spellEnd"/>
      <w:r w:rsidRPr="001E4102">
        <w:t xml:space="preserve"> banc), an ADEA case, the court discussed the proper instruction to be given in a </w:t>
      </w:r>
      <w:r w:rsidR="00407728">
        <w:t>pre</w:t>
      </w:r>
      <w:r w:rsidRPr="001E4102">
        <w:t>text case:</w:t>
      </w:r>
    </w:p>
    <w:p w14:paraId="21583878" w14:textId="1F0FE909"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00ED1BAE">
        <w:rPr>
          <w:i/>
        </w:rPr>
        <w:t>Price Waterhouse</w:t>
      </w:r>
      <w:r w:rsidRPr="001E4102">
        <w:t xml:space="preserv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1E4102">
        <w:t>decisionmaking</w:t>
      </w:r>
      <w:proofErr w:type="spellEnd"/>
      <w:r w:rsidRPr="001E4102">
        <w:t>] process and had a determinative influence o</w:t>
      </w:r>
      <w:r w:rsidR="00407728">
        <w:t>n the outcome" of that process.</w:t>
      </w:r>
    </w:p>
    <w:p w14:paraId="507B2830" w14:textId="706E5D83" w:rsidR="006154EC" w:rsidRPr="001E4102" w:rsidRDefault="00AB748C" w:rsidP="009C6F31">
      <w:pPr>
        <w:spacing w:after="240"/>
        <w:jc w:val="both"/>
      </w:pPr>
      <w:r w:rsidRPr="00AB748C">
        <w:rPr>
          <w:i/>
        </w:rPr>
        <w:t>Miller</w:t>
      </w:r>
      <w:r w:rsidRPr="00AB748C">
        <w:t xml:space="preserve">, 47 F.3d at 595-96 (quoting </w:t>
      </w:r>
      <w:r w:rsidRPr="00AB748C">
        <w:rPr>
          <w:i/>
        </w:rPr>
        <w:t>Hazen Paper Co. v. Biggins</w:t>
      </w:r>
      <w:r w:rsidRPr="00AB748C">
        <w:t xml:space="preserve">, 507 U.S. 604, 610 (1993)). </w:t>
      </w:r>
      <w:r w:rsidR="006154EC" w:rsidRPr="001E4102">
        <w:t xml:space="preserve">(To the extent that </w:t>
      </w:r>
      <w:r w:rsidR="006154EC" w:rsidRPr="001E4102">
        <w:rPr>
          <w:i/>
        </w:rPr>
        <w:t xml:space="preserve">Miller </w:t>
      </w:r>
      <w:r w:rsidR="006154EC" w:rsidRPr="001E4102">
        <w:t xml:space="preserve">contemplated the use of the </w:t>
      </w:r>
      <w:r w:rsidR="006154EC" w:rsidRPr="001E4102">
        <w:rPr>
          <w:i/>
        </w:rPr>
        <w:t xml:space="preserve">Price Waterhouse </w:t>
      </w:r>
      <w:r w:rsidR="006154EC" w:rsidRPr="001E4102">
        <w:t xml:space="preserve">framework for ADEA claims, it has been overruled by </w:t>
      </w:r>
      <w:r w:rsidR="006154EC" w:rsidRPr="001E4102">
        <w:rPr>
          <w:i/>
        </w:rPr>
        <w:t>Gross v. FBL Financial Services, Inc.</w:t>
      </w:r>
      <w:r w:rsidR="006154EC" w:rsidRPr="001E4102">
        <w:t xml:space="preserve">, </w:t>
      </w:r>
      <w:r w:rsidR="00362492">
        <w:t>557 U.S. 167</w:t>
      </w:r>
      <w:r w:rsidR="003814E7">
        <w:t xml:space="preserve"> (2009).)</w:t>
      </w:r>
    </w:p>
    <w:p w14:paraId="1FC1960D" w14:textId="1B27FB6E" w:rsidR="006154EC" w:rsidRPr="001E4102" w:rsidRDefault="006154EC" w:rsidP="009C6F31">
      <w:pPr>
        <w:spacing w:after="240"/>
        <w:jc w:val="both"/>
      </w:pPr>
      <w:r w:rsidRPr="001E4102">
        <w:tab/>
        <w:t xml:space="preserve">The Court in </w:t>
      </w:r>
      <w:r w:rsidRPr="001E4102">
        <w:rPr>
          <w:i/>
        </w:rPr>
        <w:t xml:space="preserve">Miller </w:t>
      </w:r>
      <w:r w:rsidRPr="001E4102">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1E4102">
        <w:t>decisionmaking</w:t>
      </w:r>
      <w:proofErr w:type="spellEnd"/>
      <w:r w:rsidRPr="001E4102">
        <w:t xml:space="preserve"> process and that it had a determinative effect on the outcome of that process.”</w:t>
      </w:r>
      <w:r w:rsidR="0014710D">
        <w:t xml:space="preserve"> </w:t>
      </w:r>
      <w:r w:rsidR="0014710D">
        <w:rPr>
          <w:i/>
        </w:rPr>
        <w:t>Miller</w:t>
      </w:r>
      <w:r w:rsidR="0014710D">
        <w:t>, 47 F.3d at 598.</w:t>
      </w:r>
      <w:r w:rsidRPr="001E4102">
        <w:t xml:space="preserve"> </w:t>
      </w:r>
      <w:r w:rsidRPr="001E4102">
        <w:rPr>
          <w:i/>
        </w:rPr>
        <w:t xml:space="preserve">See </w:t>
      </w:r>
      <w:proofErr w:type="spellStart"/>
      <w:r w:rsidRPr="001E4102">
        <w:rPr>
          <w:i/>
        </w:rPr>
        <w:t>Alifano</w:t>
      </w:r>
      <w:proofErr w:type="spellEnd"/>
      <w:r w:rsidRPr="001E4102">
        <w:rPr>
          <w:i/>
        </w:rPr>
        <w:t xml:space="preserve"> v. Merck &amp; Co., Inc</w:t>
      </w:r>
      <w:r w:rsidRPr="001E4102">
        <w:t>., 175 F. Supp.</w:t>
      </w:r>
      <w:r w:rsidR="00FD46EB">
        <w:t xml:space="preserve"> </w:t>
      </w:r>
      <w:r w:rsidRPr="001E4102">
        <w:t>2d 792, 794 (E</w:t>
      </w:r>
      <w:r w:rsidR="001332C7">
        <w:t>.D. Pa.</w:t>
      </w:r>
      <w:r w:rsidRPr="001E4102">
        <w:t xml:space="preserve"> 2001) (applying the </w:t>
      </w:r>
      <w:r w:rsidRPr="001E4102">
        <w:rPr>
          <w:i/>
        </w:rPr>
        <w:t xml:space="preserve">McDonnell-Douglas </w:t>
      </w:r>
      <w:r w:rsidRPr="001E4102">
        <w:t xml:space="preserve">analysis to an FMLA claim). </w:t>
      </w:r>
    </w:p>
    <w:p w14:paraId="60A637AE" w14:textId="5BF5006A" w:rsidR="006154EC" w:rsidRDefault="006154EC" w:rsidP="00193AB4">
      <w:pPr>
        <w:spacing w:after="240"/>
        <w:jc w:val="both"/>
      </w:pPr>
      <w:r w:rsidRPr="001E4102">
        <w:lastRenderedPageBreak/>
        <w:tab/>
        <w:t>If the plaintiff establishes a prima facie case of discrimination,</w:t>
      </w:r>
      <w:r w:rsidR="00B57782" w:rsidRPr="001E4102">
        <w:rPr>
          <w:rStyle w:val="FootnoteReference"/>
        </w:rPr>
        <w:footnoteReference w:id="26"/>
      </w:r>
      <w:r w:rsidRPr="001E4102">
        <w:t xml:space="preserve"> the burden shifts to the defendant to produce evidence of a legitimate nondiscriminatory reason for the challenged 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Burdine, </w:t>
      </w:r>
      <w:r w:rsidRPr="001E4102">
        <w:t>450 U.S. 248, 253 (1981).</w:t>
      </w:r>
      <w:r w:rsidR="00F408ED" w:rsidRPr="001E4102">
        <w:rPr>
          <w:rStyle w:val="FootnoteReference"/>
        </w:rPr>
        <w:footnoteReference w:id="27"/>
      </w:r>
      <w:r w:rsidRPr="001E4102">
        <w:t xml:space="preserve"> The </w:t>
      </w:r>
      <w:r w:rsidRPr="001E4102">
        <w:lastRenderedPageBreak/>
        <w:t xml:space="preserve">plaintiff retains the ultimate burden of proving intentional discrimination. </w:t>
      </w:r>
      <w:proofErr w:type="spellStart"/>
      <w:r w:rsidRPr="001E4102">
        <w:rPr>
          <w:i/>
        </w:rPr>
        <w:t>Chipol</w:t>
      </w:r>
      <w:r w:rsidR="0034624F">
        <w:rPr>
          <w:i/>
        </w:rPr>
        <w:t>l</w:t>
      </w:r>
      <w:r w:rsidRPr="001E4102">
        <w:rPr>
          <w:i/>
        </w:rPr>
        <w:t>ini</w:t>
      </w:r>
      <w:proofErr w:type="spellEnd"/>
      <w:r w:rsidRPr="001E4102">
        <w:rPr>
          <w:i/>
        </w:rPr>
        <w:t xml:space="preserve"> v. Spencer Gifts, Inc., </w:t>
      </w:r>
      <w:r w:rsidRPr="001E4102">
        <w:t>814 F.2d 893, 897 (3d Cir. 1987) (</w:t>
      </w:r>
      <w:proofErr w:type="spellStart"/>
      <w:r w:rsidRPr="001E4102">
        <w:t>en</w:t>
      </w:r>
      <w:proofErr w:type="spellEnd"/>
      <w:r w:rsidRPr="001E4102">
        <w:t xml:space="preserve">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proofErr w:type="spellStart"/>
      <w:r w:rsidRPr="001E4102">
        <w:rPr>
          <w:i/>
        </w:rPr>
        <w:t>Chipo</w:t>
      </w:r>
      <w:r w:rsidR="0034624F">
        <w:rPr>
          <w:i/>
        </w:rPr>
        <w:t>l</w:t>
      </w:r>
      <w:r w:rsidRPr="001E4102">
        <w:rPr>
          <w:i/>
        </w:rPr>
        <w:t>lini</w:t>
      </w:r>
      <w:proofErr w:type="spellEnd"/>
      <w:r w:rsidRPr="001E4102">
        <w:rPr>
          <w:i/>
        </w:rPr>
        <w:t xml:space="preserve"> v. Spencer Gifts, Inc., </w:t>
      </w:r>
      <w:r w:rsidRPr="001E4102">
        <w:t>814 F.2d 893 (3d Cir. 1987) (</w:t>
      </w:r>
      <w:proofErr w:type="spellStart"/>
      <w:r w:rsidRPr="001E4102">
        <w:t>en</w:t>
      </w:r>
      <w:proofErr w:type="spellEnd"/>
      <w:r w:rsidRPr="001E4102">
        <w:t xml:space="preserve">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w:t>
      </w:r>
      <w:proofErr w:type="spellStart"/>
      <w:r w:rsidRPr="001E4102">
        <w:rPr>
          <w:i/>
        </w:rPr>
        <w:t>Orix</w:t>
      </w:r>
      <w:proofErr w:type="spellEnd"/>
      <w:r w:rsidRPr="001E4102">
        <w:rPr>
          <w:i/>
        </w:rPr>
        <w:t xml:space="preserve">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proofErr w:type="spellStart"/>
      <w:r w:rsidR="00193AB4" w:rsidRPr="00193AB4">
        <w:rPr>
          <w:i/>
        </w:rPr>
        <w:t>Hansler</w:t>
      </w:r>
      <w:proofErr w:type="spellEnd"/>
      <w:r w:rsidR="00193AB4" w:rsidRPr="00193AB4">
        <w:rPr>
          <w:i/>
        </w:rPr>
        <w:t xml:space="preserve"> v. Lehigh Valley Hosp. Network</w:t>
      </w:r>
      <w:r w:rsidR="00193AB4" w:rsidRPr="00193AB4">
        <w:t>, 798 F.3d 149, 159 (3d Cir. 2015)</w:t>
      </w:r>
      <w:r w:rsidR="00193AB4">
        <w:t xml:space="preserve"> (“</w:t>
      </w:r>
      <w:proofErr w:type="spellStart"/>
      <w:r w:rsidR="00193AB4">
        <w:t>Hansler</w:t>
      </w:r>
      <w:proofErr w:type="spellEnd"/>
      <w:r w:rsidR="00193AB4">
        <w:t xml:space="preserve"> alleges she attempted to invoke her right to leave, she was not advised of deficiencies in her medical certification, she was not provided a cure period, and she was fired a few weeks later as a result of her leave request. Through discovery, </w:t>
      </w:r>
      <w:proofErr w:type="spellStart"/>
      <w:r w:rsidR="00193AB4">
        <w:t>Hansler</w:t>
      </w:r>
      <w:proofErr w:type="spellEnd"/>
      <w:r w:rsidR="00193AB4">
        <w:t xml:space="preserve"> might be able to show that Lehigh Valley had a retaliatory motive and that the stated reason for termination was pretextual.”)</w:t>
      </w:r>
      <w:r w:rsidR="002969FE" w:rsidRPr="001E4102">
        <w:t>.</w:t>
      </w:r>
    </w:p>
    <w:p w14:paraId="336DCB61" w14:textId="67A50722" w:rsidR="00100E89" w:rsidRDefault="00100E89" w:rsidP="00100E89">
      <w:pPr>
        <w:spacing w:after="240"/>
        <w:jc w:val="both"/>
      </w:pPr>
      <w:r>
        <w:lastRenderedPageBreak/>
        <w:tab/>
        <w:t xml:space="preserve">One type of legitimate nondiscriminatory reason is an employer’s honest belief that the employee is misusing FMLA leave. </w:t>
      </w:r>
      <w:r w:rsidRPr="004F7A1B">
        <w:rPr>
          <w:i/>
        </w:rPr>
        <w:t>See Capps v. Mondelez Glob., LLC</w:t>
      </w:r>
      <w:r>
        <w:t xml:space="preserve">, 847 F.3d 144 (3d Cir. 2017). In </w:t>
      </w:r>
      <w:r w:rsidRPr="00330C59">
        <w:rPr>
          <w:i/>
        </w:rPr>
        <w:t>Capps</w:t>
      </w:r>
      <w:r>
        <w:t xml:space="preserve">, the employer “met its burden of demonstrating a legitimate, nondiscriminatory justification for Capps’ discharge with evidence that Capps was terminated for his misuse of FMLA leave and dishonesty surrounding the leave in violation of Mondelez’s policies.”  </w:t>
      </w:r>
      <w:r w:rsidRPr="00330C59">
        <w:rPr>
          <w:i/>
        </w:rPr>
        <w:t>Id</w:t>
      </w:r>
      <w:r>
        <w:t xml:space="preserve">. at 152.  To rebut that nondiscriminatory justification, it did not suffice for the plaintiff to show that the employer was mistaken in its belief; rebuttal would have required “evidence indicating that Mondelez did not honestly hold that belief.” </w:t>
      </w:r>
      <w:r w:rsidRPr="00330C59">
        <w:rPr>
          <w:i/>
        </w:rPr>
        <w:t>Id</w:t>
      </w:r>
      <w:r>
        <w:t>. at 155. In a case featuring this type of honest-belief defense, the court should tailor the paragraph of Instruction 10.1.3 that deals with pretext – for example, by revising that paragraph as shown here:</w:t>
      </w:r>
      <w:r>
        <w:tab/>
      </w:r>
    </w:p>
    <w:p w14:paraId="058B80F9" w14:textId="5525857D" w:rsidR="00621BB0" w:rsidRPr="001E4102" w:rsidRDefault="00100E89" w:rsidP="00330C59">
      <w:pPr>
        <w:spacing w:after="240"/>
        <w:ind w:left="720"/>
        <w:jc w:val="both"/>
      </w:pPr>
      <w:r>
        <w:tab/>
        <w:t xml:space="preserve">[Defendant] has given a nondiscriminatory reason for its [describe defendant’s action].  Specifically, [defendant] states that it [describe defendant’s action] because it [specify defendant’s honest-belief defense – e.g., “believed that [plaintiff] was misusing her FMLA leave”]. </w:t>
      </w:r>
      <w:r w:rsidR="00BF0138" w:rsidRPr="00BF0138">
        <w:rPr>
          <w:szCs w:val="24"/>
        </w:rPr>
        <w:t>If you find that [defendant] honestly held that belief and if you find that this belief caused the [adverse employment action], then you must find for [defendant].</w:t>
      </w:r>
      <w:r>
        <w:t xml:space="preserve"> If you disbelieve [defendant’s] </w:t>
      </w:r>
      <w:r w:rsidR="00BF0138">
        <w:t>stated reason</w:t>
      </w:r>
      <w:r>
        <w:t xml:space="preserve"> for its conduct, then you may, but need not, find that [plaintiff] has proved intentional discrimination. In assessing [defendant’s] explanations for its conduct, the key question is not whether [defendant] was correct in its belief, but rather whether [defendant] honestly held that belief. You cannot find intentional discrimination simply because you conclude that [defendant’s] belief was incorrect. You are not to consider [defendant’s] wisdom. However, you may consider whether </w:t>
      </w:r>
      <w:r w:rsidR="00BF0138">
        <w:t xml:space="preserve">[plaintiff] has proven that </w:t>
      </w:r>
      <w:r>
        <w:t>[defendant’s] reason is merely a cover-up for discrimination.</w:t>
      </w:r>
    </w:p>
    <w:p w14:paraId="1A3DF1F9" w14:textId="77777777" w:rsidR="0039202B" w:rsidRPr="000B2DAB" w:rsidRDefault="0039202B" w:rsidP="0039202B">
      <w:pPr>
        <w:shd w:val="clear" w:color="auto" w:fill="FFFFFF" w:themeFill="background1"/>
        <w:spacing w:after="240"/>
        <w:jc w:val="both"/>
        <w:rPr>
          <w:szCs w:val="24"/>
        </w:rPr>
      </w:pPr>
      <w:r w:rsidRPr="000B2DAB">
        <w:rPr>
          <w:i/>
          <w:szCs w:val="24"/>
        </w:rPr>
        <w:t>Adverse Employment Action</w:t>
      </w:r>
    </w:p>
    <w:p w14:paraId="55DDBCC3" w14:textId="67E57B95" w:rsidR="0039202B" w:rsidRPr="0039202B" w:rsidRDefault="0039202B" w:rsidP="0039202B">
      <w:pPr>
        <w:spacing w:after="240"/>
        <w:jc w:val="both"/>
      </w:pPr>
      <w:r w:rsidRPr="000B2DAB">
        <w:rPr>
          <w:szCs w:val="24"/>
        </w:rPr>
        <w:tab/>
        <w:t>Instruction 10.1.3’s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w:t>
      </w:r>
      <w:proofErr w:type="gramStart"/>
      <w:r w:rsidR="00DF3239">
        <w:rPr>
          <w:szCs w:val="24"/>
        </w:rPr>
        <w:t>’ ”</w:t>
      </w:r>
      <w:proofErr w:type="gramEnd"/>
      <w:r w:rsidRPr="000B2DAB">
        <w:rPr>
          <w:szCs w:val="24"/>
        </w:rPr>
        <w:t xml:space="preserve"> </w:t>
      </w:r>
      <w:proofErr w:type="spellStart"/>
      <w:r w:rsidRPr="000B2DAB">
        <w:rPr>
          <w:i/>
          <w:szCs w:val="24"/>
        </w:rPr>
        <w:t>Budhun</w:t>
      </w:r>
      <w:proofErr w:type="spellEnd"/>
      <w:r w:rsidRPr="000B2DAB">
        <w:rPr>
          <w:i/>
          <w:szCs w:val="24"/>
        </w:rPr>
        <w:t xml:space="preserve"> v. Reading Hosp. &amp; Med. Ctr</w:t>
      </w:r>
      <w:r w:rsidRPr="000B2DAB">
        <w:rPr>
          <w:szCs w:val="24"/>
        </w:rPr>
        <w:t xml:space="preserve">., 765 F.3d 245, 257 (3d Cir. 2014) (quoting </w:t>
      </w:r>
      <w:r w:rsidRPr="000B2DAB">
        <w:rPr>
          <w:i/>
          <w:szCs w:val="24"/>
        </w:rPr>
        <w:t>Robinson v. City of Pittsburgh</w:t>
      </w:r>
      <w:r w:rsidRPr="000B2DAB">
        <w:rPr>
          <w:szCs w:val="24"/>
        </w:rPr>
        <w:t>, 120 F.3d 1286, 1300 (3d Cir.</w:t>
      </w:r>
      <w:r w:rsidR="001332C7">
        <w:rPr>
          <w:szCs w:val="24"/>
        </w:rPr>
        <w:t xml:space="preserve"> </w:t>
      </w:r>
      <w:r w:rsidRPr="000B2DAB">
        <w:rPr>
          <w:szCs w:val="24"/>
        </w:rPr>
        <w:t xml:space="preserve">1997)). In </w:t>
      </w:r>
      <w:proofErr w:type="spellStart"/>
      <w:r w:rsidRPr="000B2DAB">
        <w:rPr>
          <w:i/>
          <w:szCs w:val="24"/>
        </w:rPr>
        <w:t>Budhun</w:t>
      </w:r>
      <w:proofErr w:type="spellEnd"/>
      <w:r w:rsidRPr="000B2DAB">
        <w:rPr>
          <w:szCs w:val="24"/>
        </w:rPr>
        <w:t xml:space="preserve"> – an FMLA case under 29 C.F.R. § 825.220(c) – the Court of Appeals noted but did not decide the question whether “the less restrictive standard for ‘adverse employment action’ promulgated in the Title VII context by </w:t>
      </w:r>
      <w:r w:rsidRPr="000B2DAB">
        <w:rPr>
          <w:i/>
          <w:szCs w:val="24"/>
        </w:rPr>
        <w:t>Burlington Northern &amp; Santa Fe Railway Co. v. White</w:t>
      </w:r>
      <w:r w:rsidRPr="000B2DAB">
        <w:rPr>
          <w:szCs w:val="24"/>
        </w:rPr>
        <w:t xml:space="preserve">, 548 U.S. 53 … (2006)” can apply in such FMLA cases. </w:t>
      </w:r>
      <w:proofErr w:type="spellStart"/>
      <w:r w:rsidRPr="000B2DAB">
        <w:rPr>
          <w:i/>
          <w:szCs w:val="24"/>
        </w:rPr>
        <w:t>Budhun</w:t>
      </w:r>
      <w:proofErr w:type="spellEnd"/>
      <w:r w:rsidRPr="000B2DAB">
        <w:rPr>
          <w:szCs w:val="24"/>
        </w:rPr>
        <w:t>, 765 F.3d at 257.</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lastRenderedPageBreak/>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8"/>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9"/>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r w:rsidR="006154EC" w:rsidRPr="001E4102">
        <w:t>has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r w:rsidR="006154EC" w:rsidRPr="001E4102">
        <w:t>has testified, or is about to testify, in any inquiry or proceeding relating to any right provided under [the FMLA].</w:t>
      </w:r>
    </w:p>
    <w:p w14:paraId="0DAD099E" w14:textId="6DF3C3C8"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“retaliation” </w:t>
      </w:r>
      <w:r w:rsidR="00820F46" w:rsidRPr="001E4102">
        <w:t>claims</w:t>
      </w:r>
      <w:r w:rsidRPr="001E4102">
        <w:t xml:space="preserve">, but </w:t>
      </w:r>
      <w:r w:rsidR="00820F46" w:rsidRPr="001E4102">
        <w:t>those claims seek</w:t>
      </w:r>
      <w:r w:rsidRPr="001E4102">
        <w:t xml:space="preserve"> recovery for</w:t>
      </w:r>
      <w:r w:rsidR="00492AED">
        <w:t xml:space="preserve"> retaliation </w:t>
      </w:r>
      <w:proofErr w:type="spellStart"/>
      <w:r w:rsidR="00492AED">
        <w:t>agianst</w:t>
      </w:r>
      <w:proofErr w:type="spellEnd"/>
      <w:r w:rsidRPr="001E4102">
        <w:t xml:space="preserve"> the plaintiff</w:t>
      </w:r>
      <w:r w:rsidR="00492AED">
        <w:t xml:space="preserve"> for</w:t>
      </w:r>
      <w:r w:rsidRPr="001E4102">
        <w:t xml:space="preserve">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30"/>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132340BF" w:rsidR="006154EC" w:rsidRPr="001E4102" w:rsidRDefault="006154EC" w:rsidP="009C6F31">
      <w:pPr>
        <w:widowControl w:val="0"/>
        <w:spacing w:after="240"/>
        <w:jc w:val="both"/>
      </w:pPr>
      <w:r w:rsidRPr="001E4102">
        <w:tab/>
        <w:t xml:space="preserve">The literal terms of 29 U.S.C. § 2615(b) </w:t>
      </w:r>
      <w:r w:rsidR="00E95C42">
        <w:t>might</w:t>
      </w:r>
      <w:r w:rsidRPr="001E4102">
        <w:t xml:space="preserve">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352DAF9E" w:rsidR="006154EC" w:rsidRPr="001E4102" w:rsidRDefault="006154EC" w:rsidP="009C6F31">
      <w:pPr>
        <w:widowControl w:val="0"/>
        <w:spacing w:after="240"/>
        <w:jc w:val="both"/>
      </w:pPr>
      <w:r w:rsidRPr="001E4102">
        <w:tab/>
        <w:t xml:space="preserve">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w:t>
      </w:r>
      <w:r w:rsidRPr="00497AB4">
        <w:rPr>
          <w:i/>
        </w:rPr>
        <w:t>See</w:t>
      </w:r>
      <w:r w:rsidRPr="001E4102">
        <w:t xml:space="preserve"> the commentary to Instruction 11.1.2.</w:t>
      </w:r>
      <w:r w:rsidR="00311C3E" w:rsidRPr="001E4102">
        <w:rPr>
          <w:rStyle w:val="FootnoteReference"/>
        </w:rPr>
        <w:footnoteReference w:id="31"/>
      </w:r>
      <w:r w:rsidRPr="001E4102">
        <w:t xml:space="preserve"> This instruction therefore includes informal complaints as protected activity. </w:t>
      </w:r>
      <w:r w:rsidRPr="00497AB4">
        <w:rPr>
          <w:i/>
        </w:rPr>
        <w:t>See</w:t>
      </w:r>
      <w:r w:rsidRPr="001E4102">
        <w:rPr>
          <w:i/>
        </w:rPr>
        <w:t xml:space="preserve"> </w:t>
      </w:r>
      <w:proofErr w:type="spellStart"/>
      <w:r w:rsidRPr="001E4102">
        <w:rPr>
          <w:i/>
        </w:rPr>
        <w:t>Sabbrese</w:t>
      </w:r>
      <w:proofErr w:type="spellEnd"/>
      <w:r w:rsidRPr="001E4102">
        <w:rPr>
          <w:i/>
        </w:rPr>
        <w:t xml:space="preserve"> v. Lowe’s Home Centers, Inc</w:t>
      </w:r>
      <w:r w:rsidRPr="001E4102">
        <w:t>., 320 F. Supp.</w:t>
      </w:r>
      <w:r w:rsidR="00FD46EB">
        <w:t xml:space="preserve"> </w:t>
      </w:r>
      <w:r w:rsidRPr="001E4102">
        <w:t>2d 311, 324 (W</w:t>
      </w:r>
      <w:r w:rsidR="001332C7">
        <w:t>.D. Pa.</w:t>
      </w:r>
      <w:r w:rsidRPr="001E4102">
        <w:t xml:space="preserve"> 2004) (finding a valid retaliation claim when the plaintiff was discharged after informally complaining to the employer about being disciplined for taking leave).</w:t>
      </w:r>
      <w:r w:rsidR="00ED1B0E">
        <w:rPr>
          <w:rStyle w:val="FootnoteReference"/>
        </w:rPr>
        <w:footnoteReference w:id="32"/>
      </w:r>
      <w:r w:rsidRPr="001E4102">
        <w:t xml:space="preserve"> </w:t>
      </w:r>
    </w:p>
    <w:p w14:paraId="7ED1451B" w14:textId="036B7ACC" w:rsidR="00B4511C" w:rsidRPr="001E4102" w:rsidRDefault="00157F9F" w:rsidP="009C6F31">
      <w:pPr>
        <w:spacing w:after="240"/>
        <w:ind w:firstLine="720"/>
        <w:jc w:val="both"/>
      </w:pPr>
      <w:r w:rsidRPr="001E4102">
        <w:t>In accord with the retaliation instructions in other Chapters (</w:t>
      </w:r>
      <w:r w:rsidRPr="00497AB4">
        <w:rPr>
          <w:i/>
        </w:rPr>
        <w:t>see</w:t>
      </w:r>
      <w:r w:rsidRPr="001E4102">
        <w:t xml:space="preserve">, </w:t>
      </w:r>
      <w:r w:rsidRPr="00497AB4">
        <w:rPr>
          <w:i/>
        </w:rPr>
        <w:t>e.g.</w:t>
      </w:r>
      <w:r w:rsidRPr="001E4102">
        <w:t xml:space="preserve">, Instruction 5.1.7 concerning Title VII retaliation claims), Instruction 10.1.4 requires a “reasonable, good faith belief” that an FMLA violation occurred.  The statute itself does not explicitly require reasonableness and good faith.  As of </w:t>
      </w:r>
      <w:r w:rsidR="004633B0">
        <w:t>spring 2016</w:t>
      </w:r>
      <w:r w:rsidRPr="001E4102">
        <w:t xml:space="preserve">,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w:t>
      </w:r>
      <w:r w:rsidRPr="001E4102">
        <w:lastRenderedPageBreak/>
        <w:t xml:space="preserve">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proofErr w:type="spellStart"/>
      <w:r w:rsidRPr="001E4102">
        <w:rPr>
          <w:i/>
        </w:rPr>
        <w:t>Oncale</w:t>
      </w:r>
      <w:proofErr w:type="spellEnd"/>
      <w:r w:rsidRPr="001E4102">
        <w:t xml:space="preserve"> </w:t>
      </w:r>
      <w:r w:rsidRPr="00497AB4">
        <w:rPr>
          <w:i/>
        </w:rPr>
        <w:t>v.</w:t>
      </w:r>
      <w:r w:rsidRPr="001E4102">
        <w:t xml:space="preserve">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proofErr w:type="spellStart"/>
      <w:r w:rsidRPr="001E4102">
        <w:rPr>
          <w:i/>
        </w:rPr>
        <w:t>Suders</w:t>
      </w:r>
      <w:proofErr w:type="spellEnd"/>
      <w:r w:rsidRPr="001E4102">
        <w:rPr>
          <w:i/>
        </w:rPr>
        <w:t>,</w:t>
      </w:r>
      <w:r w:rsidRPr="001E4102">
        <w:t xml:space="preserve"> 542 U.S., at 141, 124 S. Ct. 2342, 159 L. Ed. 2d 204 (constructive discharge doctrine); </w:t>
      </w:r>
      <w:r w:rsidRPr="001E4102">
        <w:rPr>
          <w:i/>
        </w:rPr>
        <w:t>Harris</w:t>
      </w:r>
      <w:r w:rsidRPr="001E4102">
        <w:t xml:space="preserve"> </w:t>
      </w:r>
      <w:r w:rsidRPr="00497AB4">
        <w:rPr>
          <w:i/>
        </w:rPr>
        <w:t>v.</w:t>
      </w:r>
      <w:r w:rsidRPr="001E4102">
        <w:t xml:space="preserve">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 xml:space="preserve">We phrase the standard in general terms because the significance of any given act of retaliation will often depend upon the particular circumstances. Context matters. . . . A schedule change in an employee's work schedule may make little difference to many </w:t>
      </w:r>
      <w:r w:rsidRPr="001E4102">
        <w:lastRenderedPageBreak/>
        <w:t>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33"/>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34"/>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w:t>
      </w:r>
      <w:r w:rsidRPr="001E4102">
        <w:lastRenderedPageBreak/>
        <w:t xml:space="preserve">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proofErr w:type="spellStart"/>
      <w:r w:rsidR="00127A0C" w:rsidRPr="001E4102">
        <w:t>discriminat</w:t>
      </w:r>
      <w:proofErr w:type="spellEnd"/>
      <w:r w:rsidRPr="001E4102">
        <w:t>[</w:t>
      </w:r>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See, e.g., Nelson v. Upsala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Lloyd v. Wyoming Valley Health Care Sys</w:t>
      </w:r>
      <w:r w:rsidRPr="001E4102">
        <w:t>., 994 F. Supp. 288, 291 (M.D. Pa. 1998</w:t>
      </w:r>
      <w:proofErr w:type="gramStart"/>
      <w:r w:rsidRPr="001E4102">
        <w:t>) .</w:t>
      </w:r>
      <w:proofErr w:type="gramEnd"/>
      <w:r w:rsidRPr="001E4102">
        <w:t xml:space="preserve">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See Univ. of Tex. Sw. Med. Ctr. v. Nassar</w:t>
      </w:r>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w:t>
      </w:r>
      <w:r w:rsidRPr="001E4102">
        <w:lastRenderedPageBreak/>
        <w:t xml:space="preserve">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4955B17" w14:textId="7D0F1587" w:rsidR="00127A0C" w:rsidRPr="001E4102" w:rsidRDefault="003E6682" w:rsidP="009C6F31">
      <w:pPr>
        <w:spacing w:after="240"/>
        <w:ind w:firstLine="720"/>
        <w:jc w:val="both"/>
      </w:pPr>
      <w:r w:rsidRPr="001E4102">
        <w:t xml:space="preserve">In light of </w:t>
      </w:r>
      <w:r w:rsidRPr="001E4102">
        <w:rPr>
          <w:i/>
        </w:rPr>
        <w:t>Nassar</w:t>
      </w:r>
      <w:r w:rsidRPr="001E4102">
        <w:t xml:space="preserve"> and </w:t>
      </w:r>
      <w:r w:rsidRPr="001E4102">
        <w:rPr>
          <w:i/>
        </w:rPr>
        <w:t>Gross v. FBL Financial Services, Inc.</w:t>
      </w:r>
      <w:r w:rsidRPr="001E4102">
        <w:t>, 557 U.S. 167 (2009),</w:t>
      </w:r>
      <w:r w:rsidRPr="001E4102">
        <w:rPr>
          <w:rStyle w:val="FootnoteReference"/>
        </w:rPr>
        <w:footnoteReference w:id="35"/>
      </w:r>
      <w:r w:rsidRPr="001E4102">
        <w:t xml:space="preserve"> it</w:t>
      </w:r>
      <w:r w:rsidR="00127A0C" w:rsidRPr="001E4102">
        <w:t xml:space="preserve"> is unclear whether a mixed</w:t>
      </w:r>
      <w:r w:rsidR="00127A0C" w:rsidRPr="001E4102">
        <w:noBreakHyphen/>
        <w:t>motive framework can appropriately apply to FMLA retaliation claims under Section 2615(b).</w:t>
      </w:r>
      <w:r w:rsidR="00221591" w:rsidRPr="00221591">
        <w:rPr>
          <w:rStyle w:val="FootnoteReference"/>
        </w:rPr>
        <w:footnoteReference w:id="36"/>
      </w:r>
      <w:r w:rsidR="00127A0C" w:rsidRPr="001E4102">
        <w:t xml:space="preserve">  </w:t>
      </w:r>
    </w:p>
    <w:p w14:paraId="2452427C" w14:textId="77777777" w:rsidR="006154EC" w:rsidRPr="001E4102" w:rsidRDefault="006154EC" w:rsidP="009C6F31">
      <w:pPr>
        <w:widowControl w:val="0"/>
        <w:spacing w:after="240"/>
        <w:jc w:val="both"/>
      </w:pPr>
      <w:r w:rsidRPr="001E4102">
        <w:rPr>
          <w:i/>
        </w:rPr>
        <w:t>Timing</w:t>
      </w:r>
    </w:p>
    <w:p w14:paraId="02CD5E06" w14:textId="76334A47"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 xml:space="preserve">see, e.g., </w:t>
      </w:r>
      <w:proofErr w:type="spellStart"/>
      <w:r w:rsidRPr="001E4102">
        <w:rPr>
          <w:i/>
        </w:rPr>
        <w:t>Sabbrese</w:t>
      </w:r>
      <w:proofErr w:type="spellEnd"/>
      <w:r w:rsidRPr="001E4102">
        <w:rPr>
          <w:i/>
        </w:rPr>
        <w:t xml:space="preserve"> v. Lowe’s Home Centers, Inc</w:t>
      </w:r>
      <w:r w:rsidRPr="001E4102">
        <w:t>., 320 F. Supp.</w:t>
      </w:r>
      <w:r w:rsidR="00FD46EB">
        <w:t xml:space="preserve"> </w:t>
      </w:r>
      <w:r w:rsidRPr="001E4102">
        <w:t>2d 311, 324 (W</w:t>
      </w:r>
      <w:r w:rsidR="001332C7">
        <w:t>.D. Pa.</w:t>
      </w:r>
      <w:r w:rsidRPr="001E4102">
        <w:t xml:space="preserve">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46AAE43C"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 xml:space="preserve">As of </w:t>
      </w:r>
      <w:r w:rsidR="00A420A9">
        <w:t>spring 2016</w:t>
      </w:r>
      <w:r w:rsidR="006B72E4">
        <w:t>,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 xml:space="preserve">See generally </w:t>
      </w:r>
      <w:proofErr w:type="spellStart"/>
      <w:r w:rsidR="00C0051B" w:rsidRPr="00C0051B">
        <w:rPr>
          <w:i/>
        </w:rPr>
        <w:t>Bonkowski</w:t>
      </w:r>
      <w:proofErr w:type="spellEnd"/>
      <w:r w:rsidR="00C0051B" w:rsidRPr="00C0051B">
        <w:rPr>
          <w:i/>
        </w:rPr>
        <w:t xml:space="preserve">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37"/>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 xml:space="preserve">See </w:t>
      </w:r>
      <w:proofErr w:type="spellStart"/>
      <w:r w:rsidRPr="006D23D1">
        <w:rPr>
          <w:i/>
        </w:rPr>
        <w:t>Bonkowski</w:t>
      </w:r>
      <w:proofErr w:type="spellEnd"/>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lastRenderedPageBreak/>
        <w:t>id</w:t>
      </w:r>
      <w:r>
        <w:t>. at 210 (not deciding what would count as a “substantial period” but suggesting that “a minimum 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 xml:space="preserve">(3) The requirement in paragraphs (a)(1)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w:t>
      </w:r>
      <w:r w:rsidRPr="001E4102">
        <w:lastRenderedPageBreak/>
        <w:t xml:space="preserve">“an employee may satisfy her burden of proving three days of incapacitation through a combination of expert medical and lay testimony.”  </w:t>
      </w:r>
      <w:proofErr w:type="spellStart"/>
      <w:r w:rsidRPr="001E4102">
        <w:rPr>
          <w:i/>
        </w:rPr>
        <w:t>Schaar</w:t>
      </w:r>
      <w:proofErr w:type="spellEnd"/>
      <w:r w:rsidRPr="001E4102">
        <w:rPr>
          <w:i/>
        </w:rPr>
        <w:t xml:space="preserve"> v. Lehigh Valley Health Services, Inc.</w:t>
      </w:r>
      <w:r w:rsidRPr="001E4102">
        <w:t xml:space="preserve">, 598 F.3d 156, 161 (3d Cir. 2010).  The Committee has not attempted to determine whether the </w:t>
      </w:r>
      <w:proofErr w:type="spellStart"/>
      <w:r w:rsidRPr="001E4102">
        <w:rPr>
          <w:i/>
        </w:rPr>
        <w:t>Schaar</w:t>
      </w:r>
      <w:proofErr w:type="spellEnd"/>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lastRenderedPageBreak/>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(A) a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(B) any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3D4587DD"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 xml:space="preserve">see, e.g., </w:t>
      </w:r>
      <w:proofErr w:type="spellStart"/>
      <w:r w:rsidRPr="001E4102">
        <w:rPr>
          <w:i/>
        </w:rPr>
        <w:t>Victorelli</w:t>
      </w:r>
      <w:proofErr w:type="spellEnd"/>
      <w:r w:rsidRPr="001E4102">
        <w:rPr>
          <w:i/>
        </w:rPr>
        <w:t xml:space="preserve"> v. Shadyside Hospital,</w:t>
      </w:r>
      <w:r w:rsidRPr="001E4102">
        <w:t xml:space="preserve"> 128 F.3d 184, 190 (3d Cir. 1997)(“A factfinder may be able reasonably to find that </w:t>
      </w:r>
      <w:proofErr w:type="spellStart"/>
      <w:r w:rsidRPr="001E4102">
        <w:t>Victorelli</w:t>
      </w:r>
      <w:proofErr w:type="spellEnd"/>
      <w:r w:rsidRPr="001E4102">
        <w:t xml:space="preserve"> suffers from something more severe than a ‘minor ulcer’ and as such is entitled to FMLA protection.”); </w:t>
      </w:r>
      <w:r w:rsidRPr="001E4102">
        <w:rPr>
          <w:i/>
        </w:rPr>
        <w:t>Marrero v. Camden County Board of Social Services</w:t>
      </w:r>
      <w:r w:rsidRPr="001E4102">
        <w:t>, 164 F. Supp.</w:t>
      </w:r>
      <w:r w:rsidR="00FD46EB">
        <w:t xml:space="preserve"> </w:t>
      </w:r>
      <w:r w:rsidRPr="001E4102">
        <w:t>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6"/>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2F79F6B0"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 xml:space="preserve">see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7"/>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 xml:space="preserve">Your verdict must be for [defendant] if [defendant] proves all </w:t>
      </w:r>
      <w:proofErr w:type="gramStart"/>
      <w:r w:rsidRPr="001E4102">
        <w:t>of  the</w:t>
      </w:r>
      <w:proofErr w:type="gramEnd"/>
      <w:r w:rsidRPr="001E4102">
        <w:t xml:space="preserv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such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4F989C3" w:rsidR="006154EC" w:rsidRPr="001E4102" w:rsidRDefault="006154EC" w:rsidP="009C6F31">
      <w:pPr>
        <w:widowControl w:val="0"/>
        <w:spacing w:after="240"/>
        <w:jc w:val="both"/>
      </w:pPr>
      <w:r w:rsidRPr="001E4102">
        <w:t xml:space="preserve"> </w:t>
      </w:r>
      <w:r w:rsidRPr="001E4102">
        <w:tab/>
        <w:t xml:space="preserve">For a case applying the term “key employee,”  </w:t>
      </w:r>
      <w:r w:rsidRPr="001E4102">
        <w:rPr>
          <w:i/>
        </w:rPr>
        <w:t xml:space="preserve">see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18"/>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8B572AA" w:rsidR="006154EC" w:rsidRPr="001E4102" w:rsidRDefault="006154EC" w:rsidP="009C6F31">
      <w:pPr>
        <w:widowControl w:val="0"/>
        <w:spacing w:after="240"/>
        <w:jc w:val="both"/>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w:t>
      </w:r>
      <w:r w:rsidRPr="00BF53E7">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3FCBAC0" w:rsidR="006154EC" w:rsidRPr="001E4102" w:rsidRDefault="006154EC" w:rsidP="009C6F31">
      <w:pPr>
        <w:widowControl w:val="0"/>
        <w:spacing w:after="240"/>
        <w:jc w:val="both"/>
      </w:pPr>
      <w:r w:rsidRPr="001E4102">
        <w:tab/>
        <w:t xml:space="preserve">“[T]he accrual period for backpay [under the FMLA] is limited by the Act's 2-year statute of limitations (extended to three years only for willful violations), §§ 2617(c)(1) and (2).”  </w:t>
      </w:r>
      <w:r w:rsidRPr="001E4102">
        <w:rPr>
          <w:i/>
        </w:rPr>
        <w:t>Nevada Dept. of Human Resources v. Hibbs</w:t>
      </w:r>
      <w:r w:rsidRPr="001E4102">
        <w:t xml:space="preserve">, 538 U.S. 721, 740 (2003).  As the </w:t>
      </w:r>
      <w:r w:rsidRPr="001E4102">
        <w:rPr>
          <w:i/>
        </w:rPr>
        <w:t xml:space="preserve">Hibbs </w:t>
      </w:r>
      <w:r w:rsidRPr="001E4102">
        <w:t xml:space="preserve">Court noted, the statute of limitations for recovery under the FMLA is two years, but it is extended to three years if the employer’s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001332C7" w:rsidRPr="001332C7">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xml:space="preserve">§ 2617(a)(1)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(A) for damages equal to</w:t>
      </w:r>
      <w:r w:rsidR="00CD1ABC" w:rsidRPr="001E4102">
        <w:t>—</w:t>
      </w:r>
    </w:p>
    <w:p w14:paraId="1E3267F7" w14:textId="532387FE" w:rsidR="00CD1ABC" w:rsidRPr="001E4102" w:rsidRDefault="006154EC" w:rsidP="00CD1ABC">
      <w:pPr>
        <w:widowControl w:val="0"/>
        <w:spacing w:after="240"/>
        <w:ind w:left="2160"/>
        <w:jc w:val="both"/>
      </w:pPr>
      <w:r w:rsidRPr="001E4102">
        <w:t>(i) the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2612(a)(3) of this title) of wages or salary for the employee;</w:t>
      </w:r>
    </w:p>
    <w:p w14:paraId="2ADA5262" w14:textId="77777777" w:rsidR="00613CDE" w:rsidRPr="001E4102" w:rsidRDefault="006154EC" w:rsidP="00613CDE">
      <w:pPr>
        <w:widowControl w:val="0"/>
        <w:spacing w:after="240"/>
        <w:ind w:left="2160"/>
        <w:jc w:val="both"/>
      </w:pPr>
      <w:r w:rsidRPr="001E4102">
        <w:t>(ii) the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 xml:space="preserve">Fisher v. City of </w:t>
      </w:r>
      <w:r w:rsidRPr="001E4102">
        <w:rPr>
          <w:i/>
        </w:rPr>
        <w:lastRenderedPageBreak/>
        <w:t>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19"/>
          <w:pgSz w:w="12240" w:h="15840"/>
          <w:pgMar w:top="1920" w:right="1440" w:bottom="1920" w:left="1440" w:header="900" w:footer="1440" w:gutter="0"/>
          <w:lnNumType w:countBy="1" w:distance="576" w:restart="newSection"/>
          <w:cols w:space="720"/>
          <w:docGrid w:linePitch="326"/>
        </w:sectPr>
      </w:pPr>
    </w:p>
    <w:p w14:paraId="0445514C" w14:textId="72F2A728" w:rsidR="006154EC" w:rsidRPr="001E4102" w:rsidRDefault="006154EC" w:rsidP="009C6F31">
      <w:pPr>
        <w:widowControl w:val="0"/>
        <w:spacing w:after="240"/>
        <w:jc w:val="both"/>
        <w:rPr>
          <w:b/>
          <w:sz w:val="28"/>
        </w:rPr>
      </w:pPr>
      <w:r w:rsidRPr="001E4102">
        <w:rPr>
          <w:b/>
          <w:sz w:val="28"/>
        </w:rPr>
        <w:lastRenderedPageBreak/>
        <w:t>10.4.2    FMLA Damages — Back Pay</w:t>
      </w:r>
      <w:r w:rsidR="001332C7">
        <w:rPr>
          <w:b/>
          <w:sz w:val="28"/>
        </w:rPr>
        <w:t xml:space="preserve"> </w:t>
      </w:r>
      <w:r w:rsidR="001332C7" w:rsidRPr="001E4102">
        <w:rPr>
          <w:b/>
          <w:sz w:val="28"/>
        </w:rPr>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t>
      </w:r>
      <w:r w:rsidRPr="001E4102">
        <w:lastRenderedPageBreak/>
        <w:t>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62038FE2" w:rsidR="006154EC" w:rsidRPr="00497AB4" w:rsidRDefault="006154EC" w:rsidP="009C6F31">
      <w:pPr>
        <w:widowControl w:val="0"/>
        <w:spacing w:after="240"/>
        <w:jc w:val="both"/>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w:t>
      </w:r>
      <w:r w:rsidRPr="00BF53E7">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3DB3AFBD" w:rsidR="006154EC" w:rsidRPr="001E4102" w:rsidRDefault="006154EC" w:rsidP="009C6F31">
      <w:pPr>
        <w:widowControl w:val="0"/>
        <w:spacing w:after="240"/>
        <w:jc w:val="both"/>
      </w:pPr>
      <w:r w:rsidRPr="001E4102">
        <w:t xml:space="preserve">The Family and Medical Leave Act provides recovery for two years of lost wages and benefits if the defendant’s violation was non-willful; it extends the recovery of damages to a third year if the defendant’s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001332C7" w:rsidRPr="001332C7">
        <w:t>th</w:t>
      </w:r>
      <w:r w:rsidRPr="001E4102">
        <w:t xml:space="preserve"> Cir. 2005) (“the standard for </w:t>
      </w:r>
      <w:proofErr w:type="spellStart"/>
      <w:r w:rsidRPr="001E4102">
        <w:t>wilfulness</w:t>
      </w:r>
      <w:proofErr w:type="spellEnd"/>
      <w:r w:rsidRPr="001E4102">
        <w:t xml:space="preserve">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(A) for damages equal to</w:t>
      </w:r>
      <w:r w:rsidR="004071A0" w:rsidRPr="001E4102">
        <w:t>—</w:t>
      </w:r>
    </w:p>
    <w:p w14:paraId="04B13563" w14:textId="41FCE22A" w:rsidR="004071A0" w:rsidRPr="001E4102" w:rsidRDefault="006154EC" w:rsidP="004071A0">
      <w:pPr>
        <w:widowControl w:val="0"/>
        <w:spacing w:after="240"/>
        <w:ind w:left="2160"/>
        <w:jc w:val="both"/>
      </w:pPr>
      <w:r w:rsidRPr="001E4102">
        <w:t>(i) the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14:paraId="161BECDF" w14:textId="77777777" w:rsidR="004071A0" w:rsidRPr="001E4102" w:rsidRDefault="006154EC" w:rsidP="004071A0">
      <w:pPr>
        <w:widowControl w:val="0"/>
        <w:spacing w:after="240"/>
        <w:ind w:left="2160"/>
        <w:jc w:val="both"/>
      </w:pPr>
      <w:r w:rsidRPr="001E4102">
        <w:t>(ii) the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t xml:space="preserve">(iii) an additional amount as liquidated damages equal to the sum of the amount described in clause (i)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0"/>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8"/>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w:t>
      </w:r>
      <w:r w:rsidRPr="001E4102">
        <w:lastRenderedPageBreak/>
        <w:t>cost of providing care, up to a sum equal to 12 weeks (or 26 weeks, in a case involving leave under 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3169A8F2"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994 F. Supp. 288, 291 (M.D. Pa. 1998) (reasoning that “the statute itself by including ‘actual monetary compensation’ as a separate item of damage places a limited definition on ‘other compensation</w:t>
      </w:r>
      <w:r w:rsidR="00DF3239">
        <w:t>’ ”</w:t>
      </w:r>
      <w:r w:rsidRPr="001E4102">
        <w:t xml:space="preserve">;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281 F. Supp.</w:t>
      </w:r>
      <w:r w:rsidR="00FD46EB">
        <w:t xml:space="preserve"> </w:t>
      </w:r>
      <w:r w:rsidRPr="001E4102">
        <w:t>2d 250, 254 (D.D.C. 2003</w:t>
      </w:r>
      <w:proofErr w:type="gramStart"/>
      <w:r w:rsidRPr="001E4102">
        <w:t>) :</w:t>
      </w:r>
      <w:proofErr w:type="gramEnd"/>
      <w:r w:rsidRPr="001E4102">
        <w:t xml:space="preserve">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w:t>
      </w:r>
      <w:r w:rsidRPr="001E4102">
        <w:lastRenderedPageBreak/>
        <w:t xml:space="preserve">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1"/>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21E9F471" w:rsidR="006154EC" w:rsidRPr="001E4102" w:rsidRDefault="006154EC" w:rsidP="009C6F31">
      <w:pPr>
        <w:widowControl w:val="0"/>
        <w:spacing w:after="240"/>
        <w:jc w:val="both"/>
      </w:pPr>
      <w:r w:rsidRPr="001E4102">
        <w:tab/>
        <w:t xml:space="preserve">Punitive damages cannot be recovered under the FMLA. </w:t>
      </w:r>
      <w:proofErr w:type="spellStart"/>
      <w:r w:rsidRPr="001E4102">
        <w:rPr>
          <w:i/>
        </w:rPr>
        <w:t>Zawadowicz</w:t>
      </w:r>
      <w:proofErr w:type="spellEnd"/>
      <w:r w:rsidRPr="001E4102">
        <w:rPr>
          <w:i/>
        </w:rPr>
        <w:t xml:space="preserve"> v. CVS Corp</w:t>
      </w:r>
      <w:r w:rsidRPr="001E4102">
        <w:t>., 99 F. Supp.</w:t>
      </w:r>
      <w:r w:rsidR="00FD46EB">
        <w:t xml:space="preserve"> </w:t>
      </w:r>
      <w:r w:rsidRPr="001E4102">
        <w:t>2d 518, 534 (D.N.J. 2000)</w:t>
      </w:r>
      <w:r w:rsidRPr="001E4102">
        <w:rPr>
          <w:i/>
        </w:rPr>
        <w:t xml:space="preserve"> </w:t>
      </w:r>
      <w:r w:rsidRPr="001E4102">
        <w:t xml:space="preserve">(noting that nothing in the FMLA damages </w:t>
      </w:r>
      <w:proofErr w:type="gramStart"/>
      <w:r w:rsidRPr="001E4102">
        <w:t xml:space="preserve">provision,   </w:t>
      </w:r>
      <w:proofErr w:type="gramEnd"/>
      <w:r w:rsidRPr="001E4102">
        <w:t>29 U.S.C. § 2617, authorizes an award of punitive damages)</w:t>
      </w:r>
      <w:r w:rsidRPr="001E4102">
        <w:rPr>
          <w:i/>
        </w:rPr>
        <w:t xml:space="preserve">;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2753610E"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proofErr w:type="spellStart"/>
      <w:r w:rsidRPr="001E4102">
        <w:rPr>
          <w:i/>
        </w:rPr>
        <w:t>Zawadowicz</w:t>
      </w:r>
      <w:proofErr w:type="spellEnd"/>
      <w:r w:rsidRPr="001E4102">
        <w:rPr>
          <w:i/>
        </w:rPr>
        <w:t xml:space="preserve"> v. CVS Corp.</w:t>
      </w:r>
      <w:r w:rsidRPr="001E4102">
        <w:t>, 99 F. Supp.</w:t>
      </w:r>
      <w:r w:rsidR="00FD46EB">
        <w:t xml:space="preserve"> </w:t>
      </w:r>
      <w:r w:rsidRPr="001E4102">
        <w:t xml:space="preserve">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3D832A19"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001332C7" w:rsidRPr="001332C7">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Cianci v. Pettibone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2" w:name="1107-1278"/>
      <w:bookmarkStart w:id="3" w:name="a1107_1278"/>
      <w:bookmarkEnd w:id="2"/>
      <w:bookmarkEnd w:id="3"/>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 xml:space="preserve">Walker's attempted argument by analogy fails because of the critical difference in statutory language between [29 U.S.C.] Section 2617(a)(1) and the amended Section 1981a. In contrast to the latter, </w:t>
      </w:r>
      <w:r w:rsidR="00127A0C" w:rsidRPr="001E4102">
        <w:t>.</w:t>
      </w:r>
      <w:r w:rsidRPr="001E4102">
        <w:t xml:space="preserve">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BF2E748"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102 F. Supp.</w:t>
      </w:r>
      <w:r w:rsidR="00FD46EB">
        <w:t xml:space="preserve"> </w:t>
      </w:r>
      <w:r w:rsidRPr="001E4102">
        <w:t>2d 266, 269 (M</w:t>
      </w:r>
      <w:r w:rsidR="001332C7">
        <w:t>.D. Pa.</w:t>
      </w:r>
      <w:r w:rsidRPr="001E4102">
        <w:t xml:space="preserve"> 2000) (while plaintiff had a cause of action for interference, she suffered no wage or other monetary loss, therefore “she cannot obtain relief under the FMLA and her claim must be dismissed.”);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788 (</w:t>
      </w:r>
      <w:proofErr w:type="spellStart"/>
      <w:r w:rsidRPr="001E4102">
        <w:t>M.D.La</w:t>
      </w:r>
      <w:proofErr w:type="spellEnd"/>
      <w:r w:rsidRPr="001E4102">
        <w:t>. 2004) (“It is clear that nominal damages are not available under the FMLA because the statutory language of the FMLA specifically limits recovery to actual monetary losses.”).</w:t>
      </w:r>
    </w:p>
    <w:sectPr w:rsidR="006154EC" w:rsidRPr="00374CF1" w:rsidSect="00F20709">
      <w:headerReference w:type="default" r:id="rId23"/>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53467" w14:textId="77777777" w:rsidR="00E550AF" w:rsidRDefault="00E550AF">
      <w:r>
        <w:separator/>
      </w:r>
    </w:p>
  </w:endnote>
  <w:endnote w:type="continuationSeparator" w:id="0">
    <w:p w14:paraId="52CF3C3A" w14:textId="77777777" w:rsidR="00E550AF" w:rsidRDefault="00E550AF">
      <w:r>
        <w:continuationSeparator/>
      </w:r>
    </w:p>
  </w:endnote>
  <w:endnote w:type="continuationNotice" w:id="1">
    <w:p w14:paraId="6E0AC899" w14:textId="77777777" w:rsidR="00E550AF" w:rsidRDefault="00E5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1390" w14:textId="77777777" w:rsidR="001332C7" w:rsidRDefault="001332C7" w:rsidP="00B96E4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FDCC" w14:textId="3F707CA6" w:rsidR="001332C7" w:rsidRPr="00374CF1" w:rsidRDefault="001332C7">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sidR="00DF3239">
      <w:rPr>
        <w:rFonts w:ascii="Century Schoolbook" w:hAnsi="Century Schoolbook"/>
        <w:noProof/>
      </w:rPr>
      <w:t>21</w:t>
    </w:r>
    <w:r w:rsidRPr="00374CF1">
      <w:rPr>
        <w:rFonts w:ascii="Century Schoolbook" w:hAnsi="Century Schoolbook"/>
        <w:noProof/>
      </w:rPr>
      <w:fldChar w:fldCharType="end"/>
    </w:r>
  </w:p>
  <w:p w14:paraId="0D213A94" w14:textId="064F6841" w:rsidR="001332C7" w:rsidRPr="0072581A" w:rsidRDefault="001332C7" w:rsidP="00374CF1">
    <w:pPr>
      <w:widowControl w:val="0"/>
      <w:spacing w:line="0" w:lineRule="atLeast"/>
      <w:jc w:val="right"/>
      <w:rPr>
        <w:rFonts w:ascii="Century Schoolbook" w:hAnsi="Century Schoolbook"/>
        <w:i/>
      </w:rPr>
    </w:pPr>
    <w:r w:rsidRPr="0072581A">
      <w:rPr>
        <w:rFonts w:ascii="Century Schoolbook" w:hAnsi="Century Schoolbook"/>
        <w:i/>
      </w:rPr>
      <w:t xml:space="preserve">Last updated </w:t>
    </w:r>
    <w:r w:rsidR="000B3166">
      <w:rPr>
        <w:rFonts w:ascii="Century Schoolbook" w:hAnsi="Century Schoolbook"/>
        <w:i/>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9451A" w14:textId="77777777" w:rsidR="00E550AF" w:rsidRDefault="00E550AF">
      <w:r>
        <w:separator/>
      </w:r>
    </w:p>
  </w:footnote>
  <w:footnote w:type="continuationSeparator" w:id="0">
    <w:p w14:paraId="309E7024" w14:textId="77777777" w:rsidR="00E550AF" w:rsidRDefault="00E550AF">
      <w:r>
        <w:continuationSeparator/>
      </w:r>
    </w:p>
  </w:footnote>
  <w:footnote w:type="continuationNotice" w:id="1">
    <w:p w14:paraId="57E743E6" w14:textId="77777777" w:rsidR="00E550AF" w:rsidRDefault="00E550AF"/>
  </w:footnote>
  <w:footnote w:id="2">
    <w:p w14:paraId="70C10124" w14:textId="0867D07F" w:rsidR="001332C7" w:rsidRDefault="001332C7"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r>
        <w:rPr>
          <w:i/>
        </w:rPr>
        <w:t>Macfarlan v. Ivy Hill SNF, LLC</w:t>
      </w:r>
      <w:r>
        <w:t xml:space="preserve">, 675 F.3d 266, 271 (3d Cir. 2012) (quoting </w:t>
      </w:r>
      <w:r>
        <w:rPr>
          <w:i/>
        </w:rPr>
        <w:t>Rinehimer v. Cemcolift, Inc.</w:t>
      </w:r>
      <w:r>
        <w:t xml:space="preserve">, 292 F.3d 375, 384 (3d Cir. 2002)).  Thus, a plaintiff asserting a violation of Section 2614(a)(1) must “establish not only that he was not returned to an equivalent position but also that he was able to perform the essential functions of that position.”  </w:t>
      </w:r>
      <w:r>
        <w:rPr>
          <w:i/>
        </w:rPr>
        <w:t>Rinehimer</w:t>
      </w:r>
      <w:r>
        <w:t xml:space="preserve">, 292 F.3d at 384.  </w:t>
      </w:r>
      <w:r>
        <w:rPr>
          <w:i/>
          <w:iCs/>
        </w:rPr>
        <w:t xml:space="preserve">See also </w:t>
      </w:r>
      <w:r w:rsidRPr="002B773A">
        <w:rPr>
          <w:i/>
          <w:iCs/>
        </w:rPr>
        <w:t>Budhun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13B1FD5E" w:rsidR="001332C7" w:rsidRPr="00CF726C" w:rsidRDefault="001332C7"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spring 2016,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4">
    <w:p w14:paraId="16BBF1F9" w14:textId="480BFC48" w:rsidR="00742C50" w:rsidRDefault="00742C50">
      <w:pPr>
        <w:pStyle w:val="FootnoteText"/>
      </w:pPr>
      <w:r>
        <w:rPr>
          <w:rStyle w:val="FootnoteReference"/>
        </w:rPr>
        <w:footnoteRef/>
      </w:r>
      <w:r>
        <w:t xml:space="preserve"> </w:t>
      </w:r>
      <w:r w:rsidR="00424488" w:rsidRPr="00424488">
        <w:rPr>
          <w:i/>
          <w:iCs/>
        </w:rPr>
        <w:t>See</w:t>
      </w:r>
      <w:r w:rsidR="00424488" w:rsidRPr="00424488">
        <w:t xml:space="preserve"> the National Defense Authorization Act for Fiscal Year 2010, Pub. L. No. 111-84, October 28, 2009, 123 Stat 2190.</w:t>
      </w:r>
    </w:p>
  </w:footnote>
  <w:footnote w:id="5">
    <w:p w14:paraId="3755B578" w14:textId="77777777" w:rsidR="001332C7" w:rsidRDefault="001332C7"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6">
    <w:p w14:paraId="6E1F8BF1" w14:textId="77777777" w:rsidR="001332C7" w:rsidRDefault="001332C7"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7">
    <w:p w14:paraId="4B48841A" w14:textId="77777777" w:rsidR="001332C7" w:rsidRDefault="001332C7"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8">
    <w:p w14:paraId="63122320" w14:textId="77777777" w:rsidR="001332C7" w:rsidRPr="00587C7F" w:rsidRDefault="001332C7"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2612(e)(1) (notice where need “is foreseeable based on an expected birth or placement”); </w:t>
      </w:r>
      <w:r w:rsidRPr="00587C7F">
        <w:rPr>
          <w:i/>
          <w:szCs w:val="24"/>
        </w:rPr>
        <w:t>id.</w:t>
      </w:r>
      <w:r w:rsidRPr="00587C7F">
        <w:rPr>
          <w:szCs w:val="24"/>
        </w:rPr>
        <w:t xml:space="preserve"> § 2612(e)(2) (notice where need “is foreseeable based on planned medical treatment”); </w:t>
      </w:r>
      <w:r w:rsidRPr="00587C7F">
        <w:rPr>
          <w:i/>
          <w:szCs w:val="24"/>
        </w:rPr>
        <w:t>id.</w:t>
      </w:r>
      <w:r w:rsidRPr="00587C7F">
        <w:rPr>
          <w:szCs w:val="24"/>
        </w:rPr>
        <w:t xml:space="preserve"> § 2612(e)(3) (notice where need arises from exigency caused by specified person’s military service).</w:t>
      </w:r>
    </w:p>
  </w:footnote>
  <w:footnote w:id="9">
    <w:p w14:paraId="5BA6958B" w14:textId="77777777" w:rsidR="001332C7" w:rsidRPr="00DE3881" w:rsidRDefault="001332C7"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Ross v. Gilhuly</w:t>
      </w:r>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10">
    <w:p w14:paraId="3800B456" w14:textId="77777777" w:rsidR="001332C7" w:rsidRDefault="001332C7"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1">
    <w:p w14:paraId="37993774" w14:textId="0DF18027" w:rsidR="001332C7" w:rsidRDefault="001332C7">
      <w:pPr>
        <w:pStyle w:val="FootnoteText"/>
      </w:pPr>
      <w:r>
        <w:rPr>
          <w:rStyle w:val="FootnoteReference"/>
        </w:rPr>
        <w:footnoteRef/>
      </w:r>
      <w:r>
        <w:t xml:space="preserve"> </w:t>
      </w:r>
      <w:r w:rsidRPr="00AF52BE">
        <w:t xml:space="preserve">Where an employee complains solely of an employer’s </w:t>
      </w:r>
      <w:r w:rsidRPr="00AF52BE">
        <w:rPr>
          <w:i/>
        </w:rPr>
        <w:t>unsuccessful</w:t>
      </w:r>
      <w:r w:rsidRPr="00AF52BE">
        <w:t xml:space="preserve"> attempt to discourage the taking of FMLA leave, it appears that no FMLA interference claim arises.  See the Comment for a discussion of </w:t>
      </w:r>
      <w:r w:rsidRPr="00AF52BE">
        <w:rPr>
          <w:i/>
        </w:rPr>
        <w:t>Fraternal Order of Police v. City of Camden</w:t>
      </w:r>
      <w:r w:rsidRPr="00AF52BE">
        <w:t>, 842 F.3d 231, 245-46 (3d Cir. 2016).</w:t>
      </w:r>
    </w:p>
  </w:footnote>
  <w:footnote w:id="12">
    <w:p w14:paraId="5AFA46EF" w14:textId="77777777" w:rsidR="001332C7" w:rsidRPr="001D6709" w:rsidRDefault="001332C7"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r w:rsidRPr="001D6709">
        <w:rPr>
          <w:i/>
          <w:szCs w:val="24"/>
        </w:rPr>
        <w:t>Budhun v. Reading Hosp. &amp; Med. Ctr.</w:t>
      </w:r>
      <w:r w:rsidRPr="001D6709">
        <w:rPr>
          <w:szCs w:val="24"/>
        </w:rPr>
        <w:t>, 765 F.3d 245</w:t>
      </w:r>
      <w:r>
        <w:rPr>
          <w:szCs w:val="24"/>
        </w:rPr>
        <w:t>, 252</w:t>
      </w:r>
      <w:r w:rsidRPr="001D6709">
        <w:rPr>
          <w:szCs w:val="24"/>
        </w:rPr>
        <w:t xml:space="preserve"> (3d Cir. 2014) (alterations in original) (quoting </w:t>
      </w:r>
      <w:r w:rsidRPr="001D6709">
        <w:rPr>
          <w:i/>
          <w:szCs w:val="24"/>
        </w:rPr>
        <w:t>Callison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r w:rsidRPr="001D6709">
        <w:rPr>
          <w:i/>
          <w:szCs w:val="24"/>
        </w:rPr>
        <w:t>Callison</w:t>
      </w:r>
      <w:r w:rsidRPr="001D6709">
        <w:rPr>
          <w:szCs w:val="24"/>
        </w:rPr>
        <w:t xml:space="preserve"> formulation because in order to be entitled to benefits, an employee must be eligible for FMLA protections and leave, work for a covered employer, and provide sufficient notice.”  </w:t>
      </w:r>
      <w:r w:rsidRPr="001D6709">
        <w:rPr>
          <w:i/>
          <w:szCs w:val="24"/>
        </w:rPr>
        <w:t>Budhun</w:t>
      </w:r>
      <w:r w:rsidRPr="001D6709">
        <w:rPr>
          <w:szCs w:val="24"/>
        </w:rPr>
        <w:t xml:space="preserve">, </w:t>
      </w:r>
      <w:r>
        <w:rPr>
          <w:szCs w:val="24"/>
        </w:rPr>
        <w:t>765 F.3d at 252</w:t>
      </w:r>
      <w:r w:rsidRPr="001D6709">
        <w:rPr>
          <w:szCs w:val="24"/>
        </w:rPr>
        <w:t xml:space="preserve"> n.2.</w:t>
      </w:r>
    </w:p>
  </w:footnote>
  <w:footnote w:id="13">
    <w:p w14:paraId="051BB401" w14:textId="77777777" w:rsidR="001332C7" w:rsidRPr="003109FA" w:rsidRDefault="001332C7"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2612(e)(3).</w:t>
      </w:r>
    </w:p>
  </w:footnote>
  <w:footnote w:id="14">
    <w:p w14:paraId="1049FF1B" w14:textId="5DF2166E" w:rsidR="001332C7" w:rsidRDefault="001332C7">
      <w:pPr>
        <w:pStyle w:val="FootnoteText"/>
      </w:pPr>
      <w:r>
        <w:rPr>
          <w:rStyle w:val="FootnoteReference"/>
        </w:rPr>
        <w:footnoteRef/>
      </w:r>
      <w:r>
        <w:t xml:space="preserve"> </w:t>
      </w:r>
      <w:r w:rsidRPr="008E38A4">
        <w:t>See the Comment for discussion of the choice between the phrases “motivating factor” and “negative factor.”</w:t>
      </w:r>
    </w:p>
  </w:footnote>
  <w:footnote w:id="15">
    <w:p w14:paraId="0E130762" w14:textId="77777777" w:rsidR="001332C7" w:rsidRDefault="001332C7"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16">
    <w:p w14:paraId="0B0F00AA" w14:textId="77777777" w:rsidR="001332C7" w:rsidRDefault="001332C7"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7">
    <w:p w14:paraId="1D77ECEB" w14:textId="49B006DC" w:rsidR="001332C7" w:rsidRDefault="001332C7">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8">
    <w:p w14:paraId="5736DDCE" w14:textId="77777777" w:rsidR="001332C7" w:rsidRPr="00DA14F8" w:rsidRDefault="001332C7" w:rsidP="00DA14F8">
      <w:pPr>
        <w:pStyle w:val="FootnoteText"/>
        <w:rPr>
          <w:szCs w:val="24"/>
        </w:rPr>
      </w:pPr>
      <w:r w:rsidRPr="00DA14F8">
        <w:rPr>
          <w:rStyle w:val="FootnoteReference"/>
          <w:szCs w:val="24"/>
        </w:rPr>
        <w:footnoteRef/>
      </w:r>
      <w:r w:rsidRPr="00DA14F8">
        <w:rPr>
          <w:szCs w:val="24"/>
        </w:rPr>
        <w:t xml:space="preserve"> See Comment for a discussion of adverse employment actions under the FMLA.</w:t>
      </w:r>
    </w:p>
  </w:footnote>
  <w:footnote w:id="19">
    <w:p w14:paraId="6F8AD172" w14:textId="42335FB6" w:rsidR="001332C7" w:rsidRDefault="001332C7">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r>
        <w:t xml:space="preserve"> </w:t>
      </w:r>
      <w:r w:rsidRPr="00886DDB">
        <w:t>See the Comment for discussion of the applicability of the same-decision defense to FMLA retaliation-for-exercise claims.</w:t>
      </w:r>
    </w:p>
  </w:footnote>
  <w:footnote w:id="20">
    <w:p w14:paraId="710375F1" w14:textId="07A39FF5" w:rsidR="001332C7" w:rsidRPr="00F040CB" w:rsidRDefault="001332C7"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Pr="0082754B">
        <w:rPr>
          <w:szCs w:val="24"/>
        </w:rPr>
        <w:t xml:space="preserve">; </w:t>
      </w:r>
      <w:r w:rsidRPr="00753858">
        <w:rPr>
          <w:i/>
          <w:szCs w:val="24"/>
        </w:rPr>
        <w:t>Hansler v. Lehigh Valley Hosp. Network</w:t>
      </w:r>
      <w:r w:rsidRPr="00753858">
        <w:rPr>
          <w:szCs w:val="24"/>
        </w:rPr>
        <w:t>, 798 F.3d 149, 158</w:t>
      </w:r>
      <w:r>
        <w:rPr>
          <w:szCs w:val="24"/>
        </w:rPr>
        <w:t>-59</w:t>
      </w:r>
      <w:r w:rsidRPr="00753858">
        <w:rPr>
          <w:szCs w:val="24"/>
        </w:rPr>
        <w:t xml:space="preserve"> (3d Cir. 2015)</w:t>
      </w:r>
      <w:r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21">
    <w:p w14:paraId="08BEE3C7" w14:textId="3E24E149" w:rsidR="001332C7" w:rsidRDefault="001332C7">
      <w:pPr>
        <w:pStyle w:val="FootnoteText"/>
      </w:pPr>
      <w:r>
        <w:rPr>
          <w:rStyle w:val="FootnoteReference"/>
        </w:rPr>
        <w:footnoteRef/>
      </w:r>
      <w:r>
        <w:t xml:space="preserve"> </w:t>
      </w:r>
      <w:r w:rsidRPr="00CC5277">
        <w:t xml:space="preserve">Comment 9.1.1 explains: “The ADA explicitly relies on the enforcement tools and remedies described in 42 U.S.C. § 2000e-(5). </w:t>
      </w:r>
      <w:r w:rsidRPr="00CC5277">
        <w:rPr>
          <w:i/>
        </w:rPr>
        <w:t>See</w:t>
      </w:r>
      <w:r w:rsidRPr="00CC5277">
        <w:t xml:space="preserve"> 42 U.S.C. § 12117(a). Therefore, a plaintiff in a ‘mixed-motives’ case under the ADA is not entitled to damages if the defendant proves that the adverse employment action would have been made even if disability had not been a motivating factor.”</w:t>
      </w:r>
    </w:p>
  </w:footnote>
  <w:footnote w:id="22">
    <w:p w14:paraId="13E13448" w14:textId="77777777" w:rsidR="001332C7" w:rsidRDefault="001332C7"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2612(e)(3).</w:t>
      </w:r>
    </w:p>
  </w:footnote>
  <w:footnote w:id="23">
    <w:p w14:paraId="419F5C89" w14:textId="77777777" w:rsidR="001332C7" w:rsidRDefault="001332C7" w:rsidP="00B96E4A">
      <w:pPr>
        <w:pStyle w:val="FootnoteText"/>
        <w:jc w:val="both"/>
      </w:pPr>
      <w:r w:rsidRPr="00B96E4A">
        <w:footnoteRef/>
      </w:r>
      <w:r>
        <w:t xml:space="preserve"> If the court wishes to give a more detailed instruction on the term “serious health condition,” one is provided in 10.2.1.</w:t>
      </w:r>
    </w:p>
  </w:footnote>
  <w:footnote w:id="24">
    <w:p w14:paraId="19ADDE52" w14:textId="77777777" w:rsidR="001332C7" w:rsidRDefault="001332C7"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5">
    <w:p w14:paraId="02C89343" w14:textId="77777777" w:rsidR="001332C7" w:rsidRPr="00D52F15" w:rsidRDefault="001332C7" w:rsidP="002F4556">
      <w:pPr>
        <w:pStyle w:val="FootnoteText"/>
        <w:rPr>
          <w:szCs w:val="24"/>
        </w:rPr>
      </w:pPr>
      <w:r w:rsidRPr="00D52F15">
        <w:rPr>
          <w:rStyle w:val="FootnoteReference"/>
          <w:szCs w:val="24"/>
          <w:vertAlign w:val="baseline"/>
        </w:rPr>
        <w:footnoteRef/>
      </w:r>
      <w:r w:rsidRPr="00D52F15">
        <w:rPr>
          <w:szCs w:val="24"/>
        </w:rPr>
        <w:t xml:space="preserve"> See Comment for a discussion of adverse employment actions under the FMLA.</w:t>
      </w:r>
    </w:p>
  </w:footnote>
  <w:footnote w:id="26">
    <w:p w14:paraId="324BF83B" w14:textId="77777777" w:rsidR="001332C7" w:rsidRPr="0056209F" w:rsidRDefault="001332C7"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at 307-09 (applying the causation prong of this test); </w:t>
      </w:r>
      <w:r w:rsidRPr="00B57782">
        <w:rPr>
          <w:i/>
        </w:rPr>
        <w:t>Budhun</w:t>
      </w:r>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1332C7" w:rsidRDefault="001332C7" w:rsidP="00B57782">
      <w:pPr>
        <w:pStyle w:val="FootnoteText"/>
      </w:pPr>
    </w:p>
  </w:footnote>
  <w:footnote w:id="27">
    <w:p w14:paraId="78A3B4EB" w14:textId="72149CE5" w:rsidR="001332C7" w:rsidRPr="00815329" w:rsidRDefault="001332C7"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Ross v. Gilhuly</w:t>
      </w:r>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at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at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(quoting</w:t>
      </w:r>
      <w:r>
        <w:rPr>
          <w:szCs w:val="24"/>
        </w:rPr>
        <w:t xml:space="preserve"> </w:t>
      </w:r>
      <w:r w:rsidRPr="00A12E1A">
        <w:rPr>
          <w:i/>
          <w:szCs w:val="24"/>
        </w:rPr>
        <w:t>Williams v. Philadelphia Hous.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1332C7" w:rsidRPr="00815329" w:rsidRDefault="001332C7" w:rsidP="00F408ED">
      <w:pPr>
        <w:pStyle w:val="FootnoteText"/>
        <w:rPr>
          <w:i/>
          <w:szCs w:val="24"/>
        </w:rPr>
      </w:pPr>
    </w:p>
    <w:p w14:paraId="02A7DA50" w14:textId="77777777" w:rsidR="001332C7" w:rsidRPr="00DB06C3" w:rsidRDefault="001332C7" w:rsidP="00F408ED">
      <w:pPr>
        <w:pStyle w:val="FootnoteText"/>
        <w:spacing w:after="240"/>
        <w:rPr>
          <w:szCs w:val="24"/>
          <w:u w:val="single"/>
        </w:rPr>
      </w:pPr>
      <w:r w:rsidRPr="00815329">
        <w:rPr>
          <w:szCs w:val="24"/>
        </w:rPr>
        <w:t xml:space="preserve">In </w:t>
      </w:r>
      <w:r w:rsidRPr="00815329">
        <w:rPr>
          <w:i/>
          <w:szCs w:val="24"/>
        </w:rPr>
        <w:t>Lupyan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at</w:t>
      </w:r>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Lupyan’s employment legally ended upon expiration of her FMLA leave,” it held that “Lupyan’s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Lupyan’s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at 325</w:t>
      </w:r>
      <w:r w:rsidRPr="00815329">
        <w:rPr>
          <w:szCs w:val="24"/>
        </w:rPr>
        <w:t>.</w:t>
      </w:r>
    </w:p>
  </w:footnote>
  <w:footnote w:id="28">
    <w:p w14:paraId="3E36AE81" w14:textId="77777777" w:rsidR="001332C7" w:rsidRDefault="001332C7"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9">
    <w:p w14:paraId="620BD041" w14:textId="77777777" w:rsidR="001332C7" w:rsidRPr="00DB06C3" w:rsidRDefault="001332C7"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30">
    <w:p w14:paraId="52D165FA" w14:textId="364BCC68" w:rsidR="001332C7" w:rsidRDefault="001332C7" w:rsidP="00B96E4A">
      <w:pPr>
        <w:pStyle w:val="FootnoteText"/>
        <w:jc w:val="both"/>
      </w:pPr>
      <w:r w:rsidRPr="00B96E4A">
        <w:footnoteRef/>
      </w:r>
      <w:r>
        <w:t xml:space="preserve">  </w:t>
      </w:r>
      <w:r>
        <w:rPr>
          <w:i/>
        </w:rPr>
        <w:t>Kasten v. Saint-Gobain Performance Plastics Corp.</w:t>
      </w:r>
      <w:r>
        <w:t xml:space="preserve">, </w:t>
      </w:r>
      <w:r w:rsidR="00E17F6E">
        <w:t>563 U.S. 1</w:t>
      </w:r>
      <w:r>
        <w:t xml:space="preserve"> (2011), construed the Fair Labor Standards Act’s anti-retaliation provision and held that “the statutory term ‘filed any complaint’ includes oral as well as written complaints within its scope.”  </w:t>
      </w:r>
      <w:r>
        <w:rPr>
          <w:i/>
        </w:rPr>
        <w:t>Id.</w:t>
      </w:r>
      <w:r>
        <w:t xml:space="preserve"> at </w:t>
      </w:r>
      <w:r w:rsidR="0082610F">
        <w:t>4</w:t>
      </w:r>
      <w:r>
        <w:t>.  The Court did not state whether this holding has implications for the interpretation of the phrase “filed any charge” in the FMLA’s anti-retaliation provision.</w:t>
      </w:r>
    </w:p>
  </w:footnote>
  <w:footnote w:id="31">
    <w:p w14:paraId="637F8F47" w14:textId="77777777" w:rsidR="001332C7" w:rsidRPr="00200BDF" w:rsidRDefault="001332C7"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32">
    <w:p w14:paraId="34B7082E" w14:textId="4CF9E44E" w:rsidR="00ED1B0E" w:rsidRDefault="00ED1B0E" w:rsidP="00BF53E7">
      <w:pPr>
        <w:pStyle w:val="FootnoteText"/>
        <w:jc w:val="both"/>
      </w:pPr>
      <w:r>
        <w:rPr>
          <w:rStyle w:val="FootnoteReference"/>
        </w:rPr>
        <w:footnoteRef/>
      </w:r>
      <w:r>
        <w:t xml:space="preserve"> </w:t>
      </w:r>
      <w:r w:rsidRPr="00BF53E7">
        <w:rPr>
          <w:i/>
          <w:szCs w:val="24"/>
        </w:rPr>
        <w:t>Gillispie v. RegionalCare Hosp. Partners Inc</w:t>
      </w:r>
      <w:r w:rsidRPr="00BF53E7">
        <w:rPr>
          <w:szCs w:val="24"/>
        </w:rPr>
        <w:t xml:space="preserve">, 892 F.3d 585 (3d Cir. 2018), which interpreted the whistleblower-protection provision in the Emergency Medical Treatment and Active Labor Act (“EMTALA”), might shed some indirect light on the question whether protected conduct under the FMLA’s anti-retaliation provision includes communications made only to the employer and not to an outside authority.  In </w:t>
      </w:r>
      <w:r w:rsidRPr="00BF53E7">
        <w:rPr>
          <w:i/>
          <w:szCs w:val="24"/>
        </w:rPr>
        <w:t>Gillispie</w:t>
      </w:r>
      <w:r w:rsidRPr="00BF53E7">
        <w:rPr>
          <w:szCs w:val="24"/>
        </w:rPr>
        <w:t xml:space="preserve">, the court ruled that the EMTALA provision does extend to purely internal reports, both because the EMTALA provision contains no reference to “official” reports and because a contrary ruling would incentivize employers to fire employees before they had an opportunity to take their report to an outside authority.  </w:t>
      </w:r>
      <w:r w:rsidRPr="00BF53E7">
        <w:rPr>
          <w:i/>
          <w:szCs w:val="24"/>
        </w:rPr>
        <w:t>Gillispie</w:t>
      </w:r>
      <w:r w:rsidRPr="00BF53E7">
        <w:rPr>
          <w:szCs w:val="24"/>
        </w:rPr>
        <w:t>, 892 F.3d at 596-97.</w:t>
      </w:r>
    </w:p>
  </w:footnote>
  <w:footnote w:id="33">
    <w:p w14:paraId="5C7106FE" w14:textId="77777777" w:rsidR="001332C7" w:rsidRPr="002314DA" w:rsidRDefault="001332C7" w:rsidP="002314DA">
      <w:pPr>
        <w:pStyle w:val="FootnoteText"/>
        <w:rPr>
          <w:szCs w:val="24"/>
        </w:rPr>
      </w:pPr>
      <w:r w:rsidRPr="002314DA">
        <w:rPr>
          <w:rStyle w:val="FootnoteReference"/>
        </w:rPr>
        <w:footnoteRef/>
      </w:r>
      <w:r w:rsidRPr="002314DA">
        <w:t xml:space="preserve">  </w:t>
      </w:r>
      <w:r w:rsidRPr="002314DA">
        <w:rPr>
          <w:szCs w:val="24"/>
        </w:rPr>
        <w:t xml:space="preserve">Like 42 U.S.C. § 2000e–3(a), 29 U.S.C. §§ 2615(a)(2)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34">
    <w:p w14:paraId="4641FCDD" w14:textId="77777777" w:rsidR="001332C7" w:rsidRDefault="001332C7"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35">
    <w:p w14:paraId="10D454C1" w14:textId="77777777" w:rsidR="001332C7" w:rsidRPr="003E6682" w:rsidRDefault="001332C7"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36">
    <w:p w14:paraId="1785B148" w14:textId="77777777" w:rsidR="001332C7" w:rsidRDefault="001332C7" w:rsidP="00221591">
      <w:pPr>
        <w:pStyle w:val="FootnoteText"/>
      </w:pPr>
      <w:r>
        <w:rPr>
          <w:rStyle w:val="FootnoteReference"/>
        </w:rPr>
        <w:footnoteRef/>
      </w:r>
      <w:r>
        <w:t xml:space="preserve"> </w:t>
      </w:r>
      <w:r w:rsidRPr="00AF4E7B">
        <w:rPr>
          <w:i/>
          <w:szCs w:val="24"/>
        </w:rPr>
        <w:t>Cf. DiFiore v. CSL Behring, LLC</w:t>
      </w:r>
      <w:r w:rsidRPr="00AF4E7B">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AF4E7B">
        <w:rPr>
          <w:i/>
          <w:szCs w:val="24"/>
        </w:rPr>
        <w:t>Nassar</w:t>
      </w:r>
      <w:r w:rsidRPr="00AF4E7B">
        <w:rPr>
          <w:szCs w:val="24"/>
        </w:rPr>
        <w:t xml:space="preserve"> and </w:t>
      </w:r>
      <w:r w:rsidRPr="00AF4E7B">
        <w:rPr>
          <w:i/>
          <w:szCs w:val="24"/>
        </w:rPr>
        <w:t>Gross</w:t>
      </w:r>
      <w:r w:rsidRPr="00AF4E7B">
        <w:rPr>
          <w:szCs w:val="24"/>
        </w:rPr>
        <w:t>”).</w:t>
      </w:r>
    </w:p>
  </w:footnote>
  <w:footnote w:id="37">
    <w:p w14:paraId="2F721FE2" w14:textId="27445359" w:rsidR="001332C7" w:rsidRDefault="001332C7">
      <w:pPr>
        <w:pStyle w:val="FootnoteText"/>
      </w:pPr>
      <w:r>
        <w:rPr>
          <w:rStyle w:val="FootnoteReference"/>
        </w:rPr>
        <w:footnoteRef/>
      </w:r>
      <w:r>
        <w:t xml:space="preserve"> </w:t>
      </w:r>
      <w:r w:rsidRPr="00534EA1">
        <w:rPr>
          <w:i/>
        </w:rPr>
        <w:t>See Bonkowski</w:t>
      </w:r>
      <w:r w:rsidRPr="00534EA1">
        <w:t>, 787 F.3d at 203 (holding the meaning of “overnight stay” was a question of law for the court, that it is the court’s “obligation to interpret the DOL regulation,” and that “[i]t is then the jury’s responsibility to dispose of any genuine issues of material fact on the basis of judicial instructions explaining the meaning of” the regulation).</w:t>
      </w:r>
    </w:p>
  </w:footnote>
  <w:footnote w:id="38">
    <w:p w14:paraId="6C8E8A57" w14:textId="77777777" w:rsidR="001332C7" w:rsidRDefault="001332C7" w:rsidP="00B96E4A">
      <w:pPr>
        <w:pStyle w:val="FootnoteText"/>
        <w:jc w:val="both"/>
      </w:pPr>
      <w:r w:rsidRPr="0031478A">
        <w:rPr>
          <w:vertAlign w:val="superscript"/>
        </w:rPr>
        <w:footnoteRef/>
      </w:r>
      <w:r w:rsidRPr="0031478A">
        <w:rPr>
          <w:vertAlign w:val="superscript"/>
        </w:rPr>
        <w:t xml:space="preserve"> </w:t>
      </w:r>
      <w:r>
        <w:t xml:space="preserve"> N.B.: In cases involving servicemember family leave under 29 U.S.C. § 2612(a)(3),</w:t>
      </w:r>
    </w:p>
    <w:p w14:paraId="335E2690" w14:textId="77777777" w:rsidR="001332C7" w:rsidRDefault="001332C7" w:rsidP="00B96E4A">
      <w:pPr>
        <w:widowControl w:val="0"/>
        <w:jc w:val="both"/>
      </w:pPr>
      <w:r>
        <w:t>the relevant period is 26 weeks rather than 12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3F00" w14:textId="77777777" w:rsidR="001332C7" w:rsidRDefault="001332C7" w:rsidP="00B96E4A">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195E" w14:textId="56062B3B"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1332C7" w:rsidRDefault="001332C7" w:rsidP="0072581A">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6B05" w14:textId="5059FBF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1332C7" w:rsidRDefault="001332C7" w:rsidP="0072581A">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E9C4" w14:textId="1F76C5C4"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1332C7" w:rsidRDefault="001332C7" w:rsidP="0072581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E739" w14:textId="3E9189B3"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1332C7" w:rsidRDefault="001332C7" w:rsidP="0072581A">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DAE1" w14:textId="3A5CEFD3"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1332C7" w:rsidRDefault="001332C7" w:rsidP="0072581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7064" w14:textId="1E0121B9"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1332C7" w:rsidRDefault="001332C7" w:rsidP="0072581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4A57" w14:textId="77777777" w:rsidR="001332C7" w:rsidRDefault="001332C7" w:rsidP="0072581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8E58" w14:textId="7777777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1332C7" w:rsidRDefault="001332C7" w:rsidP="0072581A">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433" w14:textId="31DDF4AF"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1332C7" w:rsidRDefault="001332C7" w:rsidP="0072581A">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50FA" w14:textId="7FD6C411"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1332C7" w:rsidRDefault="001332C7" w:rsidP="0072581A">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AD1C" w14:textId="579817A8"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1332C7" w:rsidRDefault="001332C7" w:rsidP="0072581A">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9718" w14:textId="24D71209"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1.4</w:t>
    </w:r>
    <w:r w:rsidRPr="0072581A">
      <w:rPr>
        <w:rFonts w:ascii="Century Schoolbook" w:hAnsi="Century Schoolbook"/>
        <w:b/>
      </w:rPr>
      <w:t xml:space="preserve">   </w:t>
    </w:r>
    <w:r>
      <w:rPr>
        <w:rFonts w:ascii="Century Schoolbook" w:hAnsi="Century Schoolbook"/>
        <w:b/>
      </w:rPr>
      <w:t>Retaliation for Opposing Actions in Violation of FMLA</w:t>
    </w:r>
  </w:p>
  <w:p w14:paraId="659250B4" w14:textId="77777777" w:rsidR="001332C7" w:rsidRDefault="001332C7" w:rsidP="0072581A">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A95A" w14:textId="7777777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1332C7" w:rsidRDefault="001332C7" w:rsidP="0072581A">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E8AE" w14:textId="7777777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1332C7" w:rsidRDefault="001332C7"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C3"/>
    <w:rsid w:val="00021735"/>
    <w:rsid w:val="00024B99"/>
    <w:rsid w:val="00025B28"/>
    <w:rsid w:val="00027BA1"/>
    <w:rsid w:val="000313E3"/>
    <w:rsid w:val="00035F03"/>
    <w:rsid w:val="00042664"/>
    <w:rsid w:val="000517FB"/>
    <w:rsid w:val="000540EA"/>
    <w:rsid w:val="00055921"/>
    <w:rsid w:val="00067FBE"/>
    <w:rsid w:val="00080947"/>
    <w:rsid w:val="000904AF"/>
    <w:rsid w:val="00090A79"/>
    <w:rsid w:val="0009381B"/>
    <w:rsid w:val="000964AE"/>
    <w:rsid w:val="00096EC5"/>
    <w:rsid w:val="000A311E"/>
    <w:rsid w:val="000B3166"/>
    <w:rsid w:val="000B34D8"/>
    <w:rsid w:val="001002EF"/>
    <w:rsid w:val="00100E89"/>
    <w:rsid w:val="00102C5C"/>
    <w:rsid w:val="001069C9"/>
    <w:rsid w:val="0011288F"/>
    <w:rsid w:val="00112A75"/>
    <w:rsid w:val="001174B4"/>
    <w:rsid w:val="00121FBF"/>
    <w:rsid w:val="00124217"/>
    <w:rsid w:val="00127A0C"/>
    <w:rsid w:val="001332C7"/>
    <w:rsid w:val="00145C68"/>
    <w:rsid w:val="0014710D"/>
    <w:rsid w:val="001475DF"/>
    <w:rsid w:val="00152994"/>
    <w:rsid w:val="00155C00"/>
    <w:rsid w:val="00157F9F"/>
    <w:rsid w:val="00172D83"/>
    <w:rsid w:val="001763FE"/>
    <w:rsid w:val="0018272D"/>
    <w:rsid w:val="00190614"/>
    <w:rsid w:val="00193AB4"/>
    <w:rsid w:val="00196086"/>
    <w:rsid w:val="001D3D12"/>
    <w:rsid w:val="001D5FA8"/>
    <w:rsid w:val="001D6709"/>
    <w:rsid w:val="001E354A"/>
    <w:rsid w:val="001E3BE2"/>
    <w:rsid w:val="001E4102"/>
    <w:rsid w:val="001F5315"/>
    <w:rsid w:val="001F5A69"/>
    <w:rsid w:val="002004EC"/>
    <w:rsid w:val="00200BDF"/>
    <w:rsid w:val="00203093"/>
    <w:rsid w:val="002054B9"/>
    <w:rsid w:val="00221591"/>
    <w:rsid w:val="002238D2"/>
    <w:rsid w:val="00224DBA"/>
    <w:rsid w:val="002314DA"/>
    <w:rsid w:val="00231A7A"/>
    <w:rsid w:val="00232354"/>
    <w:rsid w:val="002374DB"/>
    <w:rsid w:val="002460E9"/>
    <w:rsid w:val="0025251F"/>
    <w:rsid w:val="00252BF2"/>
    <w:rsid w:val="00252ECF"/>
    <w:rsid w:val="00252FC3"/>
    <w:rsid w:val="002539DF"/>
    <w:rsid w:val="00263490"/>
    <w:rsid w:val="00263C2B"/>
    <w:rsid w:val="0027128C"/>
    <w:rsid w:val="00272957"/>
    <w:rsid w:val="00274824"/>
    <w:rsid w:val="00277457"/>
    <w:rsid w:val="00281F02"/>
    <w:rsid w:val="002969FE"/>
    <w:rsid w:val="002A31D5"/>
    <w:rsid w:val="002A6BBC"/>
    <w:rsid w:val="002B773A"/>
    <w:rsid w:val="002B78F6"/>
    <w:rsid w:val="002C107A"/>
    <w:rsid w:val="002C64CB"/>
    <w:rsid w:val="002D4596"/>
    <w:rsid w:val="002D7FD3"/>
    <w:rsid w:val="002E4CB3"/>
    <w:rsid w:val="002F2BFC"/>
    <w:rsid w:val="002F4411"/>
    <w:rsid w:val="002F4556"/>
    <w:rsid w:val="00301969"/>
    <w:rsid w:val="003109FA"/>
    <w:rsid w:val="00311C3E"/>
    <w:rsid w:val="0031478A"/>
    <w:rsid w:val="003174D3"/>
    <w:rsid w:val="00330C59"/>
    <w:rsid w:val="0034624F"/>
    <w:rsid w:val="00357B3C"/>
    <w:rsid w:val="00362492"/>
    <w:rsid w:val="003661E5"/>
    <w:rsid w:val="00371FEC"/>
    <w:rsid w:val="00372EFB"/>
    <w:rsid w:val="00373007"/>
    <w:rsid w:val="00373A0F"/>
    <w:rsid w:val="00374CF1"/>
    <w:rsid w:val="003814E7"/>
    <w:rsid w:val="0039202B"/>
    <w:rsid w:val="003B1D2F"/>
    <w:rsid w:val="003B3FB9"/>
    <w:rsid w:val="003B5FFA"/>
    <w:rsid w:val="003B6E32"/>
    <w:rsid w:val="003D2930"/>
    <w:rsid w:val="003E6682"/>
    <w:rsid w:val="003F2443"/>
    <w:rsid w:val="003F4918"/>
    <w:rsid w:val="003F7FF8"/>
    <w:rsid w:val="004018B6"/>
    <w:rsid w:val="00403A9C"/>
    <w:rsid w:val="004071A0"/>
    <w:rsid w:val="00407728"/>
    <w:rsid w:val="00424488"/>
    <w:rsid w:val="0042544D"/>
    <w:rsid w:val="00430F9F"/>
    <w:rsid w:val="00436FD9"/>
    <w:rsid w:val="00442E56"/>
    <w:rsid w:val="0044713B"/>
    <w:rsid w:val="00455D16"/>
    <w:rsid w:val="00456D9D"/>
    <w:rsid w:val="004602A2"/>
    <w:rsid w:val="004633B0"/>
    <w:rsid w:val="00463A3A"/>
    <w:rsid w:val="00464C9A"/>
    <w:rsid w:val="00475D22"/>
    <w:rsid w:val="004774F3"/>
    <w:rsid w:val="004842E9"/>
    <w:rsid w:val="004844C8"/>
    <w:rsid w:val="00491502"/>
    <w:rsid w:val="00492AED"/>
    <w:rsid w:val="00497AB4"/>
    <w:rsid w:val="004A1116"/>
    <w:rsid w:val="004B0F56"/>
    <w:rsid w:val="004C497E"/>
    <w:rsid w:val="004C5CB2"/>
    <w:rsid w:val="004D1880"/>
    <w:rsid w:val="004D41AF"/>
    <w:rsid w:val="004F1FE7"/>
    <w:rsid w:val="004F7A1B"/>
    <w:rsid w:val="0050196F"/>
    <w:rsid w:val="00501ECB"/>
    <w:rsid w:val="00504C7B"/>
    <w:rsid w:val="005210ED"/>
    <w:rsid w:val="0052239D"/>
    <w:rsid w:val="00522AE2"/>
    <w:rsid w:val="00523FFE"/>
    <w:rsid w:val="0053455E"/>
    <w:rsid w:val="00534EA1"/>
    <w:rsid w:val="00536E3F"/>
    <w:rsid w:val="005431F9"/>
    <w:rsid w:val="00546121"/>
    <w:rsid w:val="00551304"/>
    <w:rsid w:val="00554D59"/>
    <w:rsid w:val="00557504"/>
    <w:rsid w:val="00560340"/>
    <w:rsid w:val="00560A48"/>
    <w:rsid w:val="0056264D"/>
    <w:rsid w:val="0056439E"/>
    <w:rsid w:val="0056526E"/>
    <w:rsid w:val="00570E59"/>
    <w:rsid w:val="00575583"/>
    <w:rsid w:val="0057796D"/>
    <w:rsid w:val="00587C7F"/>
    <w:rsid w:val="005B0EAB"/>
    <w:rsid w:val="005B13E9"/>
    <w:rsid w:val="005B204D"/>
    <w:rsid w:val="005B4608"/>
    <w:rsid w:val="005C1C73"/>
    <w:rsid w:val="005C2882"/>
    <w:rsid w:val="005E3FC4"/>
    <w:rsid w:val="00601BBE"/>
    <w:rsid w:val="00613CDE"/>
    <w:rsid w:val="006154EC"/>
    <w:rsid w:val="00617040"/>
    <w:rsid w:val="00621BB0"/>
    <w:rsid w:val="0063585B"/>
    <w:rsid w:val="0063714F"/>
    <w:rsid w:val="006373E2"/>
    <w:rsid w:val="00637F36"/>
    <w:rsid w:val="006474C6"/>
    <w:rsid w:val="0065181F"/>
    <w:rsid w:val="006532CE"/>
    <w:rsid w:val="006541C8"/>
    <w:rsid w:val="00655EAA"/>
    <w:rsid w:val="00657B2B"/>
    <w:rsid w:val="006701D2"/>
    <w:rsid w:val="0068572E"/>
    <w:rsid w:val="00691654"/>
    <w:rsid w:val="006959FD"/>
    <w:rsid w:val="006975A5"/>
    <w:rsid w:val="006A230F"/>
    <w:rsid w:val="006A6B32"/>
    <w:rsid w:val="006B3E70"/>
    <w:rsid w:val="006B72E4"/>
    <w:rsid w:val="006C3BE2"/>
    <w:rsid w:val="006C7F28"/>
    <w:rsid w:val="006D23D1"/>
    <w:rsid w:val="006E549A"/>
    <w:rsid w:val="006E54B2"/>
    <w:rsid w:val="006E5693"/>
    <w:rsid w:val="006E7475"/>
    <w:rsid w:val="00705E13"/>
    <w:rsid w:val="00705E77"/>
    <w:rsid w:val="00721272"/>
    <w:rsid w:val="0072581A"/>
    <w:rsid w:val="00732B6A"/>
    <w:rsid w:val="0073318A"/>
    <w:rsid w:val="007343A6"/>
    <w:rsid w:val="0073519A"/>
    <w:rsid w:val="00742C50"/>
    <w:rsid w:val="0074393B"/>
    <w:rsid w:val="007511AD"/>
    <w:rsid w:val="00753858"/>
    <w:rsid w:val="00763D99"/>
    <w:rsid w:val="0077112C"/>
    <w:rsid w:val="007A1433"/>
    <w:rsid w:val="007A5C8E"/>
    <w:rsid w:val="007C56C6"/>
    <w:rsid w:val="007D1CEF"/>
    <w:rsid w:val="007D2A09"/>
    <w:rsid w:val="007D4393"/>
    <w:rsid w:val="007E35AD"/>
    <w:rsid w:val="007E4052"/>
    <w:rsid w:val="007F32F8"/>
    <w:rsid w:val="007F37A4"/>
    <w:rsid w:val="007F443A"/>
    <w:rsid w:val="007F659A"/>
    <w:rsid w:val="007F6C30"/>
    <w:rsid w:val="007F7FD2"/>
    <w:rsid w:val="008061F6"/>
    <w:rsid w:val="00811456"/>
    <w:rsid w:val="00814C89"/>
    <w:rsid w:val="00815329"/>
    <w:rsid w:val="00820F46"/>
    <w:rsid w:val="008226F0"/>
    <w:rsid w:val="00824AA2"/>
    <w:rsid w:val="00825382"/>
    <w:rsid w:val="0082610F"/>
    <w:rsid w:val="0082754B"/>
    <w:rsid w:val="00841CB5"/>
    <w:rsid w:val="0085022D"/>
    <w:rsid w:val="008528E5"/>
    <w:rsid w:val="0085637F"/>
    <w:rsid w:val="0086723D"/>
    <w:rsid w:val="008676C9"/>
    <w:rsid w:val="008735E5"/>
    <w:rsid w:val="00877B90"/>
    <w:rsid w:val="008826C5"/>
    <w:rsid w:val="00886DDB"/>
    <w:rsid w:val="00886F5F"/>
    <w:rsid w:val="00896394"/>
    <w:rsid w:val="008A1B05"/>
    <w:rsid w:val="008A2553"/>
    <w:rsid w:val="008B494B"/>
    <w:rsid w:val="008C1A5D"/>
    <w:rsid w:val="008D2D7D"/>
    <w:rsid w:val="008D3F01"/>
    <w:rsid w:val="008D628F"/>
    <w:rsid w:val="008E38A4"/>
    <w:rsid w:val="008E66DA"/>
    <w:rsid w:val="008E7FCC"/>
    <w:rsid w:val="00903572"/>
    <w:rsid w:val="00915A6F"/>
    <w:rsid w:val="00922BEE"/>
    <w:rsid w:val="009252AA"/>
    <w:rsid w:val="009274A6"/>
    <w:rsid w:val="00931970"/>
    <w:rsid w:val="00931AFD"/>
    <w:rsid w:val="00935810"/>
    <w:rsid w:val="00937360"/>
    <w:rsid w:val="00945640"/>
    <w:rsid w:val="009458D9"/>
    <w:rsid w:val="00953AD7"/>
    <w:rsid w:val="00961F7C"/>
    <w:rsid w:val="009706BB"/>
    <w:rsid w:val="009723B8"/>
    <w:rsid w:val="009834BF"/>
    <w:rsid w:val="00987C84"/>
    <w:rsid w:val="009A300E"/>
    <w:rsid w:val="009A495B"/>
    <w:rsid w:val="009B1E6D"/>
    <w:rsid w:val="009B27ED"/>
    <w:rsid w:val="009B7D24"/>
    <w:rsid w:val="009C0961"/>
    <w:rsid w:val="009C5F53"/>
    <w:rsid w:val="009C6F31"/>
    <w:rsid w:val="009D3B3B"/>
    <w:rsid w:val="009E4352"/>
    <w:rsid w:val="009E495E"/>
    <w:rsid w:val="00A029C4"/>
    <w:rsid w:val="00A12E1A"/>
    <w:rsid w:val="00A14752"/>
    <w:rsid w:val="00A210BE"/>
    <w:rsid w:val="00A32361"/>
    <w:rsid w:val="00A33A41"/>
    <w:rsid w:val="00A34B2D"/>
    <w:rsid w:val="00A364B8"/>
    <w:rsid w:val="00A40235"/>
    <w:rsid w:val="00A420A9"/>
    <w:rsid w:val="00A42A76"/>
    <w:rsid w:val="00A55ED6"/>
    <w:rsid w:val="00A60DEB"/>
    <w:rsid w:val="00A72B8B"/>
    <w:rsid w:val="00A7402E"/>
    <w:rsid w:val="00A828F5"/>
    <w:rsid w:val="00A8601C"/>
    <w:rsid w:val="00AA0D90"/>
    <w:rsid w:val="00AA2BAD"/>
    <w:rsid w:val="00AA751C"/>
    <w:rsid w:val="00AB03C3"/>
    <w:rsid w:val="00AB709B"/>
    <w:rsid w:val="00AB748C"/>
    <w:rsid w:val="00AC0E05"/>
    <w:rsid w:val="00AC0FFC"/>
    <w:rsid w:val="00AC514B"/>
    <w:rsid w:val="00AD32E1"/>
    <w:rsid w:val="00AD6B21"/>
    <w:rsid w:val="00AD7A87"/>
    <w:rsid w:val="00AE0135"/>
    <w:rsid w:val="00AE5E84"/>
    <w:rsid w:val="00AF4E7B"/>
    <w:rsid w:val="00AF52BE"/>
    <w:rsid w:val="00B01AE0"/>
    <w:rsid w:val="00B01F99"/>
    <w:rsid w:val="00B0638C"/>
    <w:rsid w:val="00B12616"/>
    <w:rsid w:val="00B15813"/>
    <w:rsid w:val="00B232CB"/>
    <w:rsid w:val="00B362EB"/>
    <w:rsid w:val="00B43377"/>
    <w:rsid w:val="00B4350F"/>
    <w:rsid w:val="00B43793"/>
    <w:rsid w:val="00B4511C"/>
    <w:rsid w:val="00B54049"/>
    <w:rsid w:val="00B57782"/>
    <w:rsid w:val="00B76BE4"/>
    <w:rsid w:val="00B80F83"/>
    <w:rsid w:val="00B84500"/>
    <w:rsid w:val="00B96E4A"/>
    <w:rsid w:val="00BB31E8"/>
    <w:rsid w:val="00BC1A8E"/>
    <w:rsid w:val="00BC4EF0"/>
    <w:rsid w:val="00BD2467"/>
    <w:rsid w:val="00BD4B1F"/>
    <w:rsid w:val="00BE7484"/>
    <w:rsid w:val="00BF0138"/>
    <w:rsid w:val="00BF4724"/>
    <w:rsid w:val="00BF53E7"/>
    <w:rsid w:val="00C0051B"/>
    <w:rsid w:val="00C1528E"/>
    <w:rsid w:val="00C17857"/>
    <w:rsid w:val="00C34BD3"/>
    <w:rsid w:val="00C35873"/>
    <w:rsid w:val="00C36A1D"/>
    <w:rsid w:val="00C377A0"/>
    <w:rsid w:val="00C51829"/>
    <w:rsid w:val="00C5365C"/>
    <w:rsid w:val="00C57889"/>
    <w:rsid w:val="00C605F0"/>
    <w:rsid w:val="00C61BE6"/>
    <w:rsid w:val="00C9001F"/>
    <w:rsid w:val="00C940EA"/>
    <w:rsid w:val="00CA3155"/>
    <w:rsid w:val="00CA31F9"/>
    <w:rsid w:val="00CB27AE"/>
    <w:rsid w:val="00CC5277"/>
    <w:rsid w:val="00CD13C1"/>
    <w:rsid w:val="00CD1ABC"/>
    <w:rsid w:val="00CD21E8"/>
    <w:rsid w:val="00CD3164"/>
    <w:rsid w:val="00CD55AD"/>
    <w:rsid w:val="00CE01D4"/>
    <w:rsid w:val="00CF726C"/>
    <w:rsid w:val="00D03DF7"/>
    <w:rsid w:val="00D0678D"/>
    <w:rsid w:val="00D118E8"/>
    <w:rsid w:val="00D11972"/>
    <w:rsid w:val="00D131DF"/>
    <w:rsid w:val="00D15378"/>
    <w:rsid w:val="00D17EC2"/>
    <w:rsid w:val="00D3733D"/>
    <w:rsid w:val="00D43DA0"/>
    <w:rsid w:val="00D4429A"/>
    <w:rsid w:val="00D44404"/>
    <w:rsid w:val="00D4741A"/>
    <w:rsid w:val="00D52F15"/>
    <w:rsid w:val="00D67362"/>
    <w:rsid w:val="00D75953"/>
    <w:rsid w:val="00D7787F"/>
    <w:rsid w:val="00D81477"/>
    <w:rsid w:val="00D876C6"/>
    <w:rsid w:val="00D9701E"/>
    <w:rsid w:val="00DA0347"/>
    <w:rsid w:val="00DA07E9"/>
    <w:rsid w:val="00DA14F8"/>
    <w:rsid w:val="00DD3A39"/>
    <w:rsid w:val="00DE3881"/>
    <w:rsid w:val="00DE5F54"/>
    <w:rsid w:val="00DE616B"/>
    <w:rsid w:val="00DF1C14"/>
    <w:rsid w:val="00DF3239"/>
    <w:rsid w:val="00DF5020"/>
    <w:rsid w:val="00E00BC7"/>
    <w:rsid w:val="00E01AA2"/>
    <w:rsid w:val="00E17F6E"/>
    <w:rsid w:val="00E20BBF"/>
    <w:rsid w:val="00E26200"/>
    <w:rsid w:val="00E26B2E"/>
    <w:rsid w:val="00E27774"/>
    <w:rsid w:val="00E3188C"/>
    <w:rsid w:val="00E31D28"/>
    <w:rsid w:val="00E365D8"/>
    <w:rsid w:val="00E4276F"/>
    <w:rsid w:val="00E5121F"/>
    <w:rsid w:val="00E53A12"/>
    <w:rsid w:val="00E550AF"/>
    <w:rsid w:val="00E57128"/>
    <w:rsid w:val="00E610A4"/>
    <w:rsid w:val="00E611F4"/>
    <w:rsid w:val="00E62BEC"/>
    <w:rsid w:val="00E6348F"/>
    <w:rsid w:val="00E644B0"/>
    <w:rsid w:val="00E8599D"/>
    <w:rsid w:val="00E93443"/>
    <w:rsid w:val="00E948DB"/>
    <w:rsid w:val="00E949F2"/>
    <w:rsid w:val="00E95C42"/>
    <w:rsid w:val="00E96E9E"/>
    <w:rsid w:val="00E976ED"/>
    <w:rsid w:val="00EA0D74"/>
    <w:rsid w:val="00EB51E8"/>
    <w:rsid w:val="00EC59F9"/>
    <w:rsid w:val="00EC6CF7"/>
    <w:rsid w:val="00ED1B0E"/>
    <w:rsid w:val="00ED1BAE"/>
    <w:rsid w:val="00EE618D"/>
    <w:rsid w:val="00EF1766"/>
    <w:rsid w:val="00EF42E4"/>
    <w:rsid w:val="00F040CB"/>
    <w:rsid w:val="00F04D1D"/>
    <w:rsid w:val="00F05A89"/>
    <w:rsid w:val="00F10FF7"/>
    <w:rsid w:val="00F20709"/>
    <w:rsid w:val="00F215C6"/>
    <w:rsid w:val="00F2194B"/>
    <w:rsid w:val="00F27D8C"/>
    <w:rsid w:val="00F30FE0"/>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D094C"/>
    <w:rsid w:val="00FD46EB"/>
    <w:rsid w:val="00FE6A36"/>
    <w:rsid w:val="00FF3819"/>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D653-3D52-4B31-9848-0CFFAF31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21296</Words>
  <Characters>121391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2019-08-19T13:44:00Z</dcterms:created>
  <dcterms:modified xsi:type="dcterms:W3CDTF">2019-08-19T13:44:00Z</dcterms:modified>
</cp:coreProperties>
</file>