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B" w:rsidRDefault="00CE475B" w:rsidP="005D448A">
      <w:pPr>
        <w:tabs>
          <w:tab w:val="center" w:pos="4680"/>
        </w:tabs>
        <w:jc w:val="both"/>
      </w:pPr>
      <w:bookmarkStart w:id="0" w:name="_GoBack"/>
      <w:bookmarkEnd w:id="0"/>
      <w:r>
        <w:rPr>
          <w:b/>
          <w:sz w:val="28"/>
        </w:rPr>
        <w:tab/>
        <w:t>Instructions Regarding Section 1983 Employment Claims</w:t>
      </w:r>
    </w:p>
    <w:p w:rsidR="00E54E59" w:rsidRDefault="00E54E59" w:rsidP="005D448A">
      <w:pPr>
        <w:jc w:val="both"/>
        <w:sectPr w:rsidR="00E54E59" w:rsidSect="005D448A">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p>
    <w:p w:rsidR="00CE475B" w:rsidRDefault="00CE475B" w:rsidP="005D448A">
      <w:pPr>
        <w:jc w:val="both"/>
      </w:pPr>
    </w:p>
    <w:p w:rsidR="00CE475B" w:rsidRDefault="00CE475B" w:rsidP="005D448A">
      <w:pPr>
        <w:jc w:val="both"/>
        <w:rPr>
          <w:b/>
          <w:sz w:val="28"/>
        </w:rPr>
      </w:pPr>
    </w:p>
    <w:p w:rsidR="00CE475B" w:rsidRDefault="00CE475B" w:rsidP="005D448A">
      <w:pPr>
        <w:tabs>
          <w:tab w:val="center" w:pos="4680"/>
        </w:tabs>
        <w:jc w:val="both"/>
      </w:pPr>
      <w:r>
        <w:rPr>
          <w:b/>
          <w:sz w:val="28"/>
        </w:rPr>
        <w:tab/>
        <w:t>Numbering of Section 1983 Employment Instructions</w:t>
      </w:r>
    </w:p>
    <w:p w:rsidR="00CE475B" w:rsidRDefault="00CE475B" w:rsidP="005D448A">
      <w:pPr>
        <w:jc w:val="both"/>
      </w:pPr>
      <w:r>
        <w:tab/>
      </w:r>
      <w:r>
        <w:tab/>
      </w:r>
      <w:r>
        <w:tab/>
      </w:r>
      <w:r>
        <w:tab/>
      </w:r>
      <w:r>
        <w:tab/>
      </w:r>
      <w:r>
        <w:tab/>
      </w:r>
    </w:p>
    <w:p w:rsidR="00CE475B" w:rsidRDefault="00CE475B" w:rsidP="005D448A">
      <w:pPr>
        <w:ind w:left="720" w:hanging="720"/>
        <w:jc w:val="both"/>
      </w:pPr>
      <w:r>
        <w:t>7.0</w:t>
      </w:r>
      <w:r>
        <w:tab/>
        <w:t>Section 1983 Employment Discrimination</w:t>
      </w:r>
    </w:p>
    <w:p w:rsidR="00CE475B" w:rsidRDefault="00CE475B" w:rsidP="005D448A">
      <w:pPr>
        <w:jc w:val="both"/>
      </w:pPr>
    </w:p>
    <w:p w:rsidR="00CE475B" w:rsidRDefault="00CE475B" w:rsidP="005D448A">
      <w:pPr>
        <w:ind w:left="720" w:hanging="720"/>
        <w:jc w:val="both"/>
      </w:pPr>
      <w:r>
        <w:t>7.1</w:t>
      </w:r>
      <w:r>
        <w:tab/>
        <w:t>Section 1983 Employment Discrimination – Mixed Motive</w:t>
      </w:r>
    </w:p>
    <w:p w:rsidR="00CE475B" w:rsidRDefault="00CE475B" w:rsidP="005D448A">
      <w:pPr>
        <w:jc w:val="both"/>
      </w:pPr>
    </w:p>
    <w:p w:rsidR="00CE475B" w:rsidRDefault="00CE475B" w:rsidP="005D448A">
      <w:pPr>
        <w:ind w:left="720" w:hanging="720"/>
        <w:jc w:val="both"/>
      </w:pPr>
      <w:r>
        <w:t>7.2</w:t>
      </w:r>
      <w:r>
        <w:tab/>
        <w:t>Section 1983 Employment Discrimination – Pretext</w:t>
      </w:r>
    </w:p>
    <w:p w:rsidR="00CE475B" w:rsidRDefault="00CE475B" w:rsidP="005D448A">
      <w:pPr>
        <w:jc w:val="both"/>
      </w:pPr>
    </w:p>
    <w:p w:rsidR="00CE475B" w:rsidRDefault="00CE475B" w:rsidP="005D448A">
      <w:pPr>
        <w:ind w:left="720" w:hanging="720"/>
        <w:jc w:val="both"/>
      </w:pPr>
      <w:r>
        <w:t>7.3</w:t>
      </w:r>
      <w:r>
        <w:tab/>
        <w:t>Section 1983 Employment Discrimination – Harassment</w:t>
      </w:r>
    </w:p>
    <w:p w:rsidR="00CE475B" w:rsidRDefault="00CE475B" w:rsidP="005D448A">
      <w:pPr>
        <w:jc w:val="both"/>
      </w:pPr>
    </w:p>
    <w:p w:rsidR="00CE475B" w:rsidRDefault="00CE475B" w:rsidP="005D448A">
      <w:pPr>
        <w:ind w:left="720" w:hanging="720"/>
        <w:jc w:val="both"/>
      </w:pPr>
      <w:r>
        <w:t>7.4</w:t>
      </w:r>
      <w:r>
        <w:tab/>
        <w:t>Section 1983 Employment – Retaliation – First Amendment</w:t>
      </w:r>
    </w:p>
    <w:p w:rsidR="00CE475B" w:rsidRDefault="00CE475B" w:rsidP="005D448A">
      <w:pPr>
        <w:jc w:val="both"/>
      </w:pPr>
    </w:p>
    <w:p w:rsidR="00CE475B" w:rsidRDefault="00CE475B" w:rsidP="005D448A">
      <w:pPr>
        <w:ind w:left="720" w:hanging="720"/>
        <w:jc w:val="both"/>
      </w:pPr>
      <w:r>
        <w:t>7.5</w:t>
      </w:r>
      <w:r>
        <w:tab/>
        <w:t>Section 1983 – Employment – Damages</w:t>
      </w:r>
    </w:p>
    <w:p w:rsidR="00036ABB" w:rsidRDefault="00036ABB" w:rsidP="005D448A">
      <w:pPr>
        <w:jc w:val="both"/>
      </w:pPr>
    </w:p>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Pr="00036ABB" w:rsidRDefault="00036ABB" w:rsidP="00036ABB"/>
    <w:p w:rsidR="00036ABB" w:rsidRDefault="00036ABB" w:rsidP="005D448A">
      <w:pPr>
        <w:jc w:val="both"/>
      </w:pPr>
    </w:p>
    <w:p w:rsidR="00036ABB" w:rsidRPr="00036ABB" w:rsidRDefault="00036ABB" w:rsidP="00036ABB"/>
    <w:p w:rsidR="00036ABB" w:rsidRDefault="00036ABB" w:rsidP="005D448A">
      <w:pPr>
        <w:jc w:val="both"/>
      </w:pPr>
    </w:p>
    <w:p w:rsidR="00036ABB" w:rsidRDefault="00036ABB" w:rsidP="005D448A">
      <w:pPr>
        <w:jc w:val="both"/>
      </w:pPr>
    </w:p>
    <w:p w:rsidR="00036ABB" w:rsidRDefault="00036ABB" w:rsidP="00036ABB">
      <w:pPr>
        <w:tabs>
          <w:tab w:val="left" w:pos="8563"/>
        </w:tabs>
        <w:jc w:val="both"/>
      </w:pPr>
      <w:r>
        <w:tab/>
      </w:r>
    </w:p>
    <w:p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rsidR="00E54E59" w:rsidRDefault="00E54E59" w:rsidP="005D448A">
      <w:pPr>
        <w:jc w:val="both"/>
        <w:rPr>
          <w:b/>
          <w:sz w:val="28"/>
        </w:rPr>
      </w:pPr>
    </w:p>
    <w:p w:rsidR="00E54E59" w:rsidRDefault="00E54E59" w:rsidP="005D448A">
      <w:pPr>
        <w:jc w:val="both"/>
        <w:rPr>
          <w:b/>
          <w:sz w:val="28"/>
        </w:rPr>
        <w:sectPr w:rsidR="00E54E59" w:rsidSect="005D448A">
          <w:headerReference w:type="default" r:id="rId12"/>
          <w:type w:val="continuous"/>
          <w:pgSz w:w="12240" w:h="15840"/>
          <w:pgMar w:top="1440" w:right="1440" w:bottom="1440" w:left="1440" w:header="1440" w:footer="1440" w:gutter="0"/>
          <w:lnNumType w:countBy="1" w:distance="576"/>
          <w:cols w:space="720"/>
          <w:docGrid w:linePitch="326"/>
        </w:sectPr>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1"/>
      </w:r>
      <w:r>
        <w:t xml:space="preserve">  Instruction 7.4 addresses First Amendment retaliation claims.  Comment 7.5 concerns damages.</w:t>
      </w:r>
    </w:p>
    <w:p w:rsidR="00CE475B" w:rsidRDefault="00CE475B" w:rsidP="005D448A">
      <w:pPr>
        <w:jc w:val="both"/>
      </w:pPr>
    </w:p>
    <w:p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rsidR="00CE475B" w:rsidRDefault="00CE475B" w:rsidP="005D448A">
      <w:pPr>
        <w:jc w:val="both"/>
      </w:pPr>
    </w:p>
    <w:p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2"/>
      </w:r>
      <w:r>
        <w:t xml:space="preserve">  By contrast, Section 1983 applies only to defendants who acted under color of state law.</w:t>
      </w:r>
      <w:r>
        <w:rPr>
          <w:rStyle w:val="FootnoteReference"/>
        </w:rPr>
        <w:footnoteReference w:id="3"/>
      </w:r>
      <w:r>
        <w:t xml:space="preserve">  </w:t>
      </w:r>
      <w:r>
        <w:rPr>
          <w:i/>
        </w:rPr>
        <w:t>See, e.g.,</w:t>
      </w:r>
      <w:r>
        <w:t xml:space="preserve"> </w:t>
      </w:r>
      <w:r>
        <w:rPr>
          <w:i/>
        </w:rPr>
        <w:t>Krynicky v. University of Pittsburgh</w:t>
      </w:r>
      <w:r>
        <w:t xml:space="preserve">, 742 F.2d 94, 103 (3d Cir. 1984) (holding that University of Pittsburgh and Temple University acted under color of state law); </w:t>
      </w:r>
      <w:r>
        <w:rPr>
          <w:i/>
        </w:rPr>
        <w:t xml:space="preserve">see also supra </w:t>
      </w:r>
      <w:r>
        <w:t>Comment 4.4.</w:t>
      </w:r>
    </w:p>
    <w:p w:rsidR="00CE475B" w:rsidRDefault="00CE475B" w:rsidP="005D448A">
      <w:pPr>
        <w:jc w:val="both"/>
      </w:pPr>
    </w:p>
    <w:p w:rsidR="00CE475B" w:rsidRDefault="00CE475B" w:rsidP="005D448A">
      <w:pPr>
        <w:jc w:val="both"/>
      </w:pPr>
      <w:r>
        <w:lastRenderedPageBreak/>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4"/>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rsidR="00CE475B" w:rsidRDefault="00CE475B" w:rsidP="005D448A">
      <w:pPr>
        <w:jc w:val="both"/>
      </w:pPr>
    </w:p>
    <w:p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5"/>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rsidR="00CE475B" w:rsidRDefault="00CE475B" w:rsidP="005D448A">
      <w:pPr>
        <w:jc w:val="both"/>
      </w:pPr>
    </w:p>
    <w:p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6"/>
      </w:r>
      <w:r>
        <w:t xml:space="preserve">  </w:t>
      </w:r>
      <w:r>
        <w:rPr>
          <w:i/>
        </w:rPr>
        <w:t>See</w:t>
      </w:r>
      <w:r>
        <w:t xml:space="preserve"> </w:t>
      </w:r>
      <w:r>
        <w:rPr>
          <w:i/>
        </w:rPr>
        <w:t>Bonenberger v. Plymouth Tp.</w:t>
      </w:r>
      <w:r>
        <w:t xml:space="preserve">, 132 F.3d 20, 23 (3d Cir. 1997) (“There is simply no 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w:t>
      </w:r>
      <w:r>
        <w:lastRenderedPageBreak/>
        <w:t xml:space="preserve">subordinate, the plaintiff must also satisfy the requirements for supervisory liability under Section 1983.  </w:t>
      </w:r>
      <w:r>
        <w:rPr>
          <w:i/>
        </w:rPr>
        <w:t>See supra</w:t>
      </w:r>
      <w:r>
        <w:t xml:space="preserve"> Comment 4.6.1.</w:t>
      </w:r>
    </w:p>
    <w:p w:rsidR="008D2026" w:rsidRDefault="008D2026" w:rsidP="005D448A">
      <w:pPr>
        <w:jc w:val="both"/>
      </w:pPr>
    </w:p>
    <w:p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7"/>
      </w:r>
      <w:r>
        <w:t xml:space="preserve">  </w:t>
      </w:r>
      <w:r>
        <w:rPr>
          <w:i/>
        </w:rPr>
        <w:t>See supra</w:t>
      </w:r>
      <w:r>
        <w:t xml:space="preserve"> Comment 4.7.2; </w:t>
      </w:r>
      <w:r>
        <w:rPr>
          <w:i/>
        </w:rPr>
        <w:t>see also</w:t>
      </w:r>
      <w:r>
        <w:t xml:space="preserve"> Comment 4.7.1 (concerning absolute immunity).</w:t>
      </w:r>
    </w:p>
    <w:p w:rsidR="00594F9C" w:rsidRDefault="00594F9C" w:rsidP="005D448A">
      <w:pPr>
        <w:jc w:val="both"/>
      </w:pPr>
    </w:p>
    <w:p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respondeat superior liability.  </w:t>
      </w:r>
      <w:r>
        <w:rPr>
          <w:i/>
        </w:rPr>
        <w:t>See supra</w:t>
      </w:r>
      <w:r>
        <w:t xml:space="preserve"> Comments 5.1.3 - 5.1.5.</w:t>
      </w:r>
    </w:p>
    <w:p w:rsidR="00CE475B" w:rsidRDefault="00CE475B" w:rsidP="005D448A">
      <w:pPr>
        <w:jc w:val="both"/>
      </w:pPr>
    </w:p>
    <w:p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8"/>
      </w:r>
      <w:r>
        <w:t xml:space="preserve">  By contrast, Title VII authorizes claims against state governments.  </w:t>
      </w:r>
      <w:r>
        <w:rPr>
          <w:i/>
        </w:rPr>
        <w:t>See</w:t>
      </w:r>
      <w:r>
        <w:t xml:space="preserve"> </w:t>
      </w:r>
      <w:r>
        <w:rPr>
          <w:i/>
        </w:rPr>
        <w:t>Fitzpatrick v. Bitzer</w:t>
      </w:r>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9"/>
      </w:r>
    </w:p>
    <w:p w:rsidR="00CE475B" w:rsidRDefault="00CE475B" w:rsidP="005D448A">
      <w:pPr>
        <w:jc w:val="both"/>
      </w:pPr>
    </w:p>
    <w:p w:rsidR="00CE475B" w:rsidRDefault="00CE475B" w:rsidP="005D448A">
      <w:pPr>
        <w:jc w:val="both"/>
      </w:pPr>
      <w:r>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xml:space="preserve">, 130 F.3d 568, 573 (3d Cir. 1997) (“In Title VII actions, failure to exhaust administrative remedies is an </w:t>
      </w:r>
      <w:r>
        <w:lastRenderedPageBreak/>
        <w:t>affirmative defense in the nature of statute of limitations.”).  There is no such exhaustion requirement for a Section 1983 employment discrimination claim.</w:t>
      </w:r>
      <w:r>
        <w:rPr>
          <w:rStyle w:val="FootnoteReference"/>
        </w:rPr>
        <w:footnoteReference w:id="10"/>
      </w:r>
    </w:p>
    <w:p w:rsidR="00CE475B" w:rsidRDefault="00CE475B" w:rsidP="005D448A">
      <w:pPr>
        <w:jc w:val="both"/>
      </w:pPr>
    </w:p>
    <w:p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rsidR="00CE475B" w:rsidRDefault="00CE475B" w:rsidP="005D448A">
      <w:pPr>
        <w:jc w:val="both"/>
      </w:pPr>
    </w:p>
    <w:p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rsidR="00CE475B" w:rsidRDefault="00CE475B" w:rsidP="005D448A">
      <w:pPr>
        <w:jc w:val="both"/>
      </w:pPr>
    </w:p>
    <w:p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1"/>
      </w:r>
      <w:r>
        <w:t xml:space="preserve">  Although </w:t>
      </w:r>
      <w:r>
        <w:rPr>
          <w:i/>
        </w:rPr>
        <w:t>Bradley</w:t>
      </w:r>
      <w:r>
        <w:t xml:space="preserve"> predated the Civil Rights Act of 1991,</w:t>
      </w:r>
      <w:r>
        <w:rPr>
          <w:rStyle w:val="FootnoteReference"/>
        </w:rPr>
        <w:footnoteReference w:id="12"/>
      </w:r>
      <w:r>
        <w:t xml:space="preserve"> district courts within the Third Circuit have continued to </w:t>
      </w:r>
      <w:r>
        <w:lastRenderedPageBreak/>
        <w:t xml:space="preserve">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rsidR="00CE475B" w:rsidRDefault="00CE475B" w:rsidP="005D448A">
      <w:pPr>
        <w:jc w:val="both"/>
      </w:pPr>
    </w:p>
    <w:p w:rsidR="00E54E59" w:rsidRDefault="00CE475B" w:rsidP="005D448A">
      <w:pPr>
        <w:jc w:val="both"/>
        <w:sectPr w:rsidR="00E54E59" w:rsidSect="005D448A">
          <w:headerReference w:type="default" r:id="rId13"/>
          <w:type w:val="continuous"/>
          <w:pgSz w:w="12240" w:h="15840"/>
          <w:pgMar w:top="1440" w:right="1440" w:bottom="1440" w:left="1440" w:header="1440" w:footer="1440" w:gutter="0"/>
          <w:lnNumType w:countBy="1" w:distance="576"/>
          <w:cols w:space="720"/>
          <w:docGrid w:linePitch="326"/>
        </w:sectPr>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Gierlinger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r>
        <w:br w:type="page"/>
      </w:r>
    </w:p>
    <w:p w:rsidR="0068193B" w:rsidRDefault="00CE475B" w:rsidP="005D448A">
      <w:pPr>
        <w:jc w:val="both"/>
        <w:rPr>
          <w:b/>
          <w:sz w:val="28"/>
        </w:rPr>
      </w:pPr>
      <w:r>
        <w:rPr>
          <w:b/>
          <w:sz w:val="28"/>
        </w:rPr>
        <w:lastRenderedPageBreak/>
        <w:t>7.1</w:t>
      </w:r>
      <w:r>
        <w:rPr>
          <w:b/>
          <w:sz w:val="28"/>
        </w:rPr>
        <w:tab/>
        <w:t>Section 1983 Employment Discrimination – Mixed Motive</w:t>
      </w:r>
    </w:p>
    <w:p w:rsidR="00E54E59" w:rsidRDefault="00E54E59"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motivating factor in [defendant's] decision.</w:t>
      </w:r>
    </w:p>
    <w:p w:rsidR="00CE475B" w:rsidRDefault="00CE475B" w:rsidP="005D448A">
      <w:pPr>
        <w:jc w:val="both"/>
      </w:pPr>
    </w:p>
    <w:p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rsidR="00CE475B" w:rsidRDefault="00CE475B" w:rsidP="005D448A">
      <w:pPr>
        <w:jc w:val="both"/>
      </w:pPr>
    </w:p>
    <w:p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rsidR="00CE475B" w:rsidRDefault="00CE475B" w:rsidP="005D448A">
      <w:pPr>
        <w:jc w:val="both"/>
      </w:pPr>
    </w:p>
    <w:p w:rsidR="00CE475B" w:rsidRDefault="00CE475B" w:rsidP="005D448A">
      <w:pPr>
        <w:jc w:val="both"/>
      </w:pPr>
      <w:r>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13"/>
      </w:r>
    </w:p>
    <w:p w:rsidR="00CE475B" w:rsidRDefault="00CE475B" w:rsidP="005D448A">
      <w:pPr>
        <w:jc w:val="both"/>
      </w:pPr>
      <w:r>
        <w:lastRenderedPageBreak/>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4"/>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rsidR="00FC08AD" w:rsidRPr="00FC08AD" w:rsidRDefault="00FC08AD" w:rsidP="00FC08AD">
      <w:pPr>
        <w:jc w:val="both"/>
      </w:pPr>
    </w:p>
    <w:p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w:t>
      </w:r>
      <w:r w:rsidR="005B361D" w:rsidRPr="00136001">
        <w:rPr>
          <w:szCs w:val="24"/>
        </w:rPr>
        <w:lastRenderedPageBreak/>
        <w:t>the criteria that should guide that decision.  For discussions of the treatment of analogous questions under other statutes, see Comments 5.1.1 (Title VII), 6.1.1 (Section 1981), and 9.1.1 (ADA).</w:t>
      </w:r>
    </w:p>
    <w:p w:rsidR="00CE475B" w:rsidRDefault="00CE475B" w:rsidP="005D448A">
      <w:pPr>
        <w:jc w:val="both"/>
      </w:pPr>
    </w:p>
    <w:p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1" w:name="fiveonesevennassar"/>
      <w:bookmarkEnd w:id="1"/>
      <w:r>
        <w:rPr>
          <w:i/>
        </w:rPr>
        <w:t>Nassar</w:t>
      </w:r>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r>
        <w:rPr>
          <w:i/>
        </w:rPr>
        <w:t>Nassar</w:t>
      </w:r>
      <w:r>
        <w:t xml:space="preserve"> is discussed fully in Comment 5.1.7).</w:t>
      </w:r>
    </w:p>
    <w:p w:rsidR="00CE475B" w:rsidRDefault="00CE475B" w:rsidP="005D448A">
      <w:pPr>
        <w:jc w:val="both"/>
        <w:rPr>
          <w:u w:val="single"/>
        </w:rPr>
      </w:pPr>
    </w:p>
    <w:p w:rsidR="00CE475B" w:rsidRDefault="00CE475B" w:rsidP="005D448A">
      <w:pPr>
        <w:jc w:val="both"/>
      </w:pPr>
      <w:r>
        <w:tab/>
        <w:t xml:space="preserve">The decisions in </w:t>
      </w:r>
      <w:r>
        <w:rPr>
          <w:i/>
        </w:rPr>
        <w:t>Gross</w:t>
      </w:r>
      <w:r>
        <w:t xml:space="preserve"> and </w:t>
      </w:r>
      <w:r>
        <w:rPr>
          <w:i/>
        </w:rPr>
        <w:t>Nassar</w:t>
      </w:r>
      <w:r>
        <w:t xml:space="preserve"> 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Pr>
          <w:i/>
        </w:rPr>
        <w:t>see also Price Waterhouse v. Hopkins</w:t>
      </w:r>
      <w:r>
        <w:t xml:space="preserve">, 490 U.S. 228, 269 (1989) (O’Connor, J., concurring in the judgment) (“[W]here a public employee brings a ‘disparate treatment’ claim under 42 U.S.C. § 1983 and the Equal Protection Clause the employee is entitled to the favorable evidentiary framework of </w:t>
      </w:r>
      <w:r>
        <w:rPr>
          <w:i/>
        </w:rPr>
        <w:t>Arlington Heights</w:t>
      </w:r>
      <w:r w:rsidR="005B361D">
        <w:t xml:space="preserve">.”). </w:t>
      </w:r>
      <w:r>
        <w:t xml:space="preserve">Moreover, the </w:t>
      </w:r>
      <w:r>
        <w:rPr>
          <w:i/>
        </w:rPr>
        <w:t>Nassar</w:t>
      </w:r>
      <w:r>
        <w:t xml:space="preserve"> Court distinguished decisions under other statutory schemes that assimilated retaliation claims to discrimination claims.  For example, the Court’s conclusion in </w:t>
      </w:r>
      <w:r>
        <w:rPr>
          <w:i/>
        </w:rPr>
        <w:t>CBOCS West, Inc. v. Humphries</w:t>
      </w:r>
      <w:r>
        <w:t xml:space="preserve">, 553 U.S. 442, 452–53 (2008), that 42 U.S.C. § 1981 forbids retaliation was based on the broad language of Section 1981, which the </w:t>
      </w:r>
      <w:r>
        <w:rPr>
          <w:i/>
        </w:rPr>
        <w:t>Nassar</w:t>
      </w:r>
      <w:r>
        <w:t xml:space="preserve"> Court contrasted with the more specific language of Title VII.  </w:t>
      </w:r>
      <w:r>
        <w:rPr>
          <w:i/>
        </w:rPr>
        <w:t>See Nassar</w:t>
      </w:r>
      <w:r>
        <w:t>, 133 S. Ct. at 2530 (reasoning that decisions interpreting “broad, general bars on discrimination” are inapposite to the interpretation of “a statute as precise, complex, and exhaustive as Title VII”).</w:t>
      </w:r>
    </w:p>
    <w:p w:rsidR="00CE475B" w:rsidRDefault="00CE475B" w:rsidP="005D448A">
      <w:pPr>
        <w:jc w:val="both"/>
      </w:pPr>
    </w:p>
    <w:p w:rsidR="00CE475B" w:rsidRDefault="00CE475B" w:rsidP="005D448A">
      <w:pPr>
        <w:jc w:val="both"/>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w:t>
      </w:r>
      <w:r>
        <w:lastRenderedPageBreak/>
        <w:t xml:space="preserve">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rsidR="00FC3113" w:rsidRDefault="00FC3113" w:rsidP="005D448A">
      <w:pPr>
        <w:jc w:val="both"/>
      </w:pPr>
    </w:p>
    <w:p w:rsidR="00CE475B" w:rsidRDefault="00CE475B" w:rsidP="005D448A">
      <w:pPr>
        <w:jc w:val="both"/>
      </w:pPr>
      <w:r>
        <w:rPr>
          <w:i/>
        </w:rPr>
        <w:t>Animus of Employee Who Was Not the Ultimate Decisionmaker</w:t>
      </w:r>
    </w:p>
    <w:p w:rsidR="00CE475B" w:rsidRDefault="00CE475B" w:rsidP="005D448A">
      <w:pPr>
        <w:jc w:val="both"/>
      </w:pPr>
    </w:p>
    <w:p w:rsidR="0020013B" w:rsidRDefault="00CE475B" w:rsidP="005D448A">
      <w:pPr>
        <w:jc w:val="both"/>
      </w:pPr>
      <w:r>
        <w:tab/>
        <w:t xml:space="preserve">For a discussion of the Court’s treatment in </w:t>
      </w:r>
      <w:r>
        <w:rPr>
          <w:i/>
        </w:rPr>
        <w:t>Staub v. Proctor Hosp.</w:t>
      </w:r>
      <w:r>
        <w:t xml:space="preserve">, 131 S. Ct. 1186 (2011), of the animus of an employee who was not the ultimate decisionmaker, see Comment 5.1.7.  </w:t>
      </w:r>
      <w:r>
        <w:rPr>
          <w:i/>
        </w:rPr>
        <w:t>Staub</w:t>
      </w:r>
      <w:r>
        <w:t xml:space="preserve"> concerned a statute that used the term “motivating factor,” and it is unclear whether the ruling in </w:t>
      </w:r>
      <w:r>
        <w:rPr>
          <w:i/>
        </w:rPr>
        <w:t>Staub</w:t>
      </w:r>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rsidR="005E7864" w:rsidRDefault="005E7864" w:rsidP="005D448A">
      <w:pPr>
        <w:jc w:val="both"/>
      </w:pPr>
    </w:p>
    <w:p w:rsidR="0020013B" w:rsidRDefault="0020013B" w:rsidP="005D448A">
      <w:pPr>
        <w:tabs>
          <w:tab w:val="center" w:pos="4680"/>
        </w:tabs>
        <w:jc w:val="both"/>
        <w:sectPr w:rsidR="0020013B" w:rsidSect="005D448A">
          <w:headerReference w:type="default" r:id="rId14"/>
          <w:type w:val="continuous"/>
          <w:pgSz w:w="12240" w:h="15840"/>
          <w:pgMar w:top="1440" w:right="1440" w:bottom="1440" w:left="1440" w:header="1440" w:footer="1440" w:gutter="0"/>
          <w:lnNumType w:countBy="1" w:distance="576"/>
          <w:cols w:space="720"/>
          <w:docGrid w:linePitch="326"/>
        </w:sectPr>
      </w:pPr>
    </w:p>
    <w:p w:rsidR="00CE475B" w:rsidRDefault="00CE475B" w:rsidP="005D448A">
      <w:pPr>
        <w:tabs>
          <w:tab w:val="center" w:pos="4680"/>
        </w:tabs>
        <w:jc w:val="both"/>
        <w:rPr>
          <w:b/>
          <w:sz w:val="28"/>
        </w:rPr>
      </w:pPr>
      <w:r>
        <w:br w:type="page"/>
      </w:r>
      <w:r>
        <w:rPr>
          <w:b/>
          <w:sz w:val="28"/>
        </w:rPr>
        <w:lastRenderedPageBreak/>
        <w:t>7.2</w:t>
      </w:r>
      <w:r>
        <w:rPr>
          <w:b/>
          <w:sz w:val="28"/>
        </w:rPr>
        <w:tab/>
        <w:t>Section 1983 Employment Discrimination – Pretext</w:t>
      </w:r>
    </w:p>
    <w:p w:rsidR="0068193B" w:rsidRDefault="0068193B" w:rsidP="005D448A">
      <w:pPr>
        <w:jc w:val="both"/>
        <w:rPr>
          <w:b/>
          <w:sz w:val="28"/>
        </w:rPr>
      </w:pP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rsidR="00CE475B" w:rsidRDefault="00CE475B" w:rsidP="005D448A">
      <w:pPr>
        <w:jc w:val="both"/>
      </w:pPr>
    </w:p>
    <w:p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rsidR="00CE475B" w:rsidRDefault="00CE475B" w:rsidP="005D448A">
      <w:pPr>
        <w:jc w:val="both"/>
      </w:pPr>
    </w:p>
    <w:p w:rsidR="00CE475B" w:rsidRDefault="00CE475B" w:rsidP="005D448A">
      <w:pPr>
        <w:jc w:val="both"/>
      </w:pPr>
      <w:r>
        <w:tab/>
        <w:t>To prevail on this claim, [plaintiff] must prove both of the following by a preponderance of the evidence:</w:t>
      </w:r>
    </w:p>
    <w:p w:rsidR="00CE475B" w:rsidRDefault="00CE475B" w:rsidP="005D448A">
      <w:pPr>
        <w:jc w:val="both"/>
      </w:pPr>
    </w:p>
    <w:p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 and</w:t>
      </w:r>
    </w:p>
    <w:p w:rsidR="00CE475B" w:rsidRDefault="00CE475B" w:rsidP="005D448A">
      <w:pPr>
        <w:jc w:val="both"/>
      </w:pPr>
    </w:p>
    <w:p w:rsidR="00CE475B" w:rsidRDefault="00CE475B" w:rsidP="005D448A">
      <w:pPr>
        <w:ind w:left="720"/>
        <w:jc w:val="both"/>
      </w:pPr>
      <w:r>
        <w:t>Second:  [Plaintiff’s] [protected status] was a determinative factor in [defendant's] decision.</w:t>
      </w:r>
    </w:p>
    <w:p w:rsidR="00CE475B" w:rsidRDefault="00CE475B" w:rsidP="005D448A">
      <w:pPr>
        <w:jc w:val="both"/>
      </w:pPr>
    </w:p>
    <w:p w:rsidR="00CE475B" w:rsidRDefault="00CE475B" w:rsidP="005D448A">
      <w:pPr>
        <w:jc w:val="both"/>
      </w:pPr>
    </w:p>
    <w:p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rsidR="00CE475B" w:rsidRDefault="00CE475B" w:rsidP="005D448A">
      <w:pPr>
        <w:jc w:val="both"/>
      </w:pPr>
    </w:p>
    <w:p w:rsidR="00CE475B" w:rsidRDefault="00CE475B" w:rsidP="005D448A">
      <w:pPr>
        <w:jc w:val="both"/>
      </w:pPr>
      <w:r>
        <w:tab/>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 received in the case in deciding whether [defendant] intentionally discriminated against [plaintiff]].</w:t>
      </w:r>
    </w:p>
    <w:p w:rsidR="00CE475B" w:rsidRDefault="00CE475B" w:rsidP="005D448A">
      <w:pPr>
        <w:jc w:val="both"/>
      </w:pPr>
    </w:p>
    <w:p w:rsidR="00CE475B" w:rsidRDefault="00CE475B" w:rsidP="005D448A">
      <w:pPr>
        <w:jc w:val="both"/>
      </w:pPr>
      <w:r>
        <w:tab/>
        <w:t xml:space="preserve">[Defendant]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managerial judgment.  You cannot find intentional discrimination simply because you disagree </w:t>
      </w:r>
      <w:r>
        <w:lastRenderedPageBreak/>
        <w:t>with the managerial judgment of [defendant] or believe it is harsh or unreasonable.  You are not to consider [defendant's] wisdom.  However, you may consider whether [defendant's] reason is merely a cover-up for discrimination.</w:t>
      </w:r>
    </w:p>
    <w:p w:rsidR="00CE475B" w:rsidRDefault="00CE475B" w:rsidP="005D448A">
      <w:pPr>
        <w:jc w:val="both"/>
      </w:pPr>
    </w:p>
    <w:p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rsidR="00CE475B" w:rsidRDefault="00CE475B" w:rsidP="005D448A">
      <w:pPr>
        <w:jc w:val="both"/>
      </w:pPr>
    </w:p>
    <w:p w:rsidR="00CE475B" w:rsidRDefault="00CE475B" w:rsidP="005D448A">
      <w:pPr>
        <w:jc w:val="both"/>
      </w:pPr>
      <w:r>
        <w:rPr>
          <w:b/>
          <w:sz w:val="28"/>
        </w:rPr>
        <w:t>Comment</w:t>
      </w:r>
    </w:p>
    <w:p w:rsidR="00CE475B" w:rsidRDefault="00CE475B" w:rsidP="005D448A">
      <w:pPr>
        <w:jc w:val="both"/>
      </w:pPr>
    </w:p>
    <w:p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 xml:space="preserve">McDonnell Douglas-Burdine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rsidR="00CE475B" w:rsidRDefault="00CE475B" w:rsidP="005D448A">
      <w:pPr>
        <w:jc w:val="both"/>
      </w:pPr>
    </w:p>
    <w:p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rsidR="00FC08AD" w:rsidRPr="00FC08AD" w:rsidRDefault="00FC08AD" w:rsidP="00FC08AD">
      <w:pPr>
        <w:jc w:val="both"/>
      </w:pPr>
    </w:p>
    <w:p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rsidR="00CE475B" w:rsidRDefault="00CE475B" w:rsidP="005D448A">
      <w:pPr>
        <w:jc w:val="both"/>
      </w:pPr>
    </w:p>
    <w:p w:rsidR="00083F00" w:rsidRDefault="00CE475B" w:rsidP="005D448A">
      <w:pPr>
        <w:jc w:val="both"/>
        <w:sectPr w:rsidR="00083F00" w:rsidSect="005D448A">
          <w:headerReference w:type="default" r:id="rId15"/>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w:t>
      </w:r>
      <w:r>
        <w:lastRenderedPageBreak/>
        <w:t xml:space="preserve">is asserting a claim against a municipal defendant, the instruction should be augmented to present the jury with the question of municipal liability.  </w:t>
      </w:r>
      <w:r>
        <w:rPr>
          <w:i/>
        </w:rPr>
        <w:t xml:space="preserve">See supra </w:t>
      </w:r>
      <w:r>
        <w:t>Instructions 4.6.3 - 4.6.8.</w:t>
      </w:r>
    </w:p>
    <w:p w:rsidR="0068193B" w:rsidRDefault="00CE475B" w:rsidP="005D448A">
      <w:pPr>
        <w:jc w:val="both"/>
        <w:rPr>
          <w:b/>
          <w:i/>
        </w:rPr>
      </w:pPr>
      <w:r>
        <w:br w:type="page"/>
      </w:r>
      <w:r>
        <w:rPr>
          <w:b/>
          <w:sz w:val="28"/>
        </w:rPr>
        <w:lastRenderedPageBreak/>
        <w:t>7.3</w:t>
      </w:r>
      <w:r>
        <w:rPr>
          <w:b/>
          <w:sz w:val="28"/>
        </w:rPr>
        <w:tab/>
        <w:t>Section 1983 Employment Discrimination – Harassment</w:t>
      </w:r>
    </w:p>
    <w:p w:rsidR="0068193B" w:rsidRDefault="0068193B" w:rsidP="005D448A">
      <w:pPr>
        <w:jc w:val="both"/>
        <w:rPr>
          <w:b/>
          <w:i/>
        </w:rPr>
      </w:pPr>
    </w:p>
    <w:p w:rsidR="00CE475B" w:rsidRDefault="00CE475B" w:rsidP="005D448A">
      <w:pPr>
        <w:jc w:val="both"/>
      </w:pPr>
      <w:r>
        <w:rPr>
          <w:b/>
          <w:i/>
        </w:rPr>
        <w:t>No Instruction</w:t>
      </w:r>
    </w:p>
    <w:p w:rsidR="00CE475B" w:rsidRDefault="00CE475B" w:rsidP="005D448A">
      <w:pPr>
        <w:jc w:val="both"/>
      </w:pPr>
    </w:p>
    <w:p w:rsidR="00CE475B" w:rsidRDefault="00CE475B" w:rsidP="005D448A">
      <w:pPr>
        <w:jc w:val="both"/>
      </w:pPr>
    </w:p>
    <w:p w:rsidR="00CE475B" w:rsidRDefault="00CE475B" w:rsidP="005D448A">
      <w:pPr>
        <w:jc w:val="both"/>
        <w:rPr>
          <w:sz w:val="28"/>
        </w:rPr>
      </w:pPr>
      <w:r>
        <w:rPr>
          <w:b/>
          <w:sz w:val="28"/>
        </w:rPr>
        <w:t>Comment</w:t>
      </w:r>
    </w:p>
    <w:p w:rsidR="00CE475B" w:rsidRDefault="00CE475B" w:rsidP="005D448A">
      <w:pPr>
        <w:jc w:val="both"/>
      </w:pPr>
    </w:p>
    <w:p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rsidR="00CE475B" w:rsidRDefault="00CE475B" w:rsidP="005D448A">
      <w:pPr>
        <w:jc w:val="both"/>
      </w:pPr>
    </w:p>
    <w:p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xml:space="preserve">, 477 U.S. 57, 64 (1986) (stating in Title VII case that “[w]ithout question, when a supervisor sexually harasses a subordinate because of the subordinate's sex, that supervisor ‘discriminate[s]’ on the basis of sex”); </w:t>
      </w:r>
      <w:r>
        <w:rPr>
          <w:i/>
        </w:rPr>
        <w:t>Azzaro v. County of Allegheny</w:t>
      </w:r>
      <w:r>
        <w:t>, 110 F.3d 968, 978 (3d Cir. 1997) (en banc) (in assessing retaliation claim, explaining that “[t]he harassment [reported by the plaintiff] was a form of gender discrimination since Fusaro presumably would not have behaved in the same manner toward a supplicant male spouse of a female employee.”).</w:t>
      </w:r>
      <w:r>
        <w:rPr>
          <w:rStyle w:val="FootnoteReference"/>
        </w:rPr>
        <w:footnoteReference w:id="15"/>
      </w:r>
    </w:p>
    <w:p w:rsidR="00CE475B" w:rsidRDefault="00CE475B" w:rsidP="005D448A">
      <w:pPr>
        <w:jc w:val="both"/>
      </w:pPr>
    </w:p>
    <w:p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r>
        <w:rPr>
          <w:i/>
        </w:rPr>
        <w:t>Bonenberger v. Plymouth Twp.</w:t>
      </w:r>
      <w:r>
        <w:t xml:space="preserve">, 132 F.3d 20, 24 (3d Cir. 1997) (“Under these circumstances La Penta's role within the departmental structure afforded him sufficient authority over Bonenberger to satisfy the color of law requirement of section </w:t>
      </w:r>
      <w:r>
        <w:lastRenderedPageBreak/>
        <w:t>1983.”).</w:t>
      </w:r>
      <w:r>
        <w:rPr>
          <w:rStyle w:val="FootnoteReference"/>
        </w:rPr>
        <w:footnoteReference w:id="16"/>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r>
        <w:rPr>
          <w:i/>
        </w:rPr>
        <w:t>Bonenberger</w:t>
      </w:r>
      <w:r>
        <w:t>, 132 F.3d at 23.</w:t>
      </w:r>
    </w:p>
    <w:p w:rsidR="00136001" w:rsidRDefault="00136001" w:rsidP="005D448A">
      <w:pPr>
        <w:jc w:val="both"/>
      </w:pPr>
    </w:p>
    <w:p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17"/>
      </w:r>
    </w:p>
    <w:p w:rsidR="00CE475B" w:rsidRDefault="00CE475B" w:rsidP="005D448A">
      <w:pPr>
        <w:jc w:val="both"/>
      </w:pPr>
    </w:p>
    <w:p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18"/>
      </w:r>
      <w:r>
        <w:t xml:space="preserve"> against the plaintiff, that evidence should also establish that the defendant acted under color of state law.</w:t>
      </w:r>
      <w:r>
        <w:rPr>
          <w:rStyle w:val="FootnoteReference"/>
        </w:rPr>
        <w:footnoteReference w:id="19"/>
      </w:r>
    </w:p>
    <w:p w:rsidR="00CE475B" w:rsidRDefault="00CE475B" w:rsidP="005D448A">
      <w:pPr>
        <w:jc w:val="both"/>
      </w:pPr>
    </w:p>
    <w:p w:rsidR="00CE475B" w:rsidRDefault="00CE475B" w:rsidP="005D448A">
      <w:pPr>
        <w:jc w:val="both"/>
      </w:pPr>
      <w:r>
        <w:lastRenderedPageBreak/>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0"/>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respondeat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rsidR="00CE475B" w:rsidRDefault="00CE475B" w:rsidP="005D448A">
      <w:pPr>
        <w:jc w:val="both"/>
      </w:pPr>
    </w:p>
    <w:p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rsidR="00CE475B" w:rsidRDefault="00CE475B" w:rsidP="005D448A">
      <w:pPr>
        <w:jc w:val="both"/>
      </w:pPr>
    </w:p>
    <w:p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1"/>
      </w:r>
      <w:r>
        <w:t xml:space="preserve"> and it is unclear how an equal </w:t>
      </w:r>
      <w:r>
        <w:lastRenderedPageBreak/>
        <w:t>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rsidR="00CE475B" w:rsidRDefault="00CE475B" w:rsidP="005D448A">
      <w:pPr>
        <w:jc w:val="both"/>
      </w:pPr>
    </w:p>
    <w:p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2"/>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3"/>
      </w:r>
    </w:p>
    <w:p w:rsidR="0023730D" w:rsidRDefault="0023730D" w:rsidP="005D448A">
      <w:pPr>
        <w:jc w:val="both"/>
      </w:pPr>
    </w:p>
    <w:p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4"/>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question of what level of action or indifference suffices to show intent to discriminate on the part of the supervisor or the municipality.</w:t>
      </w:r>
    </w:p>
    <w:p w:rsidR="00CE475B" w:rsidRDefault="00CE475B" w:rsidP="005D448A">
      <w:pPr>
        <w:jc w:val="both"/>
      </w:pPr>
    </w:p>
    <w:p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w:t>
      </w:r>
      <w:r>
        <w:lastRenderedPageBreak/>
        <w:t xml:space="preserve">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rsidR="00CE475B" w:rsidRDefault="00CE475B" w:rsidP="005D448A">
      <w:pPr>
        <w:jc w:val="both"/>
      </w:pPr>
    </w:p>
    <w:p w:rsidR="00CE475B" w:rsidRDefault="00CE475B" w:rsidP="005D448A">
      <w:pPr>
        <w:ind w:left="720"/>
        <w:jc w:val="both"/>
      </w:pPr>
      <w:r>
        <w:t>There is evidence that Liciardello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rsidR="00CE475B" w:rsidRDefault="00CE475B" w:rsidP="005D448A">
      <w:pPr>
        <w:jc w:val="both"/>
      </w:pPr>
    </w:p>
    <w:p w:rsidR="00CE475B" w:rsidRDefault="00CE475B" w:rsidP="005D448A">
      <w:pPr>
        <w:jc w:val="both"/>
      </w:pPr>
      <w:r>
        <w:rPr>
          <w:i/>
        </w:rPr>
        <w:t>Andrews</w:t>
      </w:r>
      <w:r>
        <w:t>, 895 F.2d at 1479.</w:t>
      </w:r>
    </w:p>
    <w:p w:rsidR="00CE475B" w:rsidRDefault="00CE475B" w:rsidP="005D448A">
      <w:pPr>
        <w:jc w:val="both"/>
      </w:pPr>
    </w:p>
    <w:p w:rsidR="00CE475B" w:rsidRDefault="00CE475B" w:rsidP="005D448A">
      <w:pPr>
        <w:jc w:val="both"/>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5"/>
      </w:r>
      <w:r>
        <w:t xml:space="preserve"> </w:t>
      </w:r>
    </w:p>
    <w:p w:rsidR="0078295F" w:rsidRDefault="0078295F" w:rsidP="005D448A">
      <w:pPr>
        <w:jc w:val="both"/>
        <w:sectPr w:rsidR="0078295F" w:rsidSect="005D448A">
          <w:headerReference w:type="default" r:id="rId16"/>
          <w:type w:val="continuous"/>
          <w:pgSz w:w="12240" w:h="15840"/>
          <w:pgMar w:top="1440" w:right="1440" w:bottom="1440" w:left="1440" w:header="1440" w:footer="1440" w:gutter="0"/>
          <w:lnNumType w:countBy="1" w:distance="576"/>
          <w:cols w:space="720"/>
          <w:docGrid w:linePitch="326"/>
        </w:sectPr>
      </w:pPr>
    </w:p>
    <w:p w:rsidR="0078295F" w:rsidRDefault="0078295F" w:rsidP="005D448A">
      <w:pPr>
        <w:jc w:val="both"/>
      </w:pPr>
    </w:p>
    <w:p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rsidR="00CE475B" w:rsidRDefault="00CE475B" w:rsidP="005D448A">
      <w:pPr>
        <w:jc w:val="both"/>
      </w:pPr>
      <w:r>
        <w:rPr>
          <w:b/>
          <w:sz w:val="28"/>
        </w:rPr>
        <w:t>Model</w:t>
      </w:r>
    </w:p>
    <w:p w:rsidR="00CE475B" w:rsidRDefault="00CE475B" w:rsidP="005D448A">
      <w:pPr>
        <w:jc w:val="both"/>
      </w:pPr>
    </w:p>
    <w:p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6"/>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27"/>
      </w:r>
    </w:p>
    <w:p w:rsidR="00CE475B" w:rsidRDefault="00CE475B" w:rsidP="005D448A">
      <w:pPr>
        <w:jc w:val="both"/>
      </w:pPr>
    </w:p>
    <w:p w:rsidR="00CE475B" w:rsidRDefault="00CE475B" w:rsidP="005D448A">
      <w:pPr>
        <w:jc w:val="both"/>
      </w:pPr>
      <w:r>
        <w:lastRenderedPageBreak/>
        <w:tab/>
        <w:t>It is my duty to instruct you on whether [plaintiff] engaged in activity that was protected by the First Amendment.  In this case, I instruct you that the following activity was protected by the First Amendment:</w:t>
      </w:r>
    </w:p>
    <w:p w:rsidR="00CE475B" w:rsidRDefault="00CE475B" w:rsidP="005D448A">
      <w:pPr>
        <w:jc w:val="both"/>
      </w:pPr>
    </w:p>
    <w:p w:rsidR="00CE475B" w:rsidRDefault="00CE475B" w:rsidP="005D448A">
      <w:pPr>
        <w:ind w:left="1440" w:hanging="720"/>
        <w:jc w:val="both"/>
      </w:pPr>
      <w:r>
        <w:rPr>
          <w:rFonts w:ascii="WP TypographicSymbols" w:hAnsi="WP TypographicSymbols"/>
        </w:rPr>
        <w:t>!</w:t>
      </w:r>
      <w:r>
        <w:tab/>
        <w:t>[Describe specifically the plaintiff’s protected activity].  In the rest of this instruction, I will refer to these events as “[plaintiff’s] protected activity.”</w:t>
      </w:r>
    </w:p>
    <w:p w:rsidR="00CE475B" w:rsidRDefault="00CE475B" w:rsidP="005D448A">
      <w:pPr>
        <w:jc w:val="both"/>
      </w:pPr>
    </w:p>
    <w:p w:rsidR="00CE475B" w:rsidRDefault="00CE475B" w:rsidP="005D448A">
      <w:pPr>
        <w:jc w:val="both"/>
      </w:pPr>
      <w:r>
        <w:tab/>
        <w:t>In order for [plaintiff] to recover on this claim against [defendant], [plaintiff] must prove both of the following by a preponderance of the evidence:</w:t>
      </w:r>
    </w:p>
    <w:p w:rsidR="00CE475B" w:rsidRDefault="00CE475B" w:rsidP="005D448A">
      <w:pPr>
        <w:jc w:val="both"/>
      </w:pPr>
    </w:p>
    <w:p w:rsidR="00CE475B" w:rsidRDefault="00CE475B" w:rsidP="005D448A">
      <w:pPr>
        <w:ind w:left="720"/>
        <w:jc w:val="both"/>
      </w:pPr>
      <w:r>
        <w:t xml:space="preserve"> First: [Defendant] [failed to promote] [terminated] [constructively discharged]</w:t>
      </w:r>
      <w:r>
        <w:rPr>
          <w:rStyle w:val="FootnoteReference"/>
        </w:rPr>
        <w:footnoteReference w:id="28"/>
      </w:r>
      <w:r>
        <w:t xml:space="preserve"> [plaintiff]; and</w:t>
      </w:r>
    </w:p>
    <w:p w:rsidR="00FB4C26" w:rsidRDefault="00FB4C26" w:rsidP="005D448A">
      <w:pPr>
        <w:ind w:left="720"/>
        <w:jc w:val="both"/>
      </w:pPr>
    </w:p>
    <w:p w:rsidR="00CE475B" w:rsidRDefault="00CE475B" w:rsidP="005D448A">
      <w:pPr>
        <w:ind w:left="720"/>
        <w:jc w:val="both"/>
      </w:pPr>
      <w:r>
        <w:t>Second: [Plaintiff’s] protected activity was a motivating factor in [defendant's] decision.</w:t>
      </w:r>
    </w:p>
    <w:p w:rsidR="00CE475B" w:rsidRDefault="00CE475B" w:rsidP="005D448A">
      <w:pPr>
        <w:jc w:val="both"/>
      </w:pPr>
    </w:p>
    <w:p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rsidR="00CE475B" w:rsidRDefault="00CE475B" w:rsidP="005D448A">
      <w:pPr>
        <w:jc w:val="both"/>
      </w:pPr>
    </w:p>
    <w:p w:rsidR="00CE475B" w:rsidRDefault="00CE475B" w:rsidP="005D448A">
      <w:pPr>
        <w:jc w:val="both"/>
        <w:rPr>
          <w:b/>
        </w:rPr>
      </w:pPr>
      <w:r>
        <w:rPr>
          <w:b/>
        </w:rPr>
        <w:t>[For use where defendant sets forth a “same decision” affirmative defense:</w:t>
      </w:r>
      <w:r>
        <w:rPr>
          <w:rStyle w:val="FootnoteReference"/>
          <w:b/>
        </w:rPr>
        <w:footnoteReference w:id="29"/>
      </w:r>
    </w:p>
    <w:p w:rsidR="00CE475B" w:rsidRDefault="00CE475B" w:rsidP="005D448A">
      <w:pPr>
        <w:jc w:val="both"/>
      </w:pPr>
    </w:p>
    <w:p w:rsidR="00CE475B" w:rsidRDefault="00CE475B" w:rsidP="005D448A">
      <w:pPr>
        <w:jc w:val="both"/>
      </w:pPr>
      <w:r>
        <w:tab/>
        <w:t>However, [defendant] argues that [he/she] would have made the same decision to [describe adverse action] whether or not [plaintiff] had engaged in the protected activity.  If [defendant] proves by a preponderance of the evidence that  [defendant] would have treated [plaintiff] the same even if [plaintiff's] protected activity had played no role in the employment decision, then your verdict must be for [defendant] on this claim.</w:t>
      </w:r>
      <w:r>
        <w:rPr>
          <w:b/>
        </w:rPr>
        <w:t>]</w:t>
      </w:r>
      <w:r>
        <w:tab/>
      </w:r>
    </w:p>
    <w:p w:rsidR="00CE475B" w:rsidRDefault="00CE475B" w:rsidP="005D448A">
      <w:pPr>
        <w:jc w:val="both"/>
      </w:pPr>
    </w:p>
    <w:p w:rsidR="00CE475B" w:rsidRDefault="00CE475B" w:rsidP="005D448A">
      <w:pPr>
        <w:jc w:val="both"/>
      </w:pPr>
    </w:p>
    <w:p w:rsidR="00CE475B" w:rsidRDefault="00CE475B" w:rsidP="005D448A">
      <w:pPr>
        <w:jc w:val="both"/>
      </w:pPr>
      <w:r>
        <w:rPr>
          <w:b/>
          <w:sz w:val="28"/>
        </w:rPr>
        <w:lastRenderedPageBreak/>
        <w:t>Comment</w:t>
      </w:r>
    </w:p>
    <w:p w:rsidR="00CE475B" w:rsidRDefault="00CE475B" w:rsidP="005D448A">
      <w:pPr>
        <w:jc w:val="both"/>
      </w:pPr>
    </w:p>
    <w:p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abrogated on other grounds by Borough of Duryea v. Guarnieri</w:t>
      </w:r>
      <w:r>
        <w:t>, 131 S. Ct. 2488 (2011).</w:t>
      </w:r>
      <w:r>
        <w:rPr>
          <w:rStyle w:val="FootnoteReference"/>
        </w:rPr>
        <w:footnoteReference w:id="30"/>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1"/>
      </w:r>
      <w:r>
        <w:t xml:space="preserve">  “Second, the employee must show that the protected activity ‘was a substantial factor in the alleged retaliatory action.’”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p>
    <w:p w:rsidR="00CE475B" w:rsidRDefault="00CE475B" w:rsidP="005D448A">
      <w:pPr>
        <w:jc w:val="both"/>
      </w:pPr>
    </w:p>
    <w:p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See, e.g., Zelinski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rsidR="00CE475B" w:rsidRDefault="00CE475B" w:rsidP="005D448A">
      <w:pPr>
        <w:pStyle w:val="ListParagra"/>
      </w:pPr>
    </w:p>
    <w:p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abrogated on other grounds by Borough of Duryea v. Guarnieri</w:t>
      </w:r>
      <w:r>
        <w:t xml:space="preserve">, 131 S. Ct. 2488 (2011). On other occasions, however, it used distinct tests for each.  </w:t>
      </w:r>
      <w:r>
        <w:rPr>
          <w:i/>
        </w:rPr>
        <w:t>See</w:t>
      </w:r>
      <w:r>
        <w:t xml:space="preserve"> </w:t>
      </w:r>
      <w:r>
        <w:rPr>
          <w:i/>
        </w:rPr>
        <w:t>Azzaro v. County of Allegheny</w:t>
      </w:r>
      <w:r>
        <w:t xml:space="preserve">, 110 F.3d 968, 973-75 (3d Cir. 1997) (en banc).  In </w:t>
      </w:r>
      <w:r>
        <w:rPr>
          <w:i/>
        </w:rPr>
        <w:t>University of Texas Southwestern Medical Center v. Nassar</w:t>
      </w:r>
      <w:r>
        <w:t xml:space="preserve">, 133 S. Ct. 2517 (2013), the Court  rejected the motivating-factor standard for claims under Title VII’s retaliation provision. </w:t>
      </w:r>
      <w:r>
        <w:rPr>
          <w:i/>
        </w:rPr>
        <w:t>Nassar</w:t>
      </w:r>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‘“the interest of the State, as an employer, in promoting the efficiency of the public services it performs through its employees.”’” </w:t>
      </w:r>
      <w:r>
        <w:rPr>
          <w:i/>
        </w:rPr>
        <w:t>Waters v. Churchill</w:t>
      </w:r>
      <w:r>
        <w:t xml:space="preserve">, 511 U.S. 661, 668 (1994) (plurality opinion) (quoting </w:t>
      </w:r>
      <w:r>
        <w:rPr>
          <w:i/>
        </w:rPr>
        <w:t>Connick v. Myers</w:t>
      </w:r>
      <w:r>
        <w:t xml:space="preserve">, 461 U.S. 138, 142 (1983) (quoting </w:t>
      </w:r>
      <w:r>
        <w:rPr>
          <w:i/>
        </w:rPr>
        <w:t>Pickering v. Board of Ed. of Township High School Dist. 205, Will Cty.</w:t>
      </w:r>
      <w:r>
        <w:t>, 391 U.S. 563, 568 (1968))).</w:t>
      </w:r>
      <w:r>
        <w:rPr>
          <w:rStyle w:val="FootnoteReference"/>
        </w:rPr>
        <w:footnoteReference w:id="32"/>
      </w:r>
    </w:p>
    <w:p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3"/>
      </w:r>
      <w:r>
        <w:t xml:space="preserve"> must not be made pursuant to the plaintiff’s job responsibilities</w:t>
      </w:r>
      <w:r>
        <w:rPr>
          <w:rStyle w:val="FootnoteReference"/>
        </w:rPr>
        <w:footnoteReference w:id="34"/>
      </w:r>
      <w:r>
        <w:t xml:space="preserve"> as a government employee:  A closely divided Court held in </w:t>
      </w:r>
      <w:r>
        <w:rPr>
          <w:i/>
        </w:rPr>
        <w:t>Garcetti v. Ceballos</w:t>
      </w:r>
      <w:r>
        <w:t xml:space="preserve">, 126 S. Ct. 1951 (2006), that  “when public employees make statements pursuant to their official duties, the employees are not speaking as citizens for First Amendment purposes, and the Constitution does not insulate their </w:t>
      </w:r>
      <w:r>
        <w:lastRenderedPageBreak/>
        <w:t xml:space="preserve">communications from employer discipline.”  </w:t>
      </w:r>
      <w:r>
        <w:rPr>
          <w:i/>
        </w:rPr>
        <w:t>Id.</w:t>
      </w:r>
      <w:r>
        <w:t xml:space="preserve"> at 1960.</w:t>
      </w:r>
      <w:r>
        <w:rPr>
          <w:rStyle w:val="FootnoteReference"/>
        </w:rPr>
        <w:footnoteReference w:id="35"/>
      </w:r>
      <w:r>
        <w:t xml:space="preserve">   The Court of Appeals has since held 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 xml:space="preserve">Reilly v. </w:t>
      </w:r>
      <w:r>
        <w:rPr>
          <w:i/>
        </w:rPr>
        <w:lastRenderedPageBreak/>
        <w:t>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r w:rsidRPr="00A3164E">
        <w:rPr>
          <w:i/>
        </w:rPr>
        <w:t>Garcetti</w:t>
      </w:r>
      <w:r w:rsidRPr="00A3164E">
        <w:t xml:space="preserve"> “precludes First Amendment protection for speech that ‘owes its existence to a public employee's professional responsibilities,’”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employee's duties—might narrow the range of employee speech left unprotected by </w:t>
      </w:r>
      <w:r w:rsidRPr="00A3164E">
        <w:rPr>
          <w:i/>
        </w:rPr>
        <w:t>Garcetti</w:t>
      </w:r>
      <w:r w:rsidRPr="00A3164E">
        <w:t xml:space="preserve">. </w:t>
      </w:r>
      <w:r w:rsidRPr="00A3164E">
        <w:rPr>
          <w:i/>
        </w:rPr>
        <w:t>Id</w:t>
      </w:r>
      <w:r w:rsidRPr="00A3164E">
        <w:t xml:space="preserve"> at 990.  </w:t>
      </w:r>
      <w:r w:rsidRPr="00A3164E">
        <w:rPr>
          <w:i/>
        </w:rPr>
        <w:t>See also</w:t>
      </w:r>
      <w:r w:rsidRPr="00A3164E">
        <w:t xml:space="preserve"> </w:t>
      </w:r>
      <w:r w:rsidRPr="00A3164E">
        <w:rPr>
          <w:i/>
        </w:rPr>
        <w:t>Flora v. County of Luzerne</w:t>
      </w:r>
      <w:r w:rsidRPr="00A3164E">
        <w:t xml:space="preserve">, 776 F.3d 169, 180 (3d Cir. 2015) (relying on </w:t>
      </w:r>
      <w:r w:rsidRPr="00A3164E">
        <w:rPr>
          <w:i/>
        </w:rPr>
        <w:t xml:space="preserve">Dougherty </w:t>
      </w:r>
      <w:r w:rsidRPr="00A3164E">
        <w:t xml:space="preserve">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 For a discussion (albeit without resolution) of the difficulties involved in applying </w:t>
      </w:r>
      <w:r w:rsidRPr="00A3164E">
        <w:rPr>
          <w:i/>
        </w:rPr>
        <w:t>Garcetti</w:t>
      </w:r>
      <w:r w:rsidRPr="00A3164E">
        <w:t xml:space="preserve"> to speech by an elected official, see </w:t>
      </w:r>
      <w:r w:rsidRPr="00A3164E">
        <w:rPr>
          <w:i/>
        </w:rPr>
        <w:t>Werkheiser v. Pocono Twp.,</w:t>
      </w:r>
      <w:r w:rsidRPr="00A3164E">
        <w:t xml:space="preserve"> 780 F.3d 172 (3d Cir. 2015)</w:t>
      </w:r>
      <w:r w:rsidR="009E1096" w:rsidRPr="00FE4DD2">
        <w:t xml:space="preserve">; </w:t>
      </w:r>
      <w:r w:rsidR="009E1096" w:rsidRPr="00136001">
        <w:rPr>
          <w:i/>
        </w:rPr>
        <w:t>cf</w:t>
      </w:r>
      <w:r w:rsidR="009E1096" w:rsidRPr="00136001">
        <w:t xml:space="preserve">. </w:t>
      </w:r>
      <w:r w:rsidR="009E1096" w:rsidRPr="00136001">
        <w:rPr>
          <w:i/>
        </w:rPr>
        <w:t>Zaloga v. Borough of Moosic</w:t>
      </w:r>
      <w:r w:rsidR="009E1096" w:rsidRPr="00136001">
        <w:t xml:space="preserve">, 841 F.3d 170, 176-77 (3d Cir. 2016) (discussing the legal uncertainty involved in deciding “when a government official’s own speech can . . . constitute unconstitutional retaliation”).  </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r>
        <w:rPr>
          <w:i/>
        </w:rPr>
        <w:t>Connick</w:t>
      </w:r>
      <w:r>
        <w:t xml:space="preserve"> / </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court must apply the </w:t>
      </w:r>
      <w:r>
        <w:rPr>
          <w:i/>
        </w:rPr>
        <w:t>Connick</w:t>
      </w:r>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36"/>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37"/>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38"/>
      </w:r>
      <w:r>
        <w:t xml:space="preserve">  However, the plurality’s application of its test is indicative: </w:t>
      </w:r>
      <w:r>
        <w:lastRenderedPageBreak/>
        <w:t xml:space="preserve">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39"/>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Whether the plaintiff’s statements were protected by the First Amendment is a question of law for the court.  </w:t>
      </w:r>
      <w:r>
        <w:rPr>
          <w:i/>
        </w:rPr>
        <w:t>See Azzaro v. County of Allegheny</w:t>
      </w:r>
      <w:r>
        <w:t>, 110 F.3d 968, 975 (3d Cir. 1997) (en banc) (“We must first inquire whether Azzaro's reports to Fox and Sirabella were protected by the First Amendment. This is a question of law.”).</w:t>
      </w:r>
      <w:r>
        <w:rPr>
          <w:rStyle w:val="FootnoteReference"/>
        </w:rPr>
        <w:footnoteReference w:id="40"/>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 </w:t>
      </w:r>
      <w:r>
        <w:rPr>
          <w:i/>
        </w:rPr>
        <w:t>Azzaro</w:t>
      </w:r>
      <w:r>
        <w:t xml:space="preserve">, 110 F.3d at 976 (quoting </w:t>
      </w:r>
      <w:r>
        <w:rPr>
          <w:i/>
        </w:rPr>
        <w:t>Connick v. Myers</w:t>
      </w:r>
      <w:r>
        <w:t>, 461 U.S. 138, 147-48 (1983)).</w:t>
      </w:r>
      <w:r>
        <w:rPr>
          <w:rStyle w:val="FootnoteReference"/>
        </w:rPr>
        <w:footnoteReference w:id="41"/>
      </w:r>
      <w:r>
        <w:t xml:space="preserve">  Second, the employee’s expressive conduct must not have been part of the </w:t>
      </w:r>
      <w:r>
        <w:lastRenderedPageBreak/>
        <w:t xml:space="preserve">employee’s job duties.  </w:t>
      </w:r>
      <w:r>
        <w:rPr>
          <w:i/>
        </w:rPr>
        <w:t>See supra</w:t>
      </w:r>
      <w:r>
        <w:t xml:space="preserve"> (discussing </w:t>
      </w:r>
      <w:r>
        <w:rPr>
          <w:i/>
        </w:rPr>
        <w:t>Garcetti v. Ceballos</w:t>
      </w:r>
      <w:r>
        <w:t xml:space="preserve">, 126 S. Ct. 1951 (2006)).  Third, “the value of that expression must outweigh ‘the government's interest in the effective and efficient fulfillment of its responsibilities to the public.’” </w:t>
      </w:r>
      <w:r>
        <w:rPr>
          <w:i/>
        </w:rPr>
        <w:t>Azzaro</w:t>
      </w:r>
      <w:r>
        <w:t xml:space="preserve">, 110 F.3d at 976 (quoting </w:t>
      </w:r>
      <w:r>
        <w:rPr>
          <w:i/>
        </w:rPr>
        <w:t>Connick</w:t>
      </w:r>
      <w:r>
        <w:t>, 461 U.S. at 150).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r>
        <w:rPr>
          <w:i/>
        </w:rPr>
        <w:t>Azzaro</w:t>
      </w:r>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Azzaro had made, in her capacity as the spouse of an employee, to plead for her husband's job.”  </w:t>
      </w:r>
      <w:r>
        <w:rPr>
          <w:i/>
        </w:rPr>
        <w:t>Azzaro</w:t>
      </w:r>
      <w:r>
        <w:t xml:space="preserve">, 110 F.3d at 978.  Reasoning that the plaintiff’s reports “brought to light actual wrongdoing on the part of one exercising public authority that would be relevant to the electorate's evaluation of the performance of the office of an elected official,” the en banc majority held that the reports “should be regarded as a matter of public concern unless something in their form or context deprived them of their value to the process of self-governance.”  </w:t>
      </w:r>
      <w:r>
        <w:rPr>
          <w:i/>
        </w:rPr>
        <w:t>Id.</w:t>
      </w:r>
      <w:r>
        <w:t xml:space="preserve"> at 978-79.  Under </w:t>
      </w:r>
      <w:r>
        <w:rPr>
          <w:i/>
        </w:rPr>
        <w:t>Azzaro</w:t>
      </w:r>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w:t>
      </w:r>
      <w:r>
        <w:lastRenderedPageBreak/>
        <w:t xml:space="preserve">evaluation of the performance of the public office involved than the situation now before us”); </w:t>
      </w:r>
      <w:r>
        <w:rPr>
          <w:i/>
        </w:rPr>
        <w:t xml:space="preserve">see id. </w:t>
      </w:r>
      <w:r>
        <w:t xml:space="preserve">at 981 (Becker, J., joined by Scirica,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r>
        <w:rPr>
          <w:i/>
        </w:rPr>
        <w:t>Montone v. City of Jersey City</w:t>
      </w:r>
      <w:r>
        <w:t>, 709 F.3d 181, 194-95 (3d Cir. 2013) (holding that plaintiff’s “speech involved a matter of public concern,” even though “no elected figure [wa]s involved,” where there were “at least three separate instances of alleged sexual harassment . . .  and the inappropriate conduct was not directed solely at Montone”).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2"/>
      </w:r>
      <w:r>
        <w:t xml:space="preserve"> against “the government's interest as an employer in promoting the efficiency of the services it performs through its employees.”</w:t>
      </w:r>
      <w:r>
        <w:rPr>
          <w:rStyle w:val="FootnoteReference"/>
        </w:rPr>
        <w:footnoteReference w:id="43"/>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abrogated on other grounds by Borough of Duryea v. Guarnieri</w:t>
      </w:r>
      <w:r>
        <w:t>, 131 S. Ct. 2488 (2011).</w:t>
      </w:r>
      <w:r>
        <w:rPr>
          <w:rStyle w:val="FootnoteReference"/>
        </w:rPr>
        <w:footnoteReference w:id="44"/>
      </w:r>
      <w:r w:rsidR="00A3164E">
        <w:t xml:space="preserve"> </w:t>
      </w:r>
      <w:r w:rsidR="00A3164E" w:rsidRPr="00A3164E">
        <w:t xml:space="preserve">In applying the </w:t>
      </w:r>
      <w:r w:rsidR="00A3164E" w:rsidRPr="00A3164E">
        <w:rPr>
          <w:i/>
        </w:rPr>
        <w:t>Pickering</w:t>
      </w:r>
      <w:r w:rsidR="00A3164E" w:rsidRPr="00A3164E">
        <w:t xml:space="preserve"> balancing test, the district court should be aware that “[s]ome disruption is almost certainly inevitable,” and that it “is against [Third Circuit] precedent to find against an employee where the disruption ‘was primarily the result, not of the plaintiff's exercise of speech, but of his superiors’ attempts to suppress it.’” </w:t>
      </w:r>
      <w:r w:rsidR="00A3164E" w:rsidRPr="00A3164E">
        <w:rPr>
          <w:i/>
        </w:rPr>
        <w:t xml:space="preserve">Dougherty v. School Dist. of Philadelphia, </w:t>
      </w:r>
      <w:r w:rsidR="00A3164E" w:rsidRPr="00A3164E">
        <w:t xml:space="preserve">772 F.3d 979, 992 (3d Cir. 2014) (quoting </w:t>
      </w:r>
      <w:r w:rsidR="00A3164E" w:rsidRPr="00A3164E">
        <w:rPr>
          <w:i/>
          <w:iCs/>
        </w:rPr>
        <w:t>Czurlanis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5"/>
      </w:r>
      <w:r>
        <w:t xml:space="preserve">  The plaintiff must show a “causal link” between the protected speech and the adverse employment action.  </w:t>
      </w:r>
      <w:r>
        <w:rPr>
          <w:i/>
        </w:rPr>
        <w:t>See, e.g., Thomas v. Town of Hammonton</w:t>
      </w:r>
      <w:r>
        <w:t xml:space="preserve">, 351 F.3d 108, 114 (3d Cir. 2003); </w:t>
      </w:r>
      <w:r>
        <w:rPr>
          <w:i/>
        </w:rPr>
        <w:t>see also Azzaro</w:t>
      </w:r>
      <w:r>
        <w:t>, 110 F.3d at 981 (reversing summary judgment dismissing First Amendment retaliation claim, because there existed “a material dispute of fact as to whether [plaintiff’s] reports were a motivating factor in the discharge decision”).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de minimis</w:t>
      </w:r>
      <w:r>
        <w:t xml:space="preserve">.  </w:t>
      </w:r>
      <w:r>
        <w:rPr>
          <w:i/>
        </w:rPr>
        <w:t>See McKee v. Hart</w:t>
      </w:r>
      <w:r>
        <w:t xml:space="preserve">, 436 F.3d 165,170 (3d Cir. 2006) (“[N]ot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t>
      </w:r>
      <w:r>
        <w:lastRenderedPageBreak/>
        <w:t xml:space="preserve">would be </w:t>
      </w:r>
      <w:r>
        <w:rPr>
          <w:i/>
        </w:rPr>
        <w:t xml:space="preserve">de minimis </w:t>
      </w:r>
      <w:r>
        <w:t xml:space="preserve">by itself or if viewed in isolation.”  </w:t>
      </w:r>
      <w:r>
        <w:rPr>
          <w:i/>
        </w:rPr>
        <w:t>Brennan v. Norton</w:t>
      </w:r>
      <w:r>
        <w:t xml:space="preserve">, 350 F.3d 399, 419 n.16 (3d Cir. 2003), </w:t>
      </w:r>
      <w:r>
        <w:rPr>
          <w:i/>
        </w:rPr>
        <w:t>abrogated on other grounds by Borough of Duryea v. Guarnieri</w:t>
      </w:r>
      <w:r>
        <w:t xml:space="preserve">, 131 S. Ct. 2488 (2011); </w:t>
      </w:r>
      <w:r>
        <w:rPr>
          <w:i/>
        </w:rPr>
        <w:t>see also Suppan v. Dadonna</w:t>
      </w:r>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r>
        <w:rPr>
          <w:i/>
        </w:rPr>
        <w:t>Suppan</w:t>
      </w:r>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r w:rsidR="00A3164E" w:rsidRPr="00A3164E">
        <w:rPr>
          <w:i/>
        </w:rPr>
        <w:t>Werkheiser v. Pocono Twp.,</w:t>
      </w:r>
      <w:r w:rsidR="00A3164E" w:rsidRPr="00A3164E">
        <w:t xml:space="preserve"> 780 F.3d 172 (3d Cir. 2015) (discussing but not resolving what kinds of political retaliation by elected officials against their peers violate the First Amendment).</w:t>
      </w:r>
      <w:r>
        <w:rPr>
          <w:rStyle w:val="FootnoteReference"/>
        </w:rPr>
        <w:footnoteReference w:id="46"/>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decisionmakers must be aware of the protected conduct.”  </w:t>
      </w:r>
      <w:r>
        <w:rPr>
          <w:i/>
        </w:rPr>
        <w:t>Ambrose v. Township of Robinson, Pa.</w:t>
      </w:r>
      <w:r>
        <w:t xml:space="preserve">, 303 F.3d 488, 493 (3d Cir. 2002).  If the plaintiff shows that the decisionmaker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xml:space="preserve">, 351 F.3d at 114, but “[e]ven if timing alone could ever be sufficient to establish a causal link, . . . the timing of the alleged retaliatory action must be 'unusually suggestive' of retaliatory motive before a causal link will be inferred."  </w:t>
      </w:r>
      <w:r>
        <w:rPr>
          <w:i/>
        </w:rPr>
        <w:t>Estate of Smith v. Marasco</w:t>
      </w:r>
      <w:r>
        <w:t xml:space="preserve">, 318 F.3d 497, 512 (3d Cir. 2003) (quoting </w:t>
      </w:r>
      <w:r>
        <w:rPr>
          <w:i/>
        </w:rPr>
        <w:t>Krouse v. Am. Sterilizer Co.</w:t>
      </w:r>
      <w:r>
        <w:t>, 126 F.3d 494, 503 (3d Cir. 1997)).</w:t>
      </w:r>
      <w:r>
        <w:rPr>
          <w:rStyle w:val="FootnoteReference"/>
        </w:rPr>
        <w:footnoteReference w:id="47"/>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Lauren W. v. DeFlaminis</w:t>
      </w:r>
      <w:r>
        <w:t>, 480 F.3d 259 (3d Cir. 2007)</w:t>
      </w:r>
      <w:r w:rsidR="006D62E6">
        <w:t>—</w:t>
      </w:r>
      <w:r>
        <w:t>a case involving retaliation claims under both the First Amendment and the Rehabilitation Act</w:t>
      </w:r>
      <w:r w:rsidR="006D62E6">
        <w:t>—</w:t>
      </w:r>
      <w:r>
        <w:t>the Court of Appeals noted three options for proving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lastRenderedPageBreak/>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48"/>
      </w:r>
    </w:p>
    <w:p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49"/>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0"/>
      </w:r>
      <w:r>
        <w:t xml:space="preserve">  In other words, “the defendant[], in proving ‘same decision,’ must prove that the protected conduct was </w:t>
      </w:r>
      <w:r>
        <w:rPr>
          <w:i/>
        </w:rPr>
        <w:t>not</w:t>
      </w:r>
      <w:r>
        <w:t xml:space="preserve"> the but-for cause.”  </w:t>
      </w:r>
      <w:r>
        <w:rPr>
          <w:i/>
        </w:rPr>
        <w:t>Suppan v. Dadonna</w:t>
      </w:r>
      <w:r>
        <w:t>, 203 F.3d 228, 236 (3d Cir. 2000).</w:t>
      </w: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7"/>
          <w:headerReference w:type="default" r:id="rId18"/>
          <w:footerReference w:type="even" r:id="rId19"/>
          <w:type w:val="continuous"/>
          <w:pgSz w:w="12240" w:h="15840"/>
          <w:pgMar w:top="1440" w:right="1440" w:bottom="1440" w:left="1440" w:header="1440" w:footer="1440" w:gutter="0"/>
          <w:lnNumType w:countBy="1" w:distance="576"/>
          <w:cols w:space="720"/>
          <w:docGrid w:linePitch="326"/>
        </w:sectPr>
      </w:pPr>
    </w:p>
    <w:p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1"/>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2"/>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3"/>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4"/>
      </w:r>
      <w:r>
        <w:t xml:space="preserve">  Specifically, the Court held that there is a Seventh Amendment right</w:t>
      </w:r>
      <w:r>
        <w:rPr>
          <w:rStyle w:val="FootnoteReference"/>
        </w:rPr>
        <w:footnoteReference w:id="55"/>
      </w:r>
      <w:r>
        <w:t xml:space="preserve"> to a jury determination of the question of liability in a Section 1983 suit seeking damages </w:t>
      </w:r>
      <w:r>
        <w:lastRenderedPageBreak/>
        <w:t xml:space="preserve">reflecting just compensation for a regulatory taking.  </w:t>
      </w:r>
      <w:r>
        <w:rPr>
          <w:i/>
        </w:rPr>
        <w:t xml:space="preserve">See id. </w:t>
      </w:r>
      <w:r>
        <w:t xml:space="preserve">at 721.  As the Court explained, “[e]ven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r>
        <w:rPr>
          <w:i/>
        </w:rPr>
        <w:t>Feltner v. Columbia Pictures Television, Inc.</w:t>
      </w:r>
      <w:r>
        <w:t xml:space="preserve">, 523 U.S. 340, 352 (1998) (quoting </w:t>
      </w:r>
      <w:r>
        <w:rPr>
          <w:i/>
        </w:rPr>
        <w:t>Chauffeurs, Teamsters and Helpers, Local No. 391 v. Terry</w:t>
      </w:r>
      <w:r>
        <w:t xml:space="preserve">, 494 U.S. 558, 570 (1990))), and on the view that “[j]ust compensation . . . differs from equitable restitution and other monetary remedies available in equity, for in determining just compensation, ‘the question is what has the owner lost, not what has the taker gained,’” </w:t>
      </w:r>
      <w:r>
        <w:rPr>
          <w:i/>
        </w:rPr>
        <w:t>id.</w:t>
      </w:r>
      <w:r>
        <w:t xml:space="preserve"> (quoting </w:t>
      </w:r>
      <w:r>
        <w:rPr>
          <w:i/>
        </w:rPr>
        <w:t>Boston Chamber of Commerce v. Boston</w:t>
      </w:r>
      <w:r>
        <w:t>, 217 U.S. 189, 195 (1910)).</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r>
        <w:rPr>
          <w:i/>
        </w:rPr>
        <w:t>Markman v. Westview Instruments, Inc.</w:t>
      </w:r>
      <w:r>
        <w:t>, 517 U.S. 370 (1996)).</w:t>
      </w:r>
      <w:r>
        <w:rPr>
          <w:rStyle w:val="FootnoteReference"/>
        </w:rPr>
        <w:footnoteReference w:id="56"/>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at 231 (“The courts of appeal have taken at least five different positions about the right of jury trial in back pay claims under §§ 1981 and 1983.”), and the Third Circuit caselaw is inconclusive.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See Laskaris v. Thornburgh</w:t>
      </w:r>
      <w:r>
        <w:t>, 733 F.2d 260, 263 (3d Cir. 1984) (“[A]lthough the request for back pay under section 1983 seeks only equitable relief . . . , a claim for compensatory and punitive damages is a legal claim entitling the plaintiff to a jury trial.”).</w:t>
      </w:r>
      <w:r>
        <w:rPr>
          <w:rStyle w:val="FootnoteReference"/>
        </w:rPr>
        <w:footnoteReference w:id="57"/>
      </w:r>
      <w:r>
        <w:t xml:space="preserve">  Thus, for example, in </w:t>
      </w:r>
      <w:r>
        <w:rPr>
          <w:i/>
        </w:rPr>
        <w:t>Savarese v. Agriss</w:t>
      </w:r>
      <w:r>
        <w:t xml:space="preserve">, the Court </w:t>
      </w:r>
      <w:r>
        <w:lastRenderedPageBreak/>
        <w:t xml:space="preserve">of Appeals (in vacating and remanding for a redetermination of damages and back pay) indicated that the question of compensatory damages was for the jury while the question of back pay was for the trial judge.  </w:t>
      </w:r>
      <w:r>
        <w:rPr>
          <w:i/>
        </w:rPr>
        <w:t>See Savarese v. Agriss</w:t>
      </w:r>
      <w:r>
        <w:t>, 883 F.2d 1194, 1206 (3d Cir. 1989) (“[W]e will vacate both Savarese's compensatory damage award and the equitable award of back pay for Savarese and remand to the district court for a new trial on compensatory damages and a recalculation of back pay by the district judge.”).</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On at least one occasion, however, the Court of Appeals has appeared to contemplate a procedure by which both back pay and front pay were submitted to the jury.</w:t>
      </w:r>
      <w:r>
        <w:rPr>
          <w:rStyle w:val="FootnoteReference"/>
        </w:rPr>
        <w:footnoteReference w:id="58"/>
      </w:r>
      <w:r>
        <w:t xml:space="preserve">  In </w:t>
      </w:r>
      <w:r>
        <w:rPr>
          <w:i/>
        </w:rPr>
        <w:t>Squires v. Bonser</w:t>
      </w:r>
      <w:r>
        <w:t xml:space="preserve">, the Court of Appeals held that the district court abused its discretion in denying reinstatement.  </w:t>
      </w:r>
      <w:r>
        <w:rPr>
          <w:i/>
        </w:rPr>
        <w:t>Squires v. Bonser</w:t>
      </w:r>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 xml:space="preserve">at 176 n.15 (noting that in the previous trial the trial judge instructed the jury that the “[p]laintiff is entitled to be compensated for any wages that you find that he lost up to this date, or any wages that you find that he may lose in the future”); </w:t>
      </w:r>
      <w:r>
        <w:rPr>
          <w:i/>
        </w:rPr>
        <w:t>id.</w:t>
      </w:r>
      <w:r>
        <w:t xml:space="preserve"> at 176 n.16 (“[A]sking the jury for a lump-sum award which includes front-pay when the plaintiff also seeks reinstatement. . . .  wastes judicial resources in that if reinstatement is awarded a retrial is then required to parcel out the damages into component parts (i.e., front-pay versus back-pay).”).</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59"/>
      </w:r>
      <w:r>
        <w:t xml:space="preserve"> the court could draft an instruction on that issue by making appropriate adaptations to Instruction 5.4.3 (concerning back pay under Title VII).</w:t>
      </w:r>
    </w:p>
    <w:p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0"/>
      </w:r>
      <w:r>
        <w:t xml:space="preserve">  The determination concerning reinstatement is for the district court.</w:t>
      </w:r>
      <w:r>
        <w:rPr>
          <w:rStyle w:val="FootnoteReference"/>
        </w:rPr>
        <w:footnoteReference w:id="61"/>
      </w:r>
      <w:r>
        <w:t xml:space="preserve">  If the district court determines that reinstatement is </w:t>
      </w:r>
      <w:r>
        <w:lastRenderedPageBreak/>
        <w:t>appropriate, then the district court should award reinstatement and should not</w:t>
      </w:r>
      <w:r w:rsidR="005D448A">
        <w:t xml:space="preserve"> permit the award of front pay.</w:t>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2"/>
      </w:r>
      <w:r>
        <w:t xml:space="preserve"> though here, too, the Third Circuit caselaw is inconclusive.</w:t>
      </w:r>
      <w:r>
        <w:rPr>
          <w:rStyle w:val="FootnoteReference"/>
        </w:rPr>
        <w:footnoteReference w:id="63"/>
      </w:r>
      <w:r>
        <w:t xml:space="preserve">  In the context of the Age Discrimination in Employment Act, the Court of Appeals has treated the amount of front pay as a question for the jury.  </w:t>
      </w:r>
      <w:r>
        <w:rPr>
          <w:i/>
        </w:rPr>
        <w:t>See</w:t>
      </w:r>
      <w:r>
        <w:t xml:space="preserve"> </w:t>
      </w:r>
      <w:r>
        <w:rPr>
          <w:i/>
        </w:rPr>
        <w:t>Maxfield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r>
        <w:rPr>
          <w:i/>
        </w:rPr>
        <w:t>Maxfield</w:t>
      </w:r>
      <w:r>
        <w:t xml:space="preserve"> court’s reasoning suggests that front pay should be viewed as a </w:t>
      </w:r>
      <w:r>
        <w:lastRenderedPageBreak/>
        <w:t>legal remedy,</w:t>
      </w:r>
      <w:r>
        <w:rPr>
          <w:rStyle w:val="FootnoteReference"/>
        </w:rPr>
        <w:footnoteReference w:id="64"/>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5"/>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66"/>
      </w: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67"/>
      </w:r>
      <w:r>
        <w:t xml:space="preserve"> the court could draft an instruction on that issue by making appropriate adaptations to Instruction 5.4.4 (concerning front pay under Title VII).</w:t>
      </w:r>
    </w:p>
    <w:sectPr w:rsidR="005D448A" w:rsidSect="005D448A">
      <w:headerReference w:type="default" r:id="rId20"/>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D0" w:rsidRDefault="009521D0">
      <w:r>
        <w:separator/>
      </w:r>
    </w:p>
  </w:endnote>
  <w:endnote w:type="continuationSeparator" w:id="0">
    <w:p w:rsidR="009521D0" w:rsidRDefault="0095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C" w:rsidRDefault="00FA5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Pr>
      <w:id w:val="-736085254"/>
      <w:docPartObj>
        <w:docPartGallery w:val="Page Numbers (Bottom of Page)"/>
        <w:docPartUnique/>
      </w:docPartObj>
    </w:sdtPr>
    <w:sdtEndPr>
      <w:rPr>
        <w:noProof/>
      </w:rPr>
    </w:sdtEndPr>
    <w:sdtContent>
      <w:p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FA5ABC">
          <w:rPr>
            <w:noProof/>
            <w:szCs w:val="24"/>
          </w:rPr>
          <w:t>1</w:t>
        </w:r>
        <w:r w:rsidRPr="00DA6B11">
          <w:rPr>
            <w:noProof/>
            <w:szCs w:val="24"/>
          </w:rPr>
          <w:fldChar w:fldCharType="end"/>
        </w:r>
        <w:r w:rsidRPr="00DA6B11">
          <w:rPr>
            <w:noProof/>
            <w:szCs w:val="24"/>
          </w:rPr>
          <w:t xml:space="preserve"> </w:t>
        </w:r>
      </w:p>
      <w:p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Pr>
            <w:i/>
            <w:noProof/>
            <w:szCs w:val="24"/>
          </w:rPr>
          <w:t>March 2017</w:t>
        </w:r>
      </w:p>
      <w:p w:rsidR="0080738C" w:rsidRPr="00DA6B11" w:rsidRDefault="009521D0" w:rsidP="00DA6B11">
        <w:pPr>
          <w:widowControl w:val="0"/>
          <w:tabs>
            <w:tab w:val="center" w:pos="4680"/>
            <w:tab w:val="right" w:pos="9360"/>
          </w:tabs>
          <w:autoSpaceDE w:val="0"/>
          <w:autoSpaceDN w:val="0"/>
          <w:adjustRightInd w:val="0"/>
          <w:jc w:val="center"/>
          <w:rPr>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C" w:rsidRDefault="00FA5A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D0" w:rsidRDefault="009521D0">
      <w:r>
        <w:separator/>
      </w:r>
    </w:p>
  </w:footnote>
  <w:footnote w:type="continuationSeparator" w:id="0">
    <w:p w:rsidR="009521D0" w:rsidRDefault="009521D0">
      <w:r>
        <w:continuationSeparator/>
      </w:r>
    </w:p>
  </w:footnote>
  <w:footnote w:id="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r>
        <w:rPr>
          <w:i/>
        </w:rPr>
        <w:t>Engquist v. Oregon Department of Agriculture</w:t>
      </w:r>
      <w:r>
        <w:t>, 128 S.Ct. 2146, 2148-2149, 2157 (2008).</w:t>
      </w:r>
    </w:p>
  </w:footnote>
  <w:footnote w:id="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id. § 2000e(h) (defining “industry affecting commerce” to include “any governmental industry, business, or activity”).</w:t>
      </w:r>
    </w:p>
  </w:footnote>
  <w:footnote w:id="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Al-Khazraji</w:t>
      </w:r>
      <w:r>
        <w:t>, 481 U.S. 604, 609 (1987) (noting that “the Court has construed [Section 1981] to forbid all ‘racial’ discrimination in the making of private as well as public contracts”).</w:t>
      </w:r>
    </w:p>
  </w:footnote>
  <w:footnote w:id="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caselaw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92-98 (1998) (arguing that non-supervisory co-workers can violate equal protection by “us[ing] their position with a government employer as an opportunity to engage in severe and pervasive harassment of fellow employees”); </w:t>
      </w:r>
      <w:r>
        <w:rPr>
          <w:i/>
        </w:rPr>
        <w:t xml:space="preserve">see also infra </w:t>
      </w:r>
      <w:r>
        <w:t>Comment 7.3.</w:t>
      </w:r>
    </w:p>
  </w:footnote>
  <w:footnote w:id="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xml:space="preserve">, 895 F.2d at 1480 (“Liciardello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0">
    <w:p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F.Supp.2d 544, 558 (D. Del. 1999)  (“A claim of retaliation cannot be the sole basis for a § 1983 claim where there is no violation of the Constitution or federal law, other than the retaliation provision of Title VII.”).</w:t>
      </w:r>
    </w:p>
    <w:p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r>
        <w:rPr>
          <w:i/>
        </w:rPr>
        <w:t>Bivens</w:t>
      </w:r>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Davis v. Passman</w:t>
      </w:r>
      <w:r>
        <w:t xml:space="preserve">, 442 U.S. 228, 248-49 (1979) (holding that personal staff member of Member of Congress could bring </w:t>
      </w:r>
      <w:r>
        <w:rPr>
          <w:i/>
        </w:rPr>
        <w:t>Bivens</w:t>
      </w:r>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Bohen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r>
        <w:rPr>
          <w:i/>
        </w:rPr>
        <w:t>Bonenberger</w:t>
      </w:r>
      <w:r>
        <w:t xml:space="preserve"> court noted that “a state employee who pursues purely private motives and whose interaction with the victim is unconnected with his execution of official duties does not act under color of law.”  </w:t>
      </w:r>
      <w:r>
        <w:rPr>
          <w:i/>
        </w:rPr>
        <w:t>Bonenberger</w:t>
      </w:r>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r>
        <w:rPr>
          <w:i/>
        </w:rPr>
        <w:t>Bonenberger</w:t>
      </w:r>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1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1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1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 Bonenberger</w:t>
      </w:r>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0">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r>
        <w:rPr>
          <w:i/>
        </w:rPr>
        <w:t>Bohen</w:t>
      </w:r>
      <w:r>
        <w:t xml:space="preserve">, 799 F.2d at 1187; </w:t>
      </w:r>
      <w:r>
        <w:rPr>
          <w:i/>
        </w:rPr>
        <w:t>see also Ascolese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r>
        <w:rPr>
          <w:i/>
        </w:rPr>
        <w:t>Bohen</w:t>
      </w:r>
      <w:r>
        <w:t>).</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See, e.g., Tuggle v. Mangan</w:t>
      </w:r>
      <w:r>
        <w:t xml:space="preserve">, 348 F.3d 714, 720 (8th Cir. 2003) (applying elements of Title VII claim to Section 1983 harassment claim); </w:t>
      </w:r>
      <w:r>
        <w:rPr>
          <w:i/>
        </w:rPr>
        <w:t>cf. Ascolese</w:t>
      </w:r>
      <w:r>
        <w:t>, 902 F. Supp. at 548 (drawing upon Title VII caselaw concerning sexual harassment in order to address Section 1983 sexual harassment claim, while acknowledging that the Title VII precedent “does not apply directly”).</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1">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caselaw recognizes that courts analyzing Title VII hostile-environment claims should look to whether the conduct in question was “severe or pervasive.”  See Comment 5.1.4.</w:t>
      </w:r>
    </w:p>
  </w:footnote>
  <w:footnote w:id="22">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3">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Bonenberger</w:t>
      </w:r>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4">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Zelinski v. Pennsylvania State Police</w:t>
      </w:r>
      <w:r>
        <w:t>, 108 Fed. Appx. 700, 703 (3d Cir. 2004) (non-precedential opinion) (holding that defendant did not act under color of law when committing alleged harassment because he had neither formal nor de facto supervisory authority over plaintiff).</w:t>
      </w:r>
    </w:p>
    <w:p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See, e.g., Zelinski</w:t>
      </w:r>
      <w:r>
        <w:t>, 108 Fed.Appx. at 704 (holding that district court should not have granted summary judgment dismissing Title VII harassment claim).</w:t>
      </w:r>
    </w:p>
  </w:footnote>
  <w:footnote w:id="25">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Bohen</w:t>
      </w:r>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occurring--even in the absence of actual knowledge of its occurrence--constitutes deliberate indifference, where the employer has also failed to take any steps to encourage the reporting of such incidents”).</w:t>
      </w:r>
    </w:p>
  </w:footnote>
  <w:footnote w:id="26">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27">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28">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minimis.  </w:t>
      </w:r>
      <w:r>
        <w:rPr>
          <w:i/>
        </w:rPr>
        <w:t>See</w:t>
      </w:r>
      <w:r>
        <w:t xml:space="preserve"> Comment.</w:t>
      </w:r>
    </w:p>
  </w:footnote>
  <w:footnote w:id="29">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0">
    <w:p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1">
    <w:p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“[R]etaliation by a government employer for a public employee's exercise of the right of access to the courts may implicate the protections of the Petition Clause.”  </w:t>
      </w:r>
      <w:r>
        <w:rPr>
          <w:i/>
        </w:rPr>
        <w:t>Borough of Duryea v. Guarnieri</w:t>
      </w:r>
      <w:r>
        <w:t xml:space="preserve">, 131 S. Ct. 2488, 2494 (2011).  In </w:t>
      </w:r>
      <w:r>
        <w:rPr>
          <w:i/>
        </w:rPr>
        <w:t>Guarnieri</w:t>
      </w:r>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Pr="00136001">
        <w:rPr>
          <w:i/>
        </w:rPr>
        <w:t>See also</w:t>
      </w:r>
      <w:r w:rsidRPr="00136001">
        <w:t xml:space="preserve"> </w:t>
      </w:r>
      <w:r w:rsidRPr="00136001">
        <w:rPr>
          <w:i/>
        </w:rPr>
        <w:t>Mack v. Warden Loretto FCI</w:t>
      </w:r>
      <w:r w:rsidRPr="00136001">
        <w:t xml:space="preserve">, 839 F.3d 286 (3d Cir. 2016) (holding that an inmate’s oral grievance is protected under the Petition Clause). </w:t>
      </w:r>
      <w:r w:rsidRPr="00433479">
        <w:t xml:space="preserve">A public employee may also have a retaliation claim based on the First Amendment right to freedom of association. </w:t>
      </w:r>
      <w:r w:rsidRPr="00433479">
        <w:rPr>
          <w:i/>
        </w:rPr>
        <w:t>See, e.g</w:t>
      </w:r>
      <w:r w:rsidRPr="00433479">
        <w:t xml:space="preserve">., </w:t>
      </w:r>
      <w:r w:rsidRPr="00433479">
        <w:rPr>
          <w:i/>
        </w:rPr>
        <w:t>Heffernan v. Paterson</w:t>
      </w:r>
      <w:r>
        <w:t xml:space="preserve">, </w:t>
      </w:r>
      <w:r w:rsidRPr="00CD3E58">
        <w:t>136 S. Ct. 1412 (2016)</w:t>
      </w:r>
      <w:r w:rsidRPr="00433479">
        <w:t>.</w:t>
      </w:r>
    </w:p>
  </w:footnote>
  <w:footnote w:id="33">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r>
        <w:rPr>
          <w:i/>
        </w:rPr>
        <w:t>Garcetti v. Ceballos</w:t>
      </w:r>
      <w:r>
        <w:t xml:space="preserve">, 126 S. Ct. 1951, 1962 (2006).  In </w:t>
      </w:r>
      <w:r>
        <w:rPr>
          <w:i/>
        </w:rPr>
        <w:t>Garcetti</w:t>
      </w:r>
      <w:r>
        <w:t xml:space="preserve">, which involved a deputy district attorney who sued the County of Los Angeles, and also certain of his supervisors in the Los Angeles District Attorney's Office, the Court found it unnecessary to determine whether its analysis in </w:t>
      </w:r>
      <w:r>
        <w:rPr>
          <w:i/>
        </w:rPr>
        <w:t xml:space="preserve">Garcetti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r>
        <w:rPr>
          <w:i/>
        </w:rPr>
        <w:t xml:space="preserve">Garcetti </w:t>
      </w:r>
      <w:r>
        <w:t xml:space="preserve">applied to this case, Borden's speech would not be protected as it was made pursuant to his official duties as a coach of the EBHS football team and not as an ordinary citizen. However, even if </w:t>
      </w:r>
      <w:r>
        <w:rPr>
          <w:i/>
        </w:rPr>
        <w:t xml:space="preserve">Garcetti </w:t>
      </w:r>
      <w:r>
        <w:t>does not apply in the educational context, Borden's conduct is not on a matter of public concern for the reasons just described.”).</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Court of Appeals has noted that “[t]he full implications of the Supreme Court's statements in </w:t>
      </w:r>
      <w:r>
        <w:rPr>
          <w:i/>
        </w:rPr>
        <w:t xml:space="preserve">Garcetti </w:t>
      </w:r>
      <w:r>
        <w:t xml:space="preserve">regarding ‘speech related to scholarship or teaching’ are not clear.... As a result, federal circuit courts differ over whether (and, if so, when) to apply </w:t>
      </w:r>
      <w:r>
        <w:rPr>
          <w:i/>
        </w:rPr>
        <w:t>Garcetti</w:t>
      </w:r>
      <w:r>
        <w:t xml:space="preserve">'s official-duty test to academic instructors.” </w:t>
      </w:r>
      <w:r>
        <w:rPr>
          <w:i/>
        </w:rPr>
        <w:t>Gorum v. Sessoms</w:t>
      </w:r>
      <w:r>
        <w:t xml:space="preserve">, 561 F.3d 179, 186 n.6 (3d Cir. 2009).  The plaintiff in </w:t>
      </w:r>
      <w:r>
        <w:rPr>
          <w:i/>
        </w:rPr>
        <w:t>Gorum</w:t>
      </w:r>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r>
        <w:rPr>
          <w:i/>
        </w:rPr>
        <w:t>Gorum</w:t>
      </w:r>
      <w:r>
        <w:t xml:space="preserve"> court held that neither of these incidents involved citizen speech; rather, under </w:t>
      </w:r>
      <w:r>
        <w:rPr>
          <w:i/>
        </w:rPr>
        <w:t>Garcetti</w:t>
      </w:r>
      <w:r>
        <w:t xml:space="preserve">, these activities were undertaken pursuant to the plaintiff’s duties.  The court noted: “In determining that Gorum did not speak as a citizen.... we apply the official duty test because Gorum's actions so clearly were not ‘speech related to scholarship or teaching,’ ... and because we believe that such a determination here does not ‘imperil First Amendment protection of academic freedom in public colleges and universities.’” </w:t>
      </w:r>
      <w:r>
        <w:rPr>
          <w:i/>
        </w:rPr>
        <w:t>Gorum</w:t>
      </w:r>
      <w:r>
        <w:t xml:space="preserve">, 561 F.3d at 186 (quoting </w:t>
      </w:r>
      <w:r>
        <w:rPr>
          <w:i/>
        </w:rPr>
        <w:t>Garcetti</w:t>
      </w:r>
      <w:r>
        <w:t xml:space="preserve">, 547 U.S. at 425, and Justice Souter’s dissent in </w:t>
      </w:r>
      <w:r>
        <w:rPr>
          <w:i/>
        </w:rPr>
        <w:t>Garcetti</w:t>
      </w:r>
      <w:r>
        <w:t xml:space="preserve">, </w:t>
      </w:r>
      <w:r w:rsidRPr="002554FC">
        <w:rPr>
          <w:i/>
        </w:rPr>
        <w:t>id</w:t>
      </w:r>
      <w:r>
        <w:t>. at 438).</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4">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r>
        <w:rPr>
          <w:i/>
        </w:rPr>
        <w:t>Garcetti</w:t>
      </w:r>
      <w:r>
        <w:t>, 126 S. Ct. at 1961-62.</w:t>
      </w:r>
    </w:p>
  </w:footnote>
  <w:footnote w:id="35">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r>
        <w:rPr>
          <w:i/>
        </w:rPr>
        <w:t xml:space="preserve">Garcetti </w:t>
      </w:r>
      <w:r>
        <w:t>test thus:</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r>
        <w:rPr>
          <w:i/>
        </w:rPr>
        <w:t>Garcetti</w:t>
      </w:r>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abrogated on other grounds by Borough of Duryea v. Guarnieri</w:t>
      </w:r>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(Pollak,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36">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xml:space="preserve">, 136 S.Ct.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37">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r>
        <w:rPr>
          <w:i/>
        </w:rPr>
        <w:t>Connick</w:t>
      </w:r>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r>
        <w:rPr>
          <w:i/>
        </w:rPr>
        <w:t>Connick</w:t>
      </w:r>
      <w:r>
        <w:t xml:space="preserve"> test to the speech as the employer reasonably found it to be; but the plurality did not explain who should determine any disputes of material fact as to what the employer actually believed.</w:t>
      </w:r>
    </w:p>
  </w:footnote>
  <w:footnote w:id="3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See also Curinga v. City of Clairton</w:t>
      </w:r>
      <w:r>
        <w:t xml:space="preserve">, 357 F.3d 305, 310 (3d Cir. 2004) (“[T]he first factor is a question of law.”); </w:t>
      </w:r>
      <w:r>
        <w:rPr>
          <w:i/>
        </w:rPr>
        <w:t>Baldassare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 / Pickering </w:t>
      </w:r>
      <w:r>
        <w:t>tests is a matter of law for the court – not on the question of who should determine any underlying disputes of historical fact.</w:t>
      </w:r>
    </w:p>
  </w:footnote>
  <w:footnote w:id="4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1">
    <w:p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r>
        <w:rPr>
          <w:i/>
        </w:rPr>
        <w:t>Gorum v. Sessoms</w:t>
      </w:r>
      <w:r>
        <w:t>, 561 F.3d 179, 187 (3d Cir. 2009) (professor’s assistance to student in connection with disciplinary proceeding was not speech on matter of public concern but, rather, “related to the personal grievance of one student”).</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p>
  </w:footnote>
  <w:footnote w:id="4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 Baldassare v. State of N.J.</w:t>
      </w:r>
      <w:r>
        <w:t>, 250 F.3d 188, 198 (3d Cir. 2001) (“[T]he public's interest in exposing potential wrongdoing by public employees is especially powerful.”).</w:t>
      </w:r>
    </w:p>
  </w:footnote>
  <w:footnote w:id="43">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abrogated on other grounds by Borough of Duryea v. Guarnieri</w:t>
      </w:r>
      <w:r>
        <w:t>, 131 S. Ct. 2488 (2011).</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r>
        <w:rPr>
          <w:i/>
        </w:rPr>
        <w:t>Azzaro</w:t>
      </w:r>
      <w:r>
        <w:t xml:space="preserve">, 110 F.3d at 980 (performing balancing analysis); </w:t>
      </w:r>
      <w:r>
        <w:rPr>
          <w:i/>
        </w:rPr>
        <w:t>id.</w:t>
      </w:r>
      <w:r>
        <w:t xml:space="preserve"> at 981 (finding “a material dispute of fact as to whether [plaintiff’s] reports were a motivating factor in the discharge decision”).</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4">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Azzaro</w:t>
      </w:r>
      <w:r>
        <w:t xml:space="preserve">, noting the “substantial public interest in Azzaro’s revelations” and the “negligible” nature of any countervailing government interest, the Court of Appeals held that “the </w:t>
      </w:r>
      <w:r>
        <w:rPr>
          <w:i/>
        </w:rPr>
        <w:t>Pickering</w:t>
      </w:r>
      <w:r>
        <w:t xml:space="preserve"> balance falls in Azzaro's favor.”  </w:t>
      </w:r>
      <w:r>
        <w:rPr>
          <w:i/>
        </w:rPr>
        <w:t>Azzaro</w:t>
      </w:r>
      <w:r>
        <w:t>, 110 F.3d at 980.</w:t>
      </w:r>
    </w:p>
  </w:footnote>
  <w:footnote w:id="45">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“present[] question[s] of fact for the jury.”  </w:t>
      </w:r>
      <w:r>
        <w:rPr>
          <w:i/>
        </w:rPr>
        <w:t>McGreevy v. Stroup</w:t>
      </w:r>
      <w:r>
        <w:t>, 413 F.3d 359, 364 (3d Cir. 2005).</w:t>
      </w:r>
    </w:p>
  </w:footnote>
  <w:footnote w:id="46">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Lauren W. v. DeFlaminis</w:t>
      </w:r>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See also Brightwell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47">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4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4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“‘[S]ubstantial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1">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2">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3">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4">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5">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56">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decisionmaker (judge or jury) should decide a remedies question, the analysis seems likely to turn principally on whether the remedy is equitable or legal in nature.</w:t>
      </w:r>
    </w:p>
  </w:footnote>
  <w:footnote w:id="57">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Laskaris</w:t>
      </w:r>
      <w:r>
        <w:t xml:space="preserve"> court cited </w:t>
      </w:r>
      <w:r>
        <w:rPr>
          <w:i/>
        </w:rPr>
        <w:t>Gurmankin v. Costanzo</w:t>
      </w:r>
      <w:r>
        <w:t xml:space="preserve">, 626 F.2d 1115, 1122-23 (3d Cir. 1980) as support for this proposition.  </w:t>
      </w:r>
      <w:r>
        <w:rPr>
          <w:i/>
        </w:rPr>
        <w:t>Gurmankin</w:t>
      </w:r>
      <w:r>
        <w:t xml:space="preserve">, however, did not concern the right to a jury trial.  In </w:t>
      </w:r>
      <w:r>
        <w:rPr>
          <w:i/>
        </w:rPr>
        <w:t>Gurmankin</w:t>
      </w:r>
      <w:r>
        <w:t xml:space="preserve">, the Court of Appeals held that the trial judge’s denial of back pay (after a bench trial) constituted an abuse of discretion.  </w:t>
      </w:r>
      <w:r>
        <w:rPr>
          <w:i/>
        </w:rPr>
        <w:t xml:space="preserve">See id. </w:t>
      </w:r>
      <w:r>
        <w:t xml:space="preserve">at 1124-25.  As support for the view that “backpay [is] an integral aspect of equitable relief to be awarded in a suit brought under section 1983 against a school district,” </w:t>
      </w:r>
      <w:r>
        <w:rPr>
          <w:i/>
        </w:rPr>
        <w:t>id.</w:t>
      </w:r>
      <w:r>
        <w:t xml:space="preserve"> at 1122, the Court of Appeals cited </w:t>
      </w:r>
      <w:r>
        <w:rPr>
          <w:i/>
        </w:rPr>
        <w:t>Harkless v. Sweeny Independent School District</w:t>
      </w:r>
      <w:r>
        <w:t xml:space="preserve">, 427 F.2d 319, 324 (5th Cir. 1970).  </w:t>
      </w:r>
      <w:r>
        <w:rPr>
          <w:i/>
        </w:rPr>
        <w:t>Harkless</w:t>
      </w:r>
      <w:r>
        <w:t xml:space="preserve">, by contrast, did concern the jury issue: the </w:t>
      </w:r>
      <w:r>
        <w:rPr>
          <w:i/>
        </w:rPr>
        <w:t>Harkless</w:t>
      </w:r>
      <w:r>
        <w:t xml:space="preserve"> court held that “a claim for back pay presented in an equitable action for reinstatement authorized by § 1983 is not for jury consideration nor are the factual issues which form the basis of the claim for reinstatement.”  </w:t>
      </w:r>
      <w:r>
        <w:rPr>
          <w:i/>
        </w:rPr>
        <w:t>Harkless</w:t>
      </w:r>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58">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caselaw suggests that back pay may not be an equitable remedy when sought from an individual defendant.  In a Section 1983 case that focused on official immunity, rather than on the right to a jury, the Court of Appeals stated that “[a]s to backpay and attorneys fees . . . a recovery against individual defendants would be in the nature of damages, rather than as a part of the equitable remedy of reinstatement.” </w:t>
      </w:r>
      <w:r>
        <w:rPr>
          <w:i/>
        </w:rPr>
        <w:t>Skehan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p>
  </w:footnote>
  <w:footnote w:id="59">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0">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xml:space="preserve">, 54 F.3d at 172.  “[R]einstatement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1">
    <w:p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r>
        <w:rPr>
          <w:i/>
        </w:rPr>
        <w:t>Versarge v. Township of Clinton, New Jersey</w:t>
      </w:r>
      <w:r>
        <w:t xml:space="preserve">, 984 F.2d 1359, 1368 (3d Cir. 1993)). </w:t>
      </w:r>
    </w:p>
  </w:footnote>
  <w:footnote w:id="62">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r>
        <w:rPr>
          <w:i/>
        </w:rPr>
        <w:t>Blanciak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3">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r>
        <w:rPr>
          <w:i/>
        </w:rPr>
        <w:t>Biondo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see also Grantham v. Trickey</w:t>
      </w:r>
      <w:r>
        <w:t>, 21 F.3d 289, 296 n.5 (8th Cir. 1994) (“When reinstatement is not feasible, the court may grant front pay as an alternative equitable remedy.”).</w:t>
      </w:r>
    </w:p>
    <w:p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4">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5">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66">
    <w:p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67">
    <w:p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C" w:rsidRDefault="00FA5A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rsidR="0080738C" w:rsidRDefault="0080738C" w:rsidP="009B7E97">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rsidR="0080738C" w:rsidRDefault="0080738C" w:rsidP="009B7E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Pr="00E54E59" w:rsidRDefault="0080738C" w:rsidP="00E54E59">
    <w:pPr>
      <w:widowControl w:val="0"/>
      <w:tabs>
        <w:tab w:val="center" w:pos="4680"/>
        <w:tab w:val="right" w:pos="9360"/>
      </w:tabs>
      <w:autoSpaceDE w:val="0"/>
      <w:autoSpaceDN w:val="0"/>
      <w:adjustRightInd w:val="0"/>
      <w:jc w:val="right"/>
      <w:rPr>
        <w:b/>
        <w:sz w:val="20"/>
      </w:rPr>
    </w:pPr>
  </w:p>
  <w:p w:rsidR="0080738C" w:rsidRDefault="0080738C">
    <w:pPr>
      <w:pStyle w:val="Header"/>
    </w:pPr>
  </w:p>
  <w:p w:rsidR="0080738C" w:rsidRDefault="0080738C" w:rsidP="009B7E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C" w:rsidRDefault="00FA5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80738C" w:rsidRDefault="0080738C" w:rsidP="009B7E9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rsidR="0080738C" w:rsidRDefault="0080738C" w:rsidP="009B7E9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rsidR="0080738C" w:rsidRDefault="0080738C" w:rsidP="009B7E9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rsidR="0080738C" w:rsidRDefault="0080738C" w:rsidP="009B7E97">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rsidR="0080738C" w:rsidRDefault="0080738C" w:rsidP="009B7E9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5"/>
    <w:rsid w:val="00036ABB"/>
    <w:rsid w:val="00083F00"/>
    <w:rsid w:val="000B3B47"/>
    <w:rsid w:val="000E3D67"/>
    <w:rsid w:val="000F5FA5"/>
    <w:rsid w:val="001076F3"/>
    <w:rsid w:val="00136001"/>
    <w:rsid w:val="001F7072"/>
    <w:rsid w:val="0020013B"/>
    <w:rsid w:val="0023730D"/>
    <w:rsid w:val="002554FC"/>
    <w:rsid w:val="003107D4"/>
    <w:rsid w:val="0031152E"/>
    <w:rsid w:val="00363B64"/>
    <w:rsid w:val="003C0D02"/>
    <w:rsid w:val="003C2E98"/>
    <w:rsid w:val="004166CA"/>
    <w:rsid w:val="00433479"/>
    <w:rsid w:val="0049244E"/>
    <w:rsid w:val="00493D17"/>
    <w:rsid w:val="00566198"/>
    <w:rsid w:val="00594F9C"/>
    <w:rsid w:val="005A3DF7"/>
    <w:rsid w:val="005B361D"/>
    <w:rsid w:val="005B4898"/>
    <w:rsid w:val="005D448A"/>
    <w:rsid w:val="005E7864"/>
    <w:rsid w:val="005F6D48"/>
    <w:rsid w:val="00621DEA"/>
    <w:rsid w:val="006314E5"/>
    <w:rsid w:val="0068193B"/>
    <w:rsid w:val="006D62E6"/>
    <w:rsid w:val="006F12D1"/>
    <w:rsid w:val="0078295F"/>
    <w:rsid w:val="007B08CB"/>
    <w:rsid w:val="007D4E4E"/>
    <w:rsid w:val="008001C1"/>
    <w:rsid w:val="0080738C"/>
    <w:rsid w:val="0084171A"/>
    <w:rsid w:val="00870B3C"/>
    <w:rsid w:val="008D01CB"/>
    <w:rsid w:val="008D2026"/>
    <w:rsid w:val="008E57F8"/>
    <w:rsid w:val="00915578"/>
    <w:rsid w:val="009521D0"/>
    <w:rsid w:val="009B7E97"/>
    <w:rsid w:val="009E1096"/>
    <w:rsid w:val="009E1A16"/>
    <w:rsid w:val="00A3164E"/>
    <w:rsid w:val="00B80A0F"/>
    <w:rsid w:val="00B83E1E"/>
    <w:rsid w:val="00BE66B7"/>
    <w:rsid w:val="00C14389"/>
    <w:rsid w:val="00C21E91"/>
    <w:rsid w:val="00C825F4"/>
    <w:rsid w:val="00CE475B"/>
    <w:rsid w:val="00D07EE1"/>
    <w:rsid w:val="00DA14C0"/>
    <w:rsid w:val="00DA6B11"/>
    <w:rsid w:val="00E12EAF"/>
    <w:rsid w:val="00E35682"/>
    <w:rsid w:val="00E453B9"/>
    <w:rsid w:val="00E54E59"/>
    <w:rsid w:val="00E6471A"/>
    <w:rsid w:val="00F06E43"/>
    <w:rsid w:val="00F30CBC"/>
    <w:rsid w:val="00FA5ABC"/>
    <w:rsid w:val="00FB34B5"/>
    <w:rsid w:val="00FB4C26"/>
    <w:rsid w:val="00FC08AD"/>
    <w:rsid w:val="00FC1E9C"/>
    <w:rsid w:val="00FC3113"/>
    <w:rsid w:val="00FC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semiHidden/>
    <w:rsid w:val="00F06E43"/>
    <w:pPr>
      <w:widowControl w:val="0"/>
      <w:spacing w:after="120"/>
      <w:ind w:firstLine="720"/>
      <w:jc w:val="both"/>
    </w:p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9285</Words>
  <Characters>52928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2017-05-17T20:40:00Z</dcterms:created>
  <dcterms:modified xsi:type="dcterms:W3CDTF">2017-05-19T16:46:00Z</dcterms:modified>
</cp:coreProperties>
</file>