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5B" w:rsidRDefault="00E04D33" w:rsidP="005D448A">
      <w:pPr>
        <w:tabs>
          <w:tab w:val="center" w:pos="4680"/>
        </w:tabs>
        <w:jc w:val="both"/>
      </w:pPr>
      <w:bookmarkStart w:id="0" w:name="_GoBack"/>
      <w:bookmarkEnd w:id="0"/>
      <w:r>
        <w:rPr>
          <w:b/>
          <w:sz w:val="28"/>
        </w:rPr>
        <w:t xml:space="preserve"> </w:t>
      </w:r>
      <w:r w:rsidR="00CE475B">
        <w:rPr>
          <w:b/>
          <w:sz w:val="28"/>
        </w:rPr>
        <w:tab/>
        <w:t>Instructions Regarding Section 1983 Employment Claims</w:t>
      </w:r>
    </w:p>
    <w:p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p>
    <w:p w:rsidR="00CE475B" w:rsidRDefault="00CE475B" w:rsidP="005D448A">
      <w:pPr>
        <w:jc w:val="both"/>
      </w:pPr>
    </w:p>
    <w:p w:rsidR="00CE475B" w:rsidRDefault="00CE475B" w:rsidP="005D448A">
      <w:pPr>
        <w:jc w:val="both"/>
        <w:rPr>
          <w:b/>
          <w:sz w:val="28"/>
        </w:rPr>
      </w:pPr>
    </w:p>
    <w:p w:rsidR="00CE475B" w:rsidRDefault="00CE475B" w:rsidP="005D448A">
      <w:pPr>
        <w:tabs>
          <w:tab w:val="center" w:pos="4680"/>
        </w:tabs>
        <w:jc w:val="both"/>
      </w:pPr>
      <w:r>
        <w:rPr>
          <w:b/>
          <w:sz w:val="28"/>
        </w:rPr>
        <w:tab/>
        <w:t>Numbering of Section 1983 Employment Instructions</w:t>
      </w:r>
    </w:p>
    <w:p w:rsidR="00CE475B" w:rsidRDefault="00CE475B" w:rsidP="005D448A">
      <w:pPr>
        <w:jc w:val="both"/>
      </w:pPr>
      <w:r>
        <w:tab/>
      </w:r>
      <w:r>
        <w:tab/>
      </w:r>
      <w:r>
        <w:tab/>
      </w:r>
      <w:r>
        <w:tab/>
      </w:r>
      <w:r>
        <w:tab/>
      </w:r>
      <w:r>
        <w:tab/>
      </w:r>
    </w:p>
    <w:p w:rsidR="00CE475B" w:rsidRDefault="00CE475B" w:rsidP="005D448A">
      <w:pPr>
        <w:ind w:left="720" w:hanging="720"/>
        <w:jc w:val="both"/>
      </w:pPr>
      <w:r>
        <w:t>7.0</w:t>
      </w:r>
      <w:r>
        <w:tab/>
        <w:t>Section 1983 Employment Discrimination</w:t>
      </w:r>
    </w:p>
    <w:p w:rsidR="00CE475B" w:rsidRDefault="00CE475B" w:rsidP="005D448A">
      <w:pPr>
        <w:jc w:val="both"/>
      </w:pPr>
    </w:p>
    <w:p w:rsidR="00CE475B" w:rsidRDefault="00CE475B" w:rsidP="005D448A">
      <w:pPr>
        <w:ind w:left="720" w:hanging="720"/>
        <w:jc w:val="both"/>
      </w:pPr>
      <w:r>
        <w:t>7.1</w:t>
      </w:r>
      <w:r>
        <w:tab/>
        <w:t>Section 1983 Employment Discrimination – Mixed Motive</w:t>
      </w:r>
    </w:p>
    <w:p w:rsidR="00CE475B" w:rsidRDefault="00CE475B" w:rsidP="005D448A">
      <w:pPr>
        <w:jc w:val="both"/>
      </w:pPr>
    </w:p>
    <w:p w:rsidR="00CE475B" w:rsidRDefault="00CE475B" w:rsidP="005D448A">
      <w:pPr>
        <w:ind w:left="720" w:hanging="720"/>
        <w:jc w:val="both"/>
      </w:pPr>
      <w:r>
        <w:t>7.2</w:t>
      </w:r>
      <w:r>
        <w:tab/>
        <w:t>Section 1983 Employment Discrimination – Pretext</w:t>
      </w:r>
    </w:p>
    <w:p w:rsidR="00CE475B" w:rsidRDefault="00CE475B" w:rsidP="005D448A">
      <w:pPr>
        <w:jc w:val="both"/>
      </w:pPr>
    </w:p>
    <w:p w:rsidR="00CE475B" w:rsidRDefault="00CE475B" w:rsidP="005D448A">
      <w:pPr>
        <w:ind w:left="720" w:hanging="720"/>
        <w:jc w:val="both"/>
      </w:pPr>
      <w:r>
        <w:t>7.3</w:t>
      </w:r>
      <w:r>
        <w:tab/>
        <w:t>Section 1983 Employment Discrimination – Harassment</w:t>
      </w:r>
    </w:p>
    <w:p w:rsidR="00CE475B" w:rsidRDefault="00CE475B" w:rsidP="005D448A">
      <w:pPr>
        <w:jc w:val="both"/>
      </w:pPr>
    </w:p>
    <w:p w:rsidR="00CE475B" w:rsidRDefault="00CE475B" w:rsidP="005D448A">
      <w:pPr>
        <w:ind w:left="720" w:hanging="720"/>
        <w:jc w:val="both"/>
      </w:pPr>
      <w:r>
        <w:t>7.4</w:t>
      </w:r>
      <w:r>
        <w:tab/>
        <w:t>Section 1983 Employment – Retaliation – First Amendment</w:t>
      </w:r>
    </w:p>
    <w:p w:rsidR="00CE475B" w:rsidRDefault="00CE475B" w:rsidP="005D448A">
      <w:pPr>
        <w:jc w:val="both"/>
      </w:pPr>
    </w:p>
    <w:p w:rsidR="00CE475B" w:rsidRDefault="00CE475B" w:rsidP="005D448A">
      <w:pPr>
        <w:ind w:left="720" w:hanging="720"/>
        <w:jc w:val="both"/>
      </w:pPr>
      <w:r>
        <w:t>7.5</w:t>
      </w:r>
      <w:r>
        <w:tab/>
        <w:t>Section 1983 – Employment – Damages</w:t>
      </w:r>
    </w:p>
    <w:p w:rsidR="00036ABB" w:rsidRDefault="00036ABB" w:rsidP="005D448A">
      <w:pPr>
        <w:jc w:val="both"/>
      </w:pPr>
    </w:p>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Default="00036ABB" w:rsidP="005D448A">
      <w:pPr>
        <w:jc w:val="both"/>
      </w:pPr>
    </w:p>
    <w:p w:rsidR="00036ABB" w:rsidRPr="00036ABB" w:rsidRDefault="00036ABB" w:rsidP="00036ABB"/>
    <w:p w:rsidR="00036ABB" w:rsidRDefault="00036ABB" w:rsidP="005D448A">
      <w:pPr>
        <w:jc w:val="both"/>
      </w:pPr>
    </w:p>
    <w:p w:rsidR="00036ABB" w:rsidRDefault="00036ABB" w:rsidP="005D448A">
      <w:pPr>
        <w:jc w:val="both"/>
      </w:pPr>
    </w:p>
    <w:p w:rsidR="00036ABB" w:rsidRDefault="00036ABB" w:rsidP="00036ABB">
      <w:pPr>
        <w:tabs>
          <w:tab w:val="left" w:pos="8563"/>
        </w:tabs>
        <w:jc w:val="both"/>
      </w:pPr>
      <w:r>
        <w:tab/>
      </w:r>
    </w:p>
    <w:p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rsidR="00E54E59" w:rsidRDefault="00E54E59" w:rsidP="005D448A">
      <w:pPr>
        <w:jc w:val="both"/>
        <w:rPr>
          <w:b/>
          <w:sz w:val="28"/>
        </w:rPr>
      </w:pPr>
    </w:p>
    <w:p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1"/>
      </w:r>
      <w:r>
        <w:t xml:space="preserve">  Instruction 7.4 addresses First Amendment retaliation claims.  Comment 7.5 concerns damages.</w:t>
      </w:r>
    </w:p>
    <w:p w:rsidR="00CE475B" w:rsidRDefault="00CE475B" w:rsidP="005D448A">
      <w:pPr>
        <w:jc w:val="both"/>
      </w:pPr>
    </w:p>
    <w:p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rsidR="00CE475B" w:rsidRDefault="00CE475B" w:rsidP="005D448A">
      <w:pPr>
        <w:jc w:val="both"/>
      </w:pPr>
    </w:p>
    <w:p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2"/>
      </w:r>
      <w:r>
        <w:t xml:space="preserve">  By contrast, Section 1983 applies only to defendants who acted under color of state law.</w:t>
      </w:r>
      <w:r>
        <w:rPr>
          <w:rStyle w:val="FootnoteReference"/>
        </w:rPr>
        <w:footnoteReference w:id="3"/>
      </w:r>
      <w:r w:rsidR="00E04D33">
        <w:t xml:space="preserve"> </w:t>
      </w:r>
      <w:r>
        <w:rPr>
          <w:i/>
        </w:rPr>
        <w:t>See, e.g.,</w:t>
      </w:r>
      <w:r w:rsidR="00E04D33">
        <w:rPr>
          <w:i/>
        </w:rPr>
        <w:t xml:space="preserve"> </w:t>
      </w:r>
      <w:proofErr w:type="spellStart"/>
      <w:r w:rsidR="00E04D33" w:rsidRPr="00E04D33">
        <w:rPr>
          <w:i/>
        </w:rPr>
        <w:t>Borrell</w:t>
      </w:r>
      <w:proofErr w:type="spellEnd"/>
      <w:r w:rsidR="00E04D33" w:rsidRPr="00E04D33">
        <w:rPr>
          <w:i/>
        </w:rPr>
        <w:t xml:space="preserve"> v. Bloomsburg Univ.</w:t>
      </w:r>
      <w:r w:rsidR="00E04D33" w:rsidRPr="00E04D33">
        <w:t>, 870 F.3d 154 (3d Cir. 2017) (holding that a private hospital was not a state actor despite creating a training program for nurses in partnership with a public university);</w:t>
      </w:r>
      <w:r w:rsidR="00E04D33">
        <w:t xml:space="preserve"> </w:t>
      </w:r>
      <w:proofErr w:type="spellStart"/>
      <w:r>
        <w:rPr>
          <w:i/>
        </w:rPr>
        <w:t>Krynicky</w:t>
      </w:r>
      <w:proofErr w:type="spellEnd"/>
      <w:r>
        <w:rPr>
          <w:i/>
        </w:rPr>
        <w:t xml:space="preserve"> v. University of Pittsburgh</w:t>
      </w:r>
      <w:r>
        <w:t xml:space="preserve">, 742 F.2d 94, 103 (3d Cir. 1984) (holding that University of Pittsburgh and Temple University acted under color of state law); </w:t>
      </w:r>
      <w:r>
        <w:rPr>
          <w:i/>
        </w:rPr>
        <w:t xml:space="preserve">see also supra </w:t>
      </w:r>
      <w:r>
        <w:t>Comment 4.4.</w:t>
      </w:r>
    </w:p>
    <w:p w:rsidR="00CE475B" w:rsidRDefault="00CE475B" w:rsidP="005D448A">
      <w:pPr>
        <w:jc w:val="both"/>
      </w:pPr>
    </w:p>
    <w:p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4"/>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rsidR="00CE475B" w:rsidRDefault="00CE475B" w:rsidP="005D448A">
      <w:pPr>
        <w:jc w:val="both"/>
      </w:pPr>
    </w:p>
    <w:p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5"/>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rsidR="00CE475B" w:rsidRDefault="00CE475B" w:rsidP="005D448A">
      <w:pPr>
        <w:jc w:val="both"/>
      </w:pPr>
    </w:p>
    <w:p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6"/>
      </w:r>
      <w:r>
        <w:t xml:space="preserve">  </w:t>
      </w:r>
      <w:r>
        <w:rPr>
          <w:i/>
        </w:rPr>
        <w:t>See</w:t>
      </w:r>
      <w:r>
        <w:t xml:space="preserve"> </w:t>
      </w:r>
      <w:proofErr w:type="spellStart"/>
      <w:r>
        <w:rPr>
          <w:i/>
        </w:rPr>
        <w:t>Bonenberger</w:t>
      </w:r>
      <w:proofErr w:type="spellEnd"/>
      <w:r>
        <w:rPr>
          <w:i/>
        </w:rPr>
        <w:t xml:space="preserve">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w:t>
      </w:r>
      <w:r>
        <w:lastRenderedPageBreak/>
        <w:t xml:space="preserve">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rsidR="008D2026" w:rsidRDefault="008D2026" w:rsidP="005D448A">
      <w:pPr>
        <w:jc w:val="both"/>
      </w:pPr>
    </w:p>
    <w:p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7"/>
      </w:r>
      <w:r>
        <w:t xml:space="preserve">  </w:t>
      </w:r>
      <w:r>
        <w:rPr>
          <w:i/>
        </w:rPr>
        <w:t>See supra</w:t>
      </w:r>
      <w:r>
        <w:t xml:space="preserve"> Comment 4.7.2; </w:t>
      </w:r>
      <w:r>
        <w:rPr>
          <w:i/>
        </w:rPr>
        <w:t>see also</w:t>
      </w:r>
      <w:r>
        <w:t xml:space="preserve"> Comment 4.7.1 (concerning absolute immunity).</w:t>
      </w:r>
    </w:p>
    <w:p w:rsidR="00594F9C" w:rsidRDefault="00594F9C" w:rsidP="005D448A">
      <w:pPr>
        <w:jc w:val="both"/>
      </w:pPr>
    </w:p>
    <w:p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w:t>
      </w:r>
      <w:proofErr w:type="spellStart"/>
      <w:r>
        <w:t>respondeat</w:t>
      </w:r>
      <w:proofErr w:type="spellEnd"/>
      <w:r>
        <w:t xml:space="preserve"> superior liability.  </w:t>
      </w:r>
      <w:r>
        <w:rPr>
          <w:i/>
        </w:rPr>
        <w:t>See supra</w:t>
      </w:r>
      <w:r>
        <w:t xml:space="preserve"> Comments 5.1.3 - 5.1.5.</w:t>
      </w:r>
    </w:p>
    <w:p w:rsidR="00CE475B" w:rsidRDefault="00CE475B" w:rsidP="005D448A">
      <w:pPr>
        <w:jc w:val="both"/>
      </w:pPr>
    </w:p>
    <w:p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8"/>
      </w:r>
      <w:r>
        <w:t xml:space="preserve">  By contrast, Title VII authorizes claims against state governments.  </w:t>
      </w:r>
      <w:r>
        <w:rPr>
          <w:i/>
        </w:rPr>
        <w:t>See</w:t>
      </w:r>
      <w:r>
        <w:t xml:space="preserve"> </w:t>
      </w:r>
      <w:r>
        <w:rPr>
          <w:i/>
        </w:rPr>
        <w:t xml:space="preserve">Fitzpatrick v. </w:t>
      </w:r>
      <w:proofErr w:type="spellStart"/>
      <w:r>
        <w:rPr>
          <w:i/>
        </w:rPr>
        <w:t>Bitzer</w:t>
      </w:r>
      <w:proofErr w:type="spellEnd"/>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9"/>
      </w:r>
    </w:p>
    <w:p w:rsidR="00CE475B" w:rsidRDefault="00CE475B" w:rsidP="005D448A">
      <w:pPr>
        <w:jc w:val="both"/>
      </w:pPr>
    </w:p>
    <w:p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xml:space="preserve">, 130 F.3d 568, 573 (3d Cir. 1997) (“In Title VII actions, failure to exhaust administrative remedies is an </w:t>
      </w:r>
      <w:r>
        <w:lastRenderedPageBreak/>
        <w:t>affirmative defense in the nature of statute of limitations.”).  There is no such exhaustion requirement for a Section 1983 employment discrimination claim.</w:t>
      </w:r>
      <w:r>
        <w:rPr>
          <w:rStyle w:val="FootnoteReference"/>
        </w:rPr>
        <w:footnoteReference w:id="10"/>
      </w:r>
    </w:p>
    <w:p w:rsidR="00CE475B" w:rsidRDefault="00CE475B" w:rsidP="005D448A">
      <w:pPr>
        <w:jc w:val="both"/>
      </w:pPr>
    </w:p>
    <w:p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rsidR="00CE475B" w:rsidRDefault="00CE475B" w:rsidP="005D448A">
      <w:pPr>
        <w:jc w:val="both"/>
      </w:pPr>
    </w:p>
    <w:p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rsidR="00CE475B" w:rsidRDefault="00CE475B" w:rsidP="005D448A">
      <w:pPr>
        <w:jc w:val="both"/>
      </w:pPr>
    </w:p>
    <w:p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1"/>
      </w:r>
      <w:r>
        <w:t xml:space="preserve">  Although </w:t>
      </w:r>
      <w:r>
        <w:rPr>
          <w:i/>
        </w:rPr>
        <w:t>Bradley</w:t>
      </w:r>
      <w:r>
        <w:t xml:space="preserve"> predated the Civil Rights Act of 1991,</w:t>
      </w:r>
      <w:r>
        <w:rPr>
          <w:rStyle w:val="FootnoteReference"/>
        </w:rPr>
        <w:footnoteReference w:id="12"/>
      </w:r>
      <w:r>
        <w:t xml:space="preserve"> district courts within the Third Circuit have continued to </w:t>
      </w:r>
      <w:r>
        <w:lastRenderedPageBreak/>
        <w:t xml:space="preserve">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rsidR="004235D8" w:rsidRDefault="004235D8" w:rsidP="005D448A">
      <w:pPr>
        <w:jc w:val="both"/>
      </w:pPr>
    </w:p>
    <w:p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 xml:space="preserve">Williams v. Pennsylvania Human Relations </w:t>
      </w:r>
      <w:proofErr w:type="spellStart"/>
      <w:r w:rsidRPr="004235D8">
        <w:rPr>
          <w:i/>
        </w:rPr>
        <w:t>Comm’n</w:t>
      </w:r>
      <w:proofErr w:type="spellEnd"/>
      <w:r w:rsidRPr="004235D8">
        <w:t>, 870 F.3d 294, 299 (3d Cir. 2017) (reaching same result under the American with Disabilities Act as well).</w:t>
      </w:r>
    </w:p>
    <w:p w:rsidR="004235D8" w:rsidRDefault="004235D8" w:rsidP="005D448A">
      <w:pPr>
        <w:jc w:val="both"/>
      </w:pPr>
    </w:p>
    <w:p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w:t>
      </w:r>
      <w:proofErr w:type="spellStart"/>
      <w:r>
        <w:rPr>
          <w:i/>
        </w:rPr>
        <w:t>Gierlinger</w:t>
      </w:r>
      <w:proofErr w:type="spellEnd"/>
      <w:r>
        <w:rPr>
          <w:i/>
        </w:rPr>
        <w:t xml:space="preserve">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rsidR="0068193B" w:rsidRDefault="00CE475B" w:rsidP="005D448A">
      <w:pPr>
        <w:jc w:val="both"/>
        <w:rPr>
          <w:b/>
          <w:sz w:val="28"/>
        </w:rPr>
      </w:pPr>
      <w:r>
        <w:rPr>
          <w:b/>
          <w:sz w:val="28"/>
        </w:rPr>
        <w:lastRenderedPageBreak/>
        <w:t>7.1</w:t>
      </w:r>
      <w:r>
        <w:rPr>
          <w:b/>
          <w:sz w:val="28"/>
        </w:rPr>
        <w:tab/>
        <w:t>Section 1983 Employment Discrimination – Mixed Motive</w:t>
      </w:r>
    </w:p>
    <w:p w:rsidR="00E54E59" w:rsidRDefault="00E54E59"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3"/>
      </w:r>
      <w:r>
        <w:t xml:space="preserve"> and</w:t>
      </w:r>
    </w:p>
    <w:p w:rsidR="00CE475B" w:rsidRDefault="00CE475B" w:rsidP="005D448A">
      <w:pPr>
        <w:jc w:val="both"/>
      </w:pPr>
    </w:p>
    <w:p w:rsidR="00CE475B" w:rsidRDefault="00CE475B" w:rsidP="005D448A">
      <w:pPr>
        <w:ind w:left="720"/>
        <w:jc w:val="both"/>
      </w:pPr>
      <w:r>
        <w:t>Second: [Plaintiff’s] [protected status] was a motivating factor in [defendant's] decision.</w:t>
      </w:r>
    </w:p>
    <w:p w:rsidR="00CE475B" w:rsidRDefault="00CE475B" w:rsidP="005D448A">
      <w:pPr>
        <w:jc w:val="both"/>
      </w:pPr>
    </w:p>
    <w:p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rsidR="00CE475B" w:rsidRDefault="00CE475B" w:rsidP="005D448A">
      <w:pPr>
        <w:jc w:val="both"/>
      </w:pPr>
    </w:p>
    <w:p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rsidR="00CE475B" w:rsidRDefault="00CE475B" w:rsidP="005D448A">
      <w:pPr>
        <w:jc w:val="both"/>
      </w:pPr>
    </w:p>
    <w:p w:rsidR="00CE475B" w:rsidRDefault="00CE475B" w:rsidP="005D448A">
      <w:pPr>
        <w:jc w:val="both"/>
      </w:pPr>
      <w:r>
        <w:lastRenderedPageBreak/>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14"/>
      </w:r>
    </w:p>
    <w:p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5"/>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rsidR="00FC08AD" w:rsidRPr="00FC08AD" w:rsidRDefault="00FC08AD" w:rsidP="00FC08AD">
      <w:pPr>
        <w:jc w:val="both"/>
      </w:pPr>
    </w:p>
    <w:p w:rsidR="00FC08AD" w:rsidRPr="00FC08AD" w:rsidRDefault="00FC08AD" w:rsidP="00FC08AD">
      <w:pPr>
        <w:ind w:firstLine="720"/>
        <w:jc w:val="both"/>
      </w:pPr>
      <w:r w:rsidRPr="00FC08AD">
        <w:lastRenderedPageBreak/>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rsidR="00CE475B" w:rsidRDefault="00CE475B" w:rsidP="005D448A">
      <w:pPr>
        <w:jc w:val="both"/>
      </w:pPr>
    </w:p>
    <w:p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proofErr w:type="spellStart"/>
      <w:r>
        <w:rPr>
          <w:i/>
        </w:rPr>
        <w:t>Nassar</w:t>
      </w:r>
      <w:proofErr w:type="spellEnd"/>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proofErr w:type="spellStart"/>
      <w:r>
        <w:rPr>
          <w:i/>
        </w:rPr>
        <w:t>Nassar</w:t>
      </w:r>
      <w:proofErr w:type="spellEnd"/>
      <w:r>
        <w:t xml:space="preserve"> is discussed fully in Comment 5.1.7).</w:t>
      </w:r>
    </w:p>
    <w:p w:rsidR="00CE475B" w:rsidRDefault="00CE475B" w:rsidP="005D448A">
      <w:pPr>
        <w:jc w:val="both"/>
        <w:rPr>
          <w:u w:val="single"/>
        </w:rPr>
      </w:pPr>
    </w:p>
    <w:p w:rsidR="00CE475B" w:rsidRDefault="00CE475B" w:rsidP="005D448A">
      <w:pPr>
        <w:jc w:val="both"/>
      </w:pPr>
      <w:r>
        <w:tab/>
        <w:t xml:space="preserve">The decisions in </w:t>
      </w:r>
      <w:r>
        <w:rPr>
          <w:i/>
        </w:rPr>
        <w:t>Gross</w:t>
      </w:r>
      <w:r>
        <w:t xml:space="preserve"> and </w:t>
      </w:r>
      <w:proofErr w:type="spellStart"/>
      <w:r>
        <w:rPr>
          <w:i/>
        </w:rPr>
        <w:t>Nassar</w:t>
      </w:r>
      <w:proofErr w:type="spellEnd"/>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rsidR="005B361D">
        <w:t xml:space="preserve">.”). </w:t>
      </w:r>
      <w:r>
        <w:t xml:space="preserve">Moreover, the </w:t>
      </w:r>
      <w:proofErr w:type="spellStart"/>
      <w:r>
        <w:rPr>
          <w:i/>
        </w:rPr>
        <w:t>Nassar</w:t>
      </w:r>
      <w:proofErr w:type="spellEnd"/>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proofErr w:type="spellStart"/>
      <w:r>
        <w:rPr>
          <w:i/>
        </w:rPr>
        <w:t>Nassar</w:t>
      </w:r>
      <w:proofErr w:type="spellEnd"/>
      <w:r>
        <w:t xml:space="preserve"> Court contrasted with the more specific language of Title VII.  </w:t>
      </w:r>
      <w:r>
        <w:rPr>
          <w:i/>
        </w:rPr>
        <w:t xml:space="preserve">See </w:t>
      </w:r>
      <w:proofErr w:type="spellStart"/>
      <w:r>
        <w:rPr>
          <w:i/>
        </w:rPr>
        <w:t>Nassar</w:t>
      </w:r>
      <w:proofErr w:type="spellEnd"/>
      <w:r>
        <w:t>, 133 S. Ct. at 2530 (reasoning that decisions interpreting “broad, general bars on discrimination” are inapposite to the interpretation of “a statute as precise, complex, and exhaustive as Title VII”).</w:t>
      </w:r>
    </w:p>
    <w:p w:rsidR="00CE475B" w:rsidRDefault="00CE475B" w:rsidP="005D448A">
      <w:pPr>
        <w:jc w:val="both"/>
      </w:pPr>
    </w:p>
    <w:p w:rsidR="00CE475B" w:rsidRDefault="00CE475B" w:rsidP="005D448A">
      <w:pPr>
        <w:jc w:val="both"/>
      </w:pPr>
      <w:r>
        <w:lastRenderedPageBreak/>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FC3113" w:rsidRDefault="00FC3113" w:rsidP="005D448A">
      <w:pPr>
        <w:jc w:val="both"/>
      </w:pPr>
    </w:p>
    <w:p w:rsidR="00CE475B" w:rsidRDefault="00CE475B" w:rsidP="005D448A">
      <w:pPr>
        <w:jc w:val="both"/>
      </w:pPr>
      <w:r>
        <w:rPr>
          <w:i/>
        </w:rPr>
        <w:t xml:space="preserve">Animus of Employee Who Was Not the Ultimate </w:t>
      </w:r>
      <w:proofErr w:type="spellStart"/>
      <w:r>
        <w:rPr>
          <w:i/>
        </w:rPr>
        <w:t>Decisionmaker</w:t>
      </w:r>
      <w:proofErr w:type="spellEnd"/>
    </w:p>
    <w:p w:rsidR="00CE475B" w:rsidRDefault="00CE475B" w:rsidP="005D448A">
      <w:pPr>
        <w:jc w:val="both"/>
      </w:pPr>
    </w:p>
    <w:p w:rsidR="0020013B" w:rsidRDefault="00CE475B" w:rsidP="005D448A">
      <w:pPr>
        <w:jc w:val="both"/>
      </w:pPr>
      <w:r>
        <w:tab/>
        <w:t xml:space="preserve">For a discussion of the Court’s treatment in </w:t>
      </w:r>
      <w:proofErr w:type="spellStart"/>
      <w:r>
        <w:rPr>
          <w:i/>
        </w:rPr>
        <w:t>Staub</w:t>
      </w:r>
      <w:proofErr w:type="spellEnd"/>
      <w:r>
        <w:rPr>
          <w:i/>
        </w:rPr>
        <w:t xml:space="preserve"> v. Proctor Hosp.</w:t>
      </w:r>
      <w:r>
        <w:t xml:space="preserve">, 131 S. Ct. 1186 (2011), of the animus of an employee who was not the ultimate </w:t>
      </w:r>
      <w:proofErr w:type="spellStart"/>
      <w:r>
        <w:t>decisionmaker</w:t>
      </w:r>
      <w:proofErr w:type="spellEnd"/>
      <w:r>
        <w:t xml:space="preserve">, see Comment 5.1.7.  </w:t>
      </w:r>
      <w:proofErr w:type="spellStart"/>
      <w:r>
        <w:rPr>
          <w:i/>
        </w:rPr>
        <w:t>Staub</w:t>
      </w:r>
      <w:proofErr w:type="spellEnd"/>
      <w:r>
        <w:t xml:space="preserve"> concerned a statute that used the term “motivating factor,” and it is unclear whether the ruling in </w:t>
      </w:r>
      <w:proofErr w:type="spellStart"/>
      <w:r>
        <w:rPr>
          <w:i/>
        </w:rPr>
        <w:t>Staub</w:t>
      </w:r>
      <w:proofErr w:type="spellEnd"/>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rsidR="005E7864" w:rsidRDefault="005E7864" w:rsidP="005D448A">
      <w:pPr>
        <w:jc w:val="both"/>
      </w:pPr>
    </w:p>
    <w:p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rsidR="0068193B" w:rsidRDefault="0068193B"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6"/>
      </w:r>
      <w:r>
        <w:t xml:space="preserve"> and</w:t>
      </w:r>
    </w:p>
    <w:p w:rsidR="00CE475B" w:rsidRDefault="00CE475B" w:rsidP="005D448A">
      <w:pPr>
        <w:jc w:val="both"/>
      </w:pPr>
    </w:p>
    <w:p w:rsidR="00CE475B" w:rsidRDefault="00CE475B" w:rsidP="005D448A">
      <w:pPr>
        <w:ind w:left="720"/>
        <w:jc w:val="both"/>
      </w:pPr>
      <w:r>
        <w:t>Second:  [Plaintiff’s] [protected status] was a determinative factor in [defendant's] decision.</w:t>
      </w:r>
    </w:p>
    <w:p w:rsidR="00CE475B" w:rsidRDefault="00CE475B" w:rsidP="005D448A">
      <w:pPr>
        <w:jc w:val="both"/>
      </w:pPr>
    </w:p>
    <w:p w:rsidR="00CE475B" w:rsidRDefault="00CE475B" w:rsidP="005D448A">
      <w:pPr>
        <w:jc w:val="both"/>
      </w:pPr>
    </w:p>
    <w:p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CE475B" w:rsidRDefault="00CE475B" w:rsidP="005D448A">
      <w:pPr>
        <w:jc w:val="both"/>
      </w:pPr>
    </w:p>
    <w:p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rsidR="00CE475B" w:rsidRDefault="00CE475B" w:rsidP="005D448A">
      <w:pPr>
        <w:jc w:val="both"/>
      </w:pPr>
    </w:p>
    <w:p w:rsidR="00CE475B" w:rsidRDefault="00CE475B" w:rsidP="005D448A">
      <w:pPr>
        <w:jc w:val="both"/>
      </w:pPr>
      <w:r>
        <w:tab/>
        <w:t xml:space="preserve">[Defendant] has given a nondiscriminatory reason for </w:t>
      </w:r>
      <w:proofErr w:type="gramStart"/>
      <w:r>
        <w:t>its</w:t>
      </w:r>
      <w:proofErr w:type="gramEnd"/>
      <w:r>
        <w:t xml:space="preserve">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w:t>
      </w:r>
      <w:proofErr w:type="gramStart"/>
      <w:r>
        <w:t>defendant's</w:t>
      </w:r>
      <w:proofErr w:type="gramEnd"/>
      <w:r>
        <w:t xml:space="preserve">]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rsidR="003913F2" w:rsidRDefault="003913F2" w:rsidP="005D448A">
      <w:pPr>
        <w:jc w:val="both"/>
      </w:pPr>
    </w:p>
    <w:p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McDonnell Douglas-</w:t>
      </w:r>
      <w:proofErr w:type="spellStart"/>
      <w:r>
        <w:rPr>
          <w:i/>
        </w:rPr>
        <w:t>Burdine</w:t>
      </w:r>
      <w:proofErr w:type="spellEnd"/>
      <w:r>
        <w:rPr>
          <w:i/>
        </w:rPr>
        <w:t xml:space="preserv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rsidR="00CE475B" w:rsidRDefault="00CE475B" w:rsidP="005D448A">
      <w:pPr>
        <w:jc w:val="both"/>
      </w:pPr>
    </w:p>
    <w:p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rsidR="00CE475B" w:rsidRDefault="00CE475B" w:rsidP="005D448A">
      <w:pPr>
        <w:jc w:val="both"/>
      </w:pPr>
    </w:p>
    <w:p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68193B" w:rsidRDefault="00CE475B" w:rsidP="005D448A">
      <w:pPr>
        <w:jc w:val="both"/>
        <w:rPr>
          <w:b/>
          <w:i/>
        </w:rPr>
      </w:pPr>
      <w:r>
        <w:br w:type="page"/>
      </w:r>
      <w:r>
        <w:rPr>
          <w:b/>
          <w:sz w:val="28"/>
        </w:rPr>
        <w:lastRenderedPageBreak/>
        <w:t>7.3</w:t>
      </w:r>
      <w:r>
        <w:rPr>
          <w:b/>
          <w:sz w:val="28"/>
        </w:rPr>
        <w:tab/>
        <w:t>Section 1983 Employment Discrimination – Harassment</w:t>
      </w:r>
    </w:p>
    <w:p w:rsidR="0068193B" w:rsidRDefault="0068193B" w:rsidP="005D448A">
      <w:pPr>
        <w:jc w:val="both"/>
        <w:rPr>
          <w:b/>
          <w:i/>
        </w:rPr>
      </w:pPr>
    </w:p>
    <w:p w:rsidR="00CE475B" w:rsidRDefault="00CE475B" w:rsidP="005D448A">
      <w:pPr>
        <w:jc w:val="both"/>
      </w:pPr>
      <w:r>
        <w:rPr>
          <w:b/>
          <w:i/>
        </w:rPr>
        <w:t>No Instruction</w:t>
      </w:r>
    </w:p>
    <w:p w:rsidR="00CE475B" w:rsidRDefault="00CE475B" w:rsidP="005D448A">
      <w:pPr>
        <w:jc w:val="both"/>
      </w:pPr>
    </w:p>
    <w:p w:rsidR="00CE475B" w:rsidRDefault="00CE475B" w:rsidP="005D448A">
      <w:pPr>
        <w:jc w:val="both"/>
      </w:pPr>
    </w:p>
    <w:p w:rsidR="00CE475B" w:rsidRDefault="00CE475B" w:rsidP="005D448A">
      <w:pPr>
        <w:jc w:val="both"/>
        <w:rPr>
          <w:sz w:val="28"/>
        </w:rPr>
      </w:pPr>
      <w:r>
        <w:rPr>
          <w:b/>
          <w:sz w:val="28"/>
        </w:rPr>
        <w:t>Comment</w:t>
      </w:r>
    </w:p>
    <w:p w:rsidR="00CE475B" w:rsidRDefault="00CE475B" w:rsidP="005D448A">
      <w:pPr>
        <w:jc w:val="both"/>
      </w:pPr>
    </w:p>
    <w:p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rsidR="00CE475B" w:rsidRDefault="00CE475B" w:rsidP="005D448A">
      <w:pPr>
        <w:jc w:val="both"/>
      </w:pPr>
    </w:p>
    <w:p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477 U.S. 57, 64 (1986) (stating in Title VII case that “[w]</w:t>
      </w:r>
      <w:proofErr w:type="spellStart"/>
      <w:r>
        <w:t>ithout</w:t>
      </w:r>
      <w:proofErr w:type="spellEnd"/>
      <w:r>
        <w:t xml:space="preserve"> question, when a supervisor sexually harasses a subordinate because of the subordinate's sex, that supervisor ‘discriminate[s]’ on the basis of sex”); </w:t>
      </w:r>
      <w:proofErr w:type="spellStart"/>
      <w:r>
        <w:rPr>
          <w:i/>
        </w:rPr>
        <w:t>Azzaro</w:t>
      </w:r>
      <w:proofErr w:type="spellEnd"/>
      <w:r>
        <w:rPr>
          <w:i/>
        </w:rPr>
        <w:t xml:space="preserve"> v. County of Allegheny</w:t>
      </w:r>
      <w:r>
        <w:t>, 110 F.3d 968, 978 (3d Cir. 1997) (</w:t>
      </w:r>
      <w:proofErr w:type="spellStart"/>
      <w:r>
        <w:t>en</w:t>
      </w:r>
      <w:proofErr w:type="spellEnd"/>
      <w:r>
        <w:t xml:space="preserve"> banc) (in assessing retaliation claim, explaining that “[t]he harassment [reported by the plaintiff] was a form of gender discrimination since </w:t>
      </w:r>
      <w:proofErr w:type="spellStart"/>
      <w:r>
        <w:t>Fusaro</w:t>
      </w:r>
      <w:proofErr w:type="spellEnd"/>
      <w:r>
        <w:t xml:space="preserve"> presumably would not have behaved in the same manner toward a supplicant male spouse of a female employee.”).</w:t>
      </w:r>
      <w:r>
        <w:rPr>
          <w:rStyle w:val="FootnoteReference"/>
        </w:rPr>
        <w:footnoteReference w:id="17"/>
      </w:r>
    </w:p>
    <w:p w:rsidR="00CE475B" w:rsidRDefault="00CE475B" w:rsidP="005D448A">
      <w:pPr>
        <w:jc w:val="both"/>
      </w:pPr>
    </w:p>
    <w:p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proofErr w:type="spellStart"/>
      <w:r>
        <w:rPr>
          <w:i/>
        </w:rPr>
        <w:t>Bonenberger</w:t>
      </w:r>
      <w:proofErr w:type="spellEnd"/>
      <w:r>
        <w:rPr>
          <w:i/>
        </w:rPr>
        <w:t xml:space="preserve"> v. Plymouth Twp.</w:t>
      </w:r>
      <w:r>
        <w:t xml:space="preserve">, 132 F.3d 20, 24 (3d Cir. 1997) (“Under these circumstances La </w:t>
      </w:r>
      <w:proofErr w:type="spellStart"/>
      <w:r>
        <w:t>Penta's</w:t>
      </w:r>
      <w:proofErr w:type="spellEnd"/>
      <w:r>
        <w:t xml:space="preserve"> role within the departmental structure afforded him sufficient authority over </w:t>
      </w:r>
      <w:proofErr w:type="spellStart"/>
      <w:r>
        <w:t>Bonenberger</w:t>
      </w:r>
      <w:proofErr w:type="spellEnd"/>
      <w:r>
        <w:t xml:space="preserve"> to satisfy the color of law requirement of section </w:t>
      </w:r>
      <w:r>
        <w:lastRenderedPageBreak/>
        <w:t>1983.”).</w:t>
      </w:r>
      <w:r>
        <w:rPr>
          <w:rStyle w:val="FootnoteReference"/>
        </w:rPr>
        <w:footnoteReference w:id="18"/>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proofErr w:type="spellStart"/>
      <w:r>
        <w:rPr>
          <w:i/>
        </w:rPr>
        <w:t>Bonenberger</w:t>
      </w:r>
      <w:proofErr w:type="spellEnd"/>
      <w:r>
        <w:t>, 132 F.3d at 23.</w:t>
      </w:r>
    </w:p>
    <w:p w:rsidR="00136001" w:rsidRDefault="00136001" w:rsidP="005D448A">
      <w:pPr>
        <w:jc w:val="both"/>
      </w:pPr>
    </w:p>
    <w:p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19"/>
      </w:r>
    </w:p>
    <w:p w:rsidR="00CE475B" w:rsidRDefault="00CE475B" w:rsidP="005D448A">
      <w:pPr>
        <w:jc w:val="both"/>
      </w:pPr>
    </w:p>
    <w:p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20"/>
      </w:r>
      <w:r>
        <w:t xml:space="preserve"> against the plaintiff, that evidence should also establish that the defendant acted under color of state law.</w:t>
      </w:r>
      <w:r>
        <w:rPr>
          <w:rStyle w:val="FootnoteReference"/>
        </w:rPr>
        <w:footnoteReference w:id="21"/>
      </w:r>
    </w:p>
    <w:p w:rsidR="00CE475B" w:rsidRDefault="00CE475B" w:rsidP="005D448A">
      <w:pPr>
        <w:jc w:val="both"/>
      </w:pPr>
    </w:p>
    <w:p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2"/>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w:t>
      </w:r>
      <w:proofErr w:type="spellStart"/>
      <w:r>
        <w:t>respondeat</w:t>
      </w:r>
      <w:proofErr w:type="spellEnd"/>
      <w:r>
        <w:t xml:space="preserve">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rsidR="00CE475B" w:rsidRDefault="00CE475B" w:rsidP="005D448A">
      <w:pPr>
        <w:jc w:val="both"/>
      </w:pPr>
    </w:p>
    <w:p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rsidR="00CE475B" w:rsidRDefault="00CE475B" w:rsidP="005D448A">
      <w:pPr>
        <w:jc w:val="both"/>
      </w:pPr>
    </w:p>
    <w:p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3"/>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rsidR="00CE475B" w:rsidRDefault="00CE475B" w:rsidP="005D448A">
      <w:pPr>
        <w:jc w:val="both"/>
      </w:pPr>
    </w:p>
    <w:p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4"/>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5"/>
      </w:r>
    </w:p>
    <w:p w:rsidR="0023730D" w:rsidRDefault="0023730D" w:rsidP="005D448A">
      <w:pPr>
        <w:jc w:val="both"/>
      </w:pPr>
    </w:p>
    <w:p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6"/>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w:t>
      </w:r>
      <w:r>
        <w:lastRenderedPageBreak/>
        <w:t>question of what level of action or indifference suffices to show intent to discriminate on the part of the supervisor or the municipality.</w:t>
      </w:r>
    </w:p>
    <w:p w:rsidR="00CE475B" w:rsidRDefault="00CE475B" w:rsidP="005D448A">
      <w:pPr>
        <w:jc w:val="both"/>
      </w:pPr>
    </w:p>
    <w:p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rsidR="00CE475B" w:rsidRDefault="00CE475B" w:rsidP="005D448A">
      <w:pPr>
        <w:jc w:val="both"/>
      </w:pPr>
    </w:p>
    <w:p w:rsidR="00CE475B" w:rsidRDefault="00CE475B" w:rsidP="005D448A">
      <w:pPr>
        <w:ind w:left="720"/>
        <w:jc w:val="both"/>
      </w:pPr>
      <w:r>
        <w:t xml:space="preserve">There is evidence that </w:t>
      </w:r>
      <w:proofErr w:type="spellStart"/>
      <w:r>
        <w:t>Liciardello</w:t>
      </w:r>
      <w:proofErr w:type="spellEnd"/>
      <w:r>
        <w:t xml:space="preserve">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rsidR="00CE475B" w:rsidRDefault="00CE475B" w:rsidP="005D448A">
      <w:pPr>
        <w:jc w:val="both"/>
      </w:pPr>
    </w:p>
    <w:p w:rsidR="00CE475B" w:rsidRDefault="00CE475B" w:rsidP="005D448A">
      <w:pPr>
        <w:jc w:val="both"/>
      </w:pPr>
      <w:r>
        <w:rPr>
          <w:i/>
        </w:rPr>
        <w:t>Andrews</w:t>
      </w:r>
      <w:r>
        <w:t>, 895 F.2d at 1479.</w:t>
      </w:r>
    </w:p>
    <w:p w:rsidR="00CE475B" w:rsidRDefault="00CE475B" w:rsidP="005D448A">
      <w:pPr>
        <w:jc w:val="both"/>
      </w:pPr>
    </w:p>
    <w:p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7"/>
      </w:r>
      <w:r>
        <w:t xml:space="preserve"> </w:t>
      </w:r>
    </w:p>
    <w:p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8"/>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29"/>
      </w:r>
    </w:p>
    <w:p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rsidR="00CE475B" w:rsidRDefault="00CE475B" w:rsidP="005D448A">
      <w:pPr>
        <w:jc w:val="both"/>
      </w:pPr>
    </w:p>
    <w:p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rsidR="00CE475B" w:rsidRDefault="00CE475B" w:rsidP="005D448A">
      <w:pPr>
        <w:jc w:val="both"/>
      </w:pPr>
    </w:p>
    <w:p w:rsidR="00CE475B" w:rsidRDefault="00CE475B" w:rsidP="005D448A">
      <w:pPr>
        <w:jc w:val="both"/>
      </w:pPr>
      <w:r>
        <w:tab/>
        <w:t>In order for [plaintiff] to recover on this claim against [defendant], [plaintiff] must prove both of the following by a preponderance of the evidence:</w:t>
      </w:r>
    </w:p>
    <w:p w:rsidR="00CE475B" w:rsidRDefault="00CE475B" w:rsidP="005D448A">
      <w:pPr>
        <w:jc w:val="both"/>
      </w:pPr>
    </w:p>
    <w:p w:rsidR="00CE475B" w:rsidRDefault="00CE475B" w:rsidP="005D448A">
      <w:pPr>
        <w:ind w:left="720"/>
        <w:jc w:val="both"/>
      </w:pPr>
      <w:r>
        <w:t xml:space="preserve"> First: [Defendant] [failed to promote] [terminated] [constructively discharged]</w:t>
      </w:r>
      <w:r>
        <w:rPr>
          <w:rStyle w:val="FootnoteReference"/>
        </w:rPr>
        <w:footnoteReference w:id="30"/>
      </w:r>
      <w:r>
        <w:t xml:space="preserve"> [plaintiff]; and</w:t>
      </w:r>
    </w:p>
    <w:p w:rsidR="00FB4C26" w:rsidRDefault="00FB4C26" w:rsidP="005D448A">
      <w:pPr>
        <w:ind w:left="720"/>
        <w:jc w:val="both"/>
      </w:pPr>
    </w:p>
    <w:p w:rsidR="00CE475B" w:rsidRDefault="00CE475B" w:rsidP="005D448A">
      <w:pPr>
        <w:ind w:left="720"/>
        <w:jc w:val="both"/>
      </w:pPr>
      <w:r>
        <w:t>Second: [Plaintiff’s] protected activity was a motivating factor in [defendant's] decision.</w:t>
      </w:r>
    </w:p>
    <w:p w:rsidR="00CE475B" w:rsidRDefault="00CE475B" w:rsidP="005D448A">
      <w:pPr>
        <w:jc w:val="both"/>
      </w:pPr>
    </w:p>
    <w:p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31"/>
      </w:r>
    </w:p>
    <w:p w:rsidR="00CE475B" w:rsidRDefault="00CE475B" w:rsidP="005D448A">
      <w:pPr>
        <w:jc w:val="both"/>
      </w:pPr>
    </w:p>
    <w:p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rsidR="00CE475B" w:rsidRDefault="00CE475B" w:rsidP="005D448A">
      <w:pPr>
        <w:jc w:val="both"/>
      </w:pP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grounds by Borough of Duryea v. </w:t>
      </w:r>
      <w:proofErr w:type="spellStart"/>
      <w:r>
        <w:rPr>
          <w:i/>
        </w:rPr>
        <w:t>Guarnieri</w:t>
      </w:r>
      <w:proofErr w:type="spellEnd"/>
      <w:r>
        <w:t>, 131 S. Ct. 2488 (2011).</w:t>
      </w:r>
      <w:r>
        <w:rPr>
          <w:rStyle w:val="FootnoteReference"/>
        </w:rPr>
        <w:footnoteReference w:id="32"/>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3"/>
      </w:r>
      <w:r>
        <w:t xml:space="preserve">  “Second, the employee must show that the protected activity ‘was a substantial factor in the alleged retaliatory action.’”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rsidR="00CE475B" w:rsidRDefault="00CE475B" w:rsidP="005D448A">
      <w:pPr>
        <w:jc w:val="both"/>
      </w:pPr>
    </w:p>
    <w:p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 xml:space="preserve">See, e.g., </w:t>
      </w:r>
      <w:proofErr w:type="spellStart"/>
      <w:r>
        <w:rPr>
          <w:i/>
        </w:rPr>
        <w:t>Zelinski</w:t>
      </w:r>
      <w:proofErr w:type="spellEnd"/>
      <w:r>
        <w:rPr>
          <w:i/>
        </w:rPr>
        <w:t xml:space="preserve">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rsidR="00CE475B" w:rsidRDefault="00CE475B" w:rsidP="005D448A">
      <w:pPr>
        <w:pStyle w:val="ListParagra"/>
      </w:pPr>
    </w:p>
    <w:p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 xml:space="preserve">abrogated on other grounds by Borough of Duryea v. </w:t>
      </w:r>
      <w:proofErr w:type="spellStart"/>
      <w:r>
        <w:rPr>
          <w:i/>
        </w:rPr>
        <w:t>Guarnieri</w:t>
      </w:r>
      <w:proofErr w:type="spellEnd"/>
      <w:r>
        <w:t xml:space="preserve">, 131 S. Ct. 2488 (2011). On other occasions, however, it used distinct tests for each.  </w:t>
      </w:r>
      <w:r>
        <w:rPr>
          <w:i/>
        </w:rPr>
        <w:t>See</w:t>
      </w:r>
      <w:r>
        <w:t xml:space="preserve"> </w:t>
      </w:r>
      <w:proofErr w:type="spellStart"/>
      <w:r>
        <w:rPr>
          <w:i/>
        </w:rPr>
        <w:t>Azzaro</w:t>
      </w:r>
      <w:proofErr w:type="spellEnd"/>
      <w:r>
        <w:rPr>
          <w:i/>
        </w:rPr>
        <w:t xml:space="preserve"> v. County of Allegheny</w:t>
      </w:r>
      <w:r>
        <w:t>, 110 F.3d 968, 973-75 (3d Cir. 1997) (</w:t>
      </w:r>
      <w:proofErr w:type="spellStart"/>
      <w:r>
        <w:t>en</w:t>
      </w:r>
      <w:proofErr w:type="spellEnd"/>
      <w:r>
        <w:t xml:space="preserve"> banc).  In </w:t>
      </w:r>
      <w:r>
        <w:rPr>
          <w:i/>
        </w:rPr>
        <w:t xml:space="preserve">University of Texas Southwestern Medical Center v. </w:t>
      </w:r>
      <w:proofErr w:type="spellStart"/>
      <w:r>
        <w:rPr>
          <w:i/>
        </w:rPr>
        <w:t>Nassar</w:t>
      </w:r>
      <w:proofErr w:type="spellEnd"/>
      <w:r>
        <w:t xml:space="preserve">, 133 S. Ct. 2517 (2013), the </w:t>
      </w:r>
      <w:proofErr w:type="gramStart"/>
      <w:r>
        <w:t>Court  rejected</w:t>
      </w:r>
      <w:proofErr w:type="gramEnd"/>
      <w:r>
        <w:t xml:space="preserve"> the motivating-factor standard for claims under Title VII’s retaliation provision. </w:t>
      </w:r>
      <w:proofErr w:type="spellStart"/>
      <w:r>
        <w:rPr>
          <w:i/>
        </w:rPr>
        <w:t>Nassar</w:t>
      </w:r>
      <w:proofErr w:type="spellEnd"/>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w:t>
      </w:r>
      <w:r>
        <w:lastRenderedPageBreak/>
        <w:t>that an employee may not recover in a dual-motives case if the employer shows that it would have taken the same action even absent the protected speech.”).</w:t>
      </w:r>
    </w:p>
    <w:p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‘“the interest of the State, as an employer, in promoting the efficiency of the public services it performs through its employees.”’” </w:t>
      </w:r>
      <w:r>
        <w:rPr>
          <w:i/>
        </w:rPr>
        <w:t>Waters v. Churchill</w:t>
      </w:r>
      <w:r>
        <w:t xml:space="preserve">, 511 U.S. 661, 668 (1994) (plurality opinion) (quoting </w:t>
      </w:r>
      <w:proofErr w:type="spellStart"/>
      <w:r>
        <w:rPr>
          <w:i/>
        </w:rPr>
        <w:t>Connick</w:t>
      </w:r>
      <w:proofErr w:type="spellEnd"/>
      <w:r>
        <w:rPr>
          <w:i/>
        </w:rPr>
        <w:t xml:space="preserve"> v. Myers</w:t>
      </w:r>
      <w:r>
        <w:t xml:space="preserve">, 461 U.S. 138, 142 (1983) (quoting </w:t>
      </w:r>
      <w:r>
        <w:rPr>
          <w:i/>
        </w:rPr>
        <w:t xml:space="preserve">Pickering v. Board of Ed. of Township High School Dist. 205, Will </w:t>
      </w:r>
      <w:proofErr w:type="spellStart"/>
      <w:r>
        <w:rPr>
          <w:i/>
        </w:rPr>
        <w:t>Cty</w:t>
      </w:r>
      <w:proofErr w:type="spellEnd"/>
      <w:r>
        <w:rPr>
          <w:i/>
        </w:rPr>
        <w:t>.</w:t>
      </w:r>
      <w:r>
        <w:t>, 391 U.S. 563, 568 (1968))).</w:t>
      </w:r>
      <w:r>
        <w:rPr>
          <w:rStyle w:val="FootnoteReference"/>
        </w:rPr>
        <w:footnoteReference w:id="34"/>
      </w:r>
    </w:p>
    <w:p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5"/>
      </w:r>
      <w:r>
        <w:t xml:space="preserve"> must not be made pursuant to the plaintiff’s job responsibilities</w:t>
      </w:r>
      <w:r>
        <w:rPr>
          <w:rStyle w:val="FootnoteReference"/>
        </w:rPr>
        <w:footnoteReference w:id="36"/>
      </w:r>
      <w:r>
        <w:t xml:space="preserve"> as a government employee:  A closely divided Court held in </w:t>
      </w:r>
      <w:proofErr w:type="spellStart"/>
      <w:r>
        <w:rPr>
          <w:i/>
        </w:rPr>
        <w:t>Garcetti</w:t>
      </w:r>
      <w:proofErr w:type="spellEnd"/>
      <w:r>
        <w:rPr>
          <w:i/>
        </w:rPr>
        <w:t xml:space="preserve">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7"/>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 xml:space="preserve">Reilly v. </w:t>
      </w:r>
      <w:r>
        <w:rPr>
          <w:i/>
        </w:rPr>
        <w:lastRenderedPageBreak/>
        <w:t>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proofErr w:type="spellStart"/>
      <w:r w:rsidRPr="00A3164E">
        <w:rPr>
          <w:i/>
        </w:rPr>
        <w:t>Garcetti</w:t>
      </w:r>
      <w:proofErr w:type="spellEnd"/>
      <w:r w:rsidRPr="00A3164E">
        <w:t xml:space="preserve"> “precludes First Amendment protection for speech that ‘owes its existence to a public employee's professional responsibilities,’”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w:t>
      </w:r>
      <w:r w:rsidR="007E1DB6">
        <w:t>’</w:t>
      </w:r>
      <w:r w:rsidRPr="00A3164E">
        <w:t xml:space="preserve">s duties—might narrow the range of employee speech left unprotected by </w:t>
      </w:r>
      <w:proofErr w:type="spellStart"/>
      <w:r w:rsidRPr="00A3164E">
        <w:rPr>
          <w:i/>
        </w:rPr>
        <w:t>Garcetti</w:t>
      </w:r>
      <w:proofErr w:type="spellEnd"/>
      <w:r w:rsidRPr="00A3164E">
        <w:t xml:space="preserve">. </w:t>
      </w:r>
      <w:r w:rsidRPr="00A3164E">
        <w:rPr>
          <w:i/>
        </w:rPr>
        <w:t>Id</w:t>
      </w:r>
      <w:r w:rsidRPr="00A3164E">
        <w:t xml:space="preserve"> at 990.</w:t>
      </w:r>
      <w:r w:rsidR="00E846D1">
        <w:t xml:space="preserve"> </w:t>
      </w:r>
      <w:r w:rsidRPr="00A3164E">
        <w:rPr>
          <w:i/>
        </w:rPr>
        <w:t>See also</w:t>
      </w:r>
      <w:r w:rsidRPr="00A3164E">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7E1DB6">
        <w:rPr>
          <w:u w:val="single"/>
        </w:rPr>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proofErr w:type="spellStart"/>
      <w:r w:rsidR="00E846D1" w:rsidRPr="00E846D1">
        <w:rPr>
          <w:i/>
        </w:rPr>
        <w:t>DeRitis</w:t>
      </w:r>
      <w:proofErr w:type="spellEnd"/>
      <w:r w:rsidR="00E846D1" w:rsidRPr="00E846D1">
        <w:rPr>
          <w:i/>
        </w:rPr>
        <w:t xml:space="preserve"> v. </w:t>
      </w:r>
      <w:proofErr w:type="spellStart"/>
      <w:r w:rsidR="00E846D1" w:rsidRPr="00E846D1">
        <w:rPr>
          <w:i/>
        </w:rPr>
        <w:t>McGarrigle</w:t>
      </w:r>
      <w:proofErr w:type="spellEnd"/>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proofErr w:type="spellStart"/>
      <w:r w:rsidR="00E846D1" w:rsidRPr="00E846D1">
        <w:rPr>
          <w:i/>
        </w:rPr>
        <w:t>Garcetti</w:t>
      </w:r>
      <w:proofErr w:type="spellEnd"/>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proofErr w:type="spellStart"/>
      <w:r w:rsidRPr="00A3164E">
        <w:rPr>
          <w:i/>
        </w:rPr>
        <w:t>Garcetti</w:t>
      </w:r>
      <w:proofErr w:type="spellEnd"/>
      <w:r w:rsidRPr="00A3164E">
        <w:t xml:space="preserve"> to speech by an elected official, see </w:t>
      </w:r>
      <w:proofErr w:type="spellStart"/>
      <w:r w:rsidRPr="00A3164E">
        <w:rPr>
          <w:i/>
        </w:rPr>
        <w:t>Werkheiser</w:t>
      </w:r>
      <w:proofErr w:type="spellEnd"/>
      <w:r w:rsidRPr="00A3164E">
        <w:rPr>
          <w:i/>
        </w:rPr>
        <w:t xml:space="preserve"> v. Pocono Twp.,</w:t>
      </w:r>
      <w:r w:rsidRPr="00A3164E">
        <w:t xml:space="preserve"> 780 F.3d 172 (3d Cir. 2015)</w:t>
      </w:r>
      <w:r w:rsidR="009E1096" w:rsidRPr="00FE4DD2">
        <w:t xml:space="preserve">; </w:t>
      </w:r>
      <w:r w:rsidR="009E1096" w:rsidRPr="00136001">
        <w:rPr>
          <w:i/>
        </w:rPr>
        <w:t>cf</w:t>
      </w:r>
      <w:r w:rsidR="009E1096" w:rsidRPr="00136001">
        <w:t xml:space="preserve">. </w:t>
      </w:r>
      <w:proofErr w:type="spellStart"/>
      <w:r w:rsidR="009E1096" w:rsidRPr="00136001">
        <w:rPr>
          <w:i/>
        </w:rPr>
        <w:t>Zaloga</w:t>
      </w:r>
      <w:proofErr w:type="spellEnd"/>
      <w:r w:rsidR="009E1096" w:rsidRPr="00136001">
        <w:rPr>
          <w:i/>
        </w:rPr>
        <w:t xml:space="preserve"> v. Borough of Moosic</w:t>
      </w:r>
      <w:r w:rsidR="009E1096" w:rsidRPr="00136001">
        <w:t xml:space="preserve">, 841 F.3d 170, 176-77 (3d Cir. 2016) (discussing the legal uncertainty involved in deciding “when a government official’s own speech can . . . constitute unconstitutional retaliation”).  </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proofErr w:type="spellStart"/>
      <w:r>
        <w:rPr>
          <w:i/>
        </w:rPr>
        <w:t>Connick</w:t>
      </w:r>
      <w:proofErr w:type="spellEnd"/>
      <w:r>
        <w:t xml:space="preserve"> / </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w:t>
      </w:r>
      <w:r>
        <w:lastRenderedPageBreak/>
        <w:t xml:space="preserve">court must apply the </w:t>
      </w:r>
      <w:proofErr w:type="spellStart"/>
      <w:r>
        <w:rPr>
          <w:i/>
        </w:rPr>
        <w:t>Connick</w:t>
      </w:r>
      <w:proofErr w:type="spellEnd"/>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8"/>
      </w:r>
    </w:p>
    <w:p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39"/>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0"/>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1"/>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 xml:space="preserve">See </w:t>
      </w:r>
      <w:proofErr w:type="spellStart"/>
      <w:r>
        <w:rPr>
          <w:i/>
        </w:rPr>
        <w:t>Azzaro</w:t>
      </w:r>
      <w:proofErr w:type="spellEnd"/>
      <w:r>
        <w:rPr>
          <w:i/>
        </w:rPr>
        <w:t xml:space="preserve"> v. County of Allegheny</w:t>
      </w:r>
      <w:r>
        <w:t>, 110 F.3d 968, 975 (3d Cir. 1997) (</w:t>
      </w:r>
      <w:proofErr w:type="spellStart"/>
      <w:r>
        <w:t>en</w:t>
      </w:r>
      <w:proofErr w:type="spellEnd"/>
      <w:r>
        <w:t xml:space="preserve"> banc) </w:t>
      </w:r>
      <w:r>
        <w:lastRenderedPageBreak/>
        <w:t xml:space="preserve">(“We must first inquire whether </w:t>
      </w:r>
      <w:proofErr w:type="spellStart"/>
      <w:r>
        <w:t>Azzaro's</w:t>
      </w:r>
      <w:proofErr w:type="spellEnd"/>
      <w:r>
        <w:t xml:space="preserve"> reports to Fox and </w:t>
      </w:r>
      <w:proofErr w:type="spellStart"/>
      <w:r>
        <w:t>Sirabella</w:t>
      </w:r>
      <w:proofErr w:type="spellEnd"/>
      <w:r>
        <w:t xml:space="preserve"> were protected by the First Amendment. This is a question of law.”).</w:t>
      </w:r>
      <w:r>
        <w:rPr>
          <w:rStyle w:val="FootnoteReference"/>
        </w:rPr>
        <w:footnoteReference w:id="42"/>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 </w:t>
      </w:r>
      <w:proofErr w:type="spellStart"/>
      <w:r>
        <w:rPr>
          <w:i/>
        </w:rPr>
        <w:t>Azzaro</w:t>
      </w:r>
      <w:proofErr w:type="spellEnd"/>
      <w:r>
        <w:t xml:space="preserve">, 110 F.3d at 976 (quoting </w:t>
      </w:r>
      <w:proofErr w:type="spellStart"/>
      <w:r>
        <w:rPr>
          <w:i/>
        </w:rPr>
        <w:t>Connick</w:t>
      </w:r>
      <w:proofErr w:type="spellEnd"/>
      <w:r>
        <w:rPr>
          <w:i/>
        </w:rPr>
        <w:t xml:space="preserve"> v. Myers</w:t>
      </w:r>
      <w:r>
        <w:t>, 461 U.S. 138, 147-48 (1983)).</w:t>
      </w:r>
      <w:r>
        <w:rPr>
          <w:rStyle w:val="FootnoteReference"/>
        </w:rPr>
        <w:footnoteReference w:id="43"/>
      </w:r>
      <w:r>
        <w:t xml:space="preserve">  Second, the employee’s expressive conduct must not have been part of the employee’s job duties.  </w:t>
      </w:r>
      <w:r>
        <w:rPr>
          <w:i/>
        </w:rPr>
        <w:t>See supra</w:t>
      </w:r>
      <w:r>
        <w:t xml:space="preserve"> (discussing </w:t>
      </w:r>
      <w:proofErr w:type="spellStart"/>
      <w:r>
        <w:rPr>
          <w:i/>
        </w:rPr>
        <w:t>Garcetti</w:t>
      </w:r>
      <w:proofErr w:type="spellEnd"/>
      <w:r>
        <w:rPr>
          <w:i/>
        </w:rPr>
        <w:t xml:space="preserve"> v. Ceballos</w:t>
      </w:r>
      <w:r>
        <w:t xml:space="preserve">, 126 S. Ct. 1951 (2006)).  Third, “the value of that expression must outweigh ‘the government's interest in the effective and efficient fulfillment of its responsibilities to the public.’” </w:t>
      </w:r>
      <w:proofErr w:type="spellStart"/>
      <w:r>
        <w:rPr>
          <w:i/>
        </w:rPr>
        <w:t>Azzaro</w:t>
      </w:r>
      <w:proofErr w:type="spellEnd"/>
      <w:r>
        <w:t xml:space="preserve">, 110 F.3d at 976 (quoting </w:t>
      </w:r>
      <w:proofErr w:type="spellStart"/>
      <w:r>
        <w:rPr>
          <w:i/>
        </w:rPr>
        <w:t>Connick</w:t>
      </w:r>
      <w:proofErr w:type="spellEnd"/>
      <w:r>
        <w:t xml:space="preserve">, 461 </w:t>
      </w:r>
      <w:r>
        <w:lastRenderedPageBreak/>
        <w:t>U.S. at 150).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proofErr w:type="spellStart"/>
      <w:r>
        <w:rPr>
          <w:i/>
        </w:rPr>
        <w:t>Azzaro</w:t>
      </w:r>
      <w:proofErr w:type="spellEnd"/>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w:t>
      </w:r>
      <w:proofErr w:type="spellStart"/>
      <w:r>
        <w:t>Azzaro</w:t>
      </w:r>
      <w:proofErr w:type="spellEnd"/>
      <w:r>
        <w:t xml:space="preserve"> had made, in her capacity as the spouse of an employee, to plead for her husband's job.”  </w:t>
      </w:r>
      <w:proofErr w:type="spellStart"/>
      <w:r>
        <w:rPr>
          <w:i/>
        </w:rPr>
        <w:t>Azzaro</w:t>
      </w:r>
      <w:proofErr w:type="spellEnd"/>
      <w:r>
        <w:t xml:space="preserve">, 110 F.3d at 978.  Reasoning that the plaintiff’s reports “brought to light actual wrongdoing on the part of one exercising public authority that would be relevant to the electorate's evaluation of the performance of the office of an elected official,” the </w:t>
      </w:r>
      <w:proofErr w:type="spellStart"/>
      <w:r>
        <w:t>en</w:t>
      </w:r>
      <w:proofErr w:type="spellEnd"/>
      <w:r>
        <w:t xml:space="preserve"> banc majority held that the reports “should be regarded as a matter of public concern unless something in their form or context deprived them of their value to the process of self-governance.”  </w:t>
      </w:r>
      <w:r>
        <w:rPr>
          <w:i/>
        </w:rPr>
        <w:t>Id.</w:t>
      </w:r>
      <w:r>
        <w:t xml:space="preserve"> at 978-79.  Under </w:t>
      </w:r>
      <w:proofErr w:type="spellStart"/>
      <w:r>
        <w:rPr>
          <w:i/>
        </w:rPr>
        <w:t>Azzaro</w:t>
      </w:r>
      <w:proofErr w:type="spellEnd"/>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w:t>
      </w:r>
      <w:proofErr w:type="spellStart"/>
      <w:r>
        <w:t>Scirica</w:t>
      </w:r>
      <w:proofErr w:type="spellEnd"/>
      <w:r>
        <w:t xml:space="preserve">,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proofErr w:type="spellStart"/>
      <w:r>
        <w:rPr>
          <w:i/>
        </w:rPr>
        <w:t>Montone</w:t>
      </w:r>
      <w:proofErr w:type="spellEnd"/>
      <w:r>
        <w:rPr>
          <w:i/>
        </w:rPr>
        <w:t xml:space="preserve"> v. City of Jersey City</w:t>
      </w:r>
      <w:r>
        <w:t>, 709 F.3d 181, 194-95 (3d Cir. 2013) (holding that plaintiff’s “speech involved a matter of public concern,” even though “no elected figure [</w:t>
      </w:r>
      <w:proofErr w:type="spellStart"/>
      <w:r>
        <w:t>wa</w:t>
      </w:r>
      <w:proofErr w:type="spellEnd"/>
      <w:r>
        <w:t xml:space="preserve">]s involved,” where there were “at least three separate instances of alleged sexual harassment . . .  and the inappropriate conduct was not directed solely at </w:t>
      </w:r>
      <w:proofErr w:type="spellStart"/>
      <w:r>
        <w:t>Montone</w:t>
      </w:r>
      <w:proofErr w:type="spellEnd"/>
      <w:r>
        <w: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4"/>
      </w:r>
      <w:r>
        <w:t xml:space="preserve"> against “the government's interest as an employer in promoting the efficiency of the services it performs through its employees.”</w:t>
      </w:r>
      <w:r>
        <w:rPr>
          <w:rStyle w:val="FootnoteReference"/>
        </w:rPr>
        <w:footnoteReference w:id="45"/>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 xml:space="preserve">abrogated on other grounds by Borough of Duryea v. </w:t>
      </w:r>
      <w:proofErr w:type="spellStart"/>
      <w:r>
        <w:rPr>
          <w:i/>
        </w:rPr>
        <w:t>Guarnieri</w:t>
      </w:r>
      <w:proofErr w:type="spellEnd"/>
      <w:r>
        <w:t>, 131 S. Ct. 2488 (2011).</w:t>
      </w:r>
      <w:r>
        <w:rPr>
          <w:rStyle w:val="FootnoteReference"/>
        </w:rPr>
        <w:footnoteReference w:id="46"/>
      </w:r>
      <w:r w:rsidR="00A3164E">
        <w:t xml:space="preserve"> </w:t>
      </w:r>
      <w:r w:rsidR="00A3164E" w:rsidRPr="00A3164E">
        <w:t xml:space="preserve">In applying the </w:t>
      </w:r>
      <w:r w:rsidR="00A3164E" w:rsidRPr="00A3164E">
        <w:rPr>
          <w:i/>
        </w:rPr>
        <w:t>Pickering</w:t>
      </w:r>
      <w:r w:rsidR="00A3164E" w:rsidRPr="00A3164E">
        <w:t xml:space="preserve"> </w:t>
      </w:r>
      <w:r w:rsidR="00A3164E" w:rsidRPr="00A3164E">
        <w:lastRenderedPageBreak/>
        <w:t>balancing test, the district court should be aware that “[s]</w:t>
      </w:r>
      <w:proofErr w:type="spellStart"/>
      <w:r w:rsidR="00A3164E" w:rsidRPr="00A3164E">
        <w:t>ome</w:t>
      </w:r>
      <w:proofErr w:type="spellEnd"/>
      <w:r w:rsidR="00A3164E" w:rsidRPr="00A3164E">
        <w:t xml:space="preserve"> disruption is almost certainly inevitable,” and that it “is against [Third Circuit] precedent to find against an employee where the disruption ‘was primarily the result, not of the plaintiff's exercise of speech, but of his superiors’ attempts to suppress it.’” </w:t>
      </w:r>
      <w:r w:rsidR="00A3164E" w:rsidRPr="00A3164E">
        <w:rPr>
          <w:i/>
        </w:rPr>
        <w:t xml:space="preserve">Dougherty v. School Dist. of Philadelphia, </w:t>
      </w:r>
      <w:r w:rsidR="00A3164E" w:rsidRPr="00A3164E">
        <w:t xml:space="preserve">772 F.3d 979, 992 (3d Cir. 2014) (quoting </w:t>
      </w:r>
      <w:proofErr w:type="spellStart"/>
      <w:r w:rsidR="00A3164E" w:rsidRPr="00A3164E">
        <w:rPr>
          <w:i/>
          <w:iCs/>
        </w:rPr>
        <w:t>Czurlanis</w:t>
      </w:r>
      <w:proofErr w:type="spellEnd"/>
      <w:r w:rsidR="00A3164E" w:rsidRPr="00A3164E">
        <w:rPr>
          <w:i/>
          <w:iCs/>
        </w:rPr>
        <w:t xml:space="preserve">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7"/>
      </w:r>
      <w:r>
        <w:t xml:space="preserve">  The plaintiff must show a “causal link” between the protected speech and the adverse employment action.  </w:t>
      </w:r>
      <w:r>
        <w:rPr>
          <w:i/>
        </w:rPr>
        <w:t>See, e.g., Thomas v. Town of Hammonton</w:t>
      </w:r>
      <w:r>
        <w:t xml:space="preserve">, 351 F.3d 108, 114 (3d Cir. 2003); </w:t>
      </w:r>
      <w:r>
        <w:rPr>
          <w:i/>
        </w:rPr>
        <w:t xml:space="preserve">see also </w:t>
      </w:r>
      <w:proofErr w:type="spellStart"/>
      <w:r>
        <w:rPr>
          <w:i/>
        </w:rPr>
        <w:t>Azzaro</w:t>
      </w:r>
      <w:proofErr w:type="spellEnd"/>
      <w:r>
        <w:t>, 110 F.3d at 981 (reversing summary judgment dismissing First Amendment retaliation claim, because there existed “a material dispute of fact as to whether [plaintiff’s] reports were a motivating factor in the discharge decision”).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 xml:space="preserve">de </w:t>
      </w:r>
      <w:proofErr w:type="spellStart"/>
      <w:r>
        <w:rPr>
          <w:i/>
        </w:rPr>
        <w:t>minimis</w:t>
      </w:r>
      <w:proofErr w:type="spellEnd"/>
      <w:r>
        <w:t xml:space="preserve">.  </w:t>
      </w:r>
      <w:r>
        <w:rPr>
          <w:i/>
        </w:rPr>
        <w:t>See McKee v. Hart</w:t>
      </w:r>
      <w:r>
        <w:t>, 436 F.3d 165,170 (3d Cir. 2006) (“[N]</w:t>
      </w:r>
      <w:proofErr w:type="spellStart"/>
      <w:r>
        <w:t>ot</w:t>
      </w:r>
      <w:proofErr w:type="spellEnd"/>
      <w:r>
        <w:t xml:space="preserve">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w:t>
      </w:r>
      <w:proofErr w:type="spellStart"/>
      <w:r>
        <w:rPr>
          <w:i/>
        </w:rPr>
        <w:t>minimis</w:t>
      </w:r>
      <w:proofErr w:type="spellEnd"/>
      <w:r>
        <w:rPr>
          <w:i/>
        </w:rPr>
        <w:t xml:space="preserve"> </w:t>
      </w:r>
      <w:r>
        <w:t xml:space="preserve">by itself or if viewed in isolation.”  </w:t>
      </w:r>
      <w:r>
        <w:rPr>
          <w:i/>
        </w:rPr>
        <w:t>Brennan v. Norton</w:t>
      </w:r>
      <w:r>
        <w:t xml:space="preserve">, 350 F.3d 399, 419 n.16 (3d Cir. 2003),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proofErr w:type="spellStart"/>
      <w:r>
        <w:rPr>
          <w:i/>
        </w:rPr>
        <w:t>Suppan</w:t>
      </w:r>
      <w:proofErr w:type="spellEnd"/>
      <w:r>
        <w:rPr>
          <w:i/>
        </w:rPr>
        <w:t xml:space="preserve"> v. </w:t>
      </w:r>
      <w:proofErr w:type="spellStart"/>
      <w:r>
        <w:rPr>
          <w:i/>
        </w:rPr>
        <w:t>Dadonna</w:t>
      </w:r>
      <w:proofErr w:type="spellEnd"/>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proofErr w:type="spellStart"/>
      <w:r>
        <w:rPr>
          <w:i/>
        </w:rPr>
        <w:t>Suppan</w:t>
      </w:r>
      <w:proofErr w:type="spellEnd"/>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proofErr w:type="spellStart"/>
      <w:r w:rsidR="00A3164E" w:rsidRPr="00A3164E">
        <w:rPr>
          <w:i/>
        </w:rPr>
        <w:t>Werkheiser</w:t>
      </w:r>
      <w:proofErr w:type="spellEnd"/>
      <w:r w:rsidR="00A3164E" w:rsidRPr="00A3164E">
        <w:rPr>
          <w:i/>
        </w:rPr>
        <w:t xml:space="preserve">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48"/>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w:t>
      </w:r>
      <w:proofErr w:type="spellStart"/>
      <w:r>
        <w:t>decisionmakers</w:t>
      </w:r>
      <w:proofErr w:type="spellEnd"/>
      <w:r>
        <w:t xml:space="preserve"> must be aware of the protected conduct.”  </w:t>
      </w:r>
      <w:r>
        <w:rPr>
          <w:i/>
        </w:rPr>
        <w:t>Ambrose v. Township of Robinson, Pa.</w:t>
      </w:r>
      <w:r>
        <w:t xml:space="preserve">, 303 F.3d 488, 493 (3d Cir. 2002).  If the plaintiff shows that the </w:t>
      </w:r>
      <w:proofErr w:type="spellStart"/>
      <w:r>
        <w:t>decisionmaker</w:t>
      </w:r>
      <w:proofErr w:type="spellEnd"/>
      <w:r>
        <w:t xml:space="preserve">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351 F.3d at 114, but “[e]</w:t>
      </w:r>
      <w:proofErr w:type="spellStart"/>
      <w:r>
        <w:t>ven</w:t>
      </w:r>
      <w:proofErr w:type="spellEnd"/>
      <w:r>
        <w:t xml:space="preserve"> if timing alone could ever be sufficient to establish a causal link, . . . the timing of the alleged retaliatory action must be 'unusually suggestive' of retaliatory motive before a causal link will be inferred."  </w:t>
      </w:r>
      <w:r>
        <w:rPr>
          <w:i/>
        </w:rPr>
        <w:t xml:space="preserve">Estate of Smith v. </w:t>
      </w:r>
      <w:proofErr w:type="spellStart"/>
      <w:r>
        <w:rPr>
          <w:i/>
        </w:rPr>
        <w:t>Marasco</w:t>
      </w:r>
      <w:proofErr w:type="spellEnd"/>
      <w:r>
        <w:t xml:space="preserve">, 318 F.3d 497, 512 (3d Cir. 2003) (quoting </w:t>
      </w:r>
      <w:proofErr w:type="spellStart"/>
      <w:r>
        <w:rPr>
          <w:i/>
        </w:rPr>
        <w:t>Krouse</w:t>
      </w:r>
      <w:proofErr w:type="spellEnd"/>
      <w:r>
        <w:rPr>
          <w:i/>
        </w:rPr>
        <w:t xml:space="preserve"> v. Am. Sterilizer Co.</w:t>
      </w:r>
      <w:r>
        <w:t>, 126 F.3d 494, 503 (3d Cir. 1997)).</w:t>
      </w:r>
      <w:r>
        <w:rPr>
          <w:rStyle w:val="FootnoteReference"/>
        </w:rPr>
        <w:footnoteReference w:id="49"/>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 xml:space="preserve">Lauren W. v. </w:t>
      </w:r>
      <w:proofErr w:type="spellStart"/>
      <w:r>
        <w:rPr>
          <w:i/>
        </w:rPr>
        <w:t>DeFlaminis</w:t>
      </w:r>
      <w:proofErr w:type="spellEnd"/>
      <w:r>
        <w:t>, 480 F.3d 259 (3d Cir. 2007)</w:t>
      </w:r>
      <w:r w:rsidR="006D62E6">
        <w:t>—</w:t>
      </w:r>
      <w:r>
        <w:t>a case involving retaliation claims under both the First Amendment and the Rehabilitation Act</w:t>
      </w:r>
      <w:r w:rsidR="006D62E6">
        <w:t>—</w:t>
      </w:r>
      <w:r>
        <w:t>the Court of Appeals noted three options for proving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50"/>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w:t>
      </w:r>
      <w:r>
        <w:lastRenderedPageBreak/>
        <w:t xml:space="preserve">action absent the protected activity.”  </w:t>
      </w:r>
      <w:r>
        <w:rPr>
          <w:i/>
        </w:rPr>
        <w:t>Fultz</w:t>
      </w:r>
      <w:r>
        <w:t>, 165 F.3d at 218.</w:t>
      </w:r>
      <w:r>
        <w:rPr>
          <w:rStyle w:val="FootnoteReference"/>
        </w:rPr>
        <w:footnoteReference w:id="51"/>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2"/>
      </w:r>
      <w:r>
        <w:t xml:space="preserve">  In other words, “the defendant[], in proving ‘same decision,’ must prove that the protected conduct was </w:t>
      </w:r>
      <w:r>
        <w:rPr>
          <w:i/>
        </w:rPr>
        <w:t>not</w:t>
      </w:r>
      <w:r>
        <w:t xml:space="preserve"> the but-for cause.”  </w:t>
      </w:r>
      <w:proofErr w:type="spellStart"/>
      <w:r>
        <w:rPr>
          <w:i/>
        </w:rPr>
        <w:t>Suppan</w:t>
      </w:r>
      <w:proofErr w:type="spellEnd"/>
      <w:r>
        <w:rPr>
          <w:i/>
        </w:rPr>
        <w:t xml:space="preserve"> v. </w:t>
      </w:r>
      <w:proofErr w:type="spellStart"/>
      <w:r>
        <w:rPr>
          <w:i/>
        </w:rPr>
        <w:t>Dadonna</w:t>
      </w:r>
      <w:proofErr w:type="spellEnd"/>
      <w:r>
        <w:t>, 203 F.3d 228, 236 (3d Cir. 2000).</w:t>
      </w: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3"/>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4"/>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5"/>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6"/>
      </w:r>
      <w:r>
        <w:t xml:space="preserve">  Specifically, the Court held that there is a Seventh Amendment right</w:t>
      </w:r>
      <w:r>
        <w:rPr>
          <w:rStyle w:val="FootnoteReference"/>
        </w:rPr>
        <w:footnoteReference w:id="57"/>
      </w:r>
      <w:r>
        <w:t xml:space="preserve"> to a jury determination of the question of liability in a Section 1983 suit seeking damages </w:t>
      </w:r>
      <w:r>
        <w:lastRenderedPageBreak/>
        <w:t xml:space="preserve">reflecting just compensation for a regulatory taking.  </w:t>
      </w:r>
      <w:r>
        <w:rPr>
          <w:i/>
        </w:rPr>
        <w:t xml:space="preserve">See id. </w:t>
      </w:r>
      <w:r>
        <w:t>at 721.  As the Court explained, “[e]</w:t>
      </w:r>
      <w:proofErr w:type="spellStart"/>
      <w:r>
        <w:t>ven</w:t>
      </w:r>
      <w:proofErr w:type="spellEnd"/>
      <w:r>
        <w:t xml:space="preserve">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proofErr w:type="spellStart"/>
      <w:r>
        <w:rPr>
          <w:i/>
        </w:rPr>
        <w:t>Feltner</w:t>
      </w:r>
      <w:proofErr w:type="spellEnd"/>
      <w:r>
        <w:rPr>
          <w:i/>
        </w:rPr>
        <w:t xml:space="preserve"> v. Columbia Pictures Television, Inc.</w:t>
      </w:r>
      <w:r>
        <w:t xml:space="preserve">, 523 U.S. 340, 352 (1998) (quoting </w:t>
      </w:r>
      <w:r>
        <w:rPr>
          <w:i/>
        </w:rPr>
        <w:t>Chauffeurs, Teamsters and Helpers, Local No. 391 v. Terry</w:t>
      </w:r>
      <w:r>
        <w:t>, 494 U.S. 558, 570 (1990))), and on the view that “[j]</w:t>
      </w:r>
      <w:proofErr w:type="spellStart"/>
      <w:r>
        <w:t>ust</w:t>
      </w:r>
      <w:proofErr w:type="spellEnd"/>
      <w:r>
        <w:t xml:space="preserve"> compensation . . . differs from equitable restitution and other monetary remedies available in equity, for in determining just compensation, ‘the question is what has the owner lost, not what has the taker gained,’” </w:t>
      </w:r>
      <w:r>
        <w:rPr>
          <w:i/>
        </w:rPr>
        <w:t>id.</w:t>
      </w:r>
      <w:r>
        <w:t xml:space="preserve"> (quoting </w:t>
      </w:r>
      <w:r>
        <w:rPr>
          <w:i/>
        </w:rPr>
        <w:t>Boston Chamber of Commerce v. Boston</w:t>
      </w:r>
      <w:r>
        <w:t>, 217 U.S. 189, 195 (1910)).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proofErr w:type="spellStart"/>
      <w:r>
        <w:rPr>
          <w:i/>
        </w:rPr>
        <w:t>Markman</w:t>
      </w:r>
      <w:proofErr w:type="spellEnd"/>
      <w:r>
        <w:rPr>
          <w:i/>
        </w:rPr>
        <w:t xml:space="preserve"> v. Westview Instruments, Inc.</w:t>
      </w:r>
      <w:r>
        <w:t>, 517 U.S. 370 (1996)).</w:t>
      </w:r>
      <w:r>
        <w:rPr>
          <w:rStyle w:val="FootnoteReference"/>
        </w:rPr>
        <w:footnoteReference w:id="58"/>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 xml:space="preserve">at 231 (“The courts of appeal have taken at least five different positions about the right of jury trial in back pay claims under §§ 1981 and 1983.”), and the Third Circuit </w:t>
      </w:r>
      <w:proofErr w:type="spellStart"/>
      <w:r>
        <w:t>caselaw</w:t>
      </w:r>
      <w:proofErr w:type="spellEnd"/>
      <w:r>
        <w:t xml:space="preserve"> is inconclusive.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 xml:space="preserve">See </w:t>
      </w:r>
      <w:proofErr w:type="spellStart"/>
      <w:r>
        <w:rPr>
          <w:i/>
        </w:rPr>
        <w:t>Laskaris</w:t>
      </w:r>
      <w:proofErr w:type="spellEnd"/>
      <w:r>
        <w:rPr>
          <w:i/>
        </w:rPr>
        <w:t xml:space="preserve"> v. Thornburgh</w:t>
      </w:r>
      <w:r>
        <w:t>, 733 F.2d 260, 263 (3d Cir. 1984) (“[A]</w:t>
      </w:r>
      <w:proofErr w:type="spellStart"/>
      <w:r>
        <w:t>lthough</w:t>
      </w:r>
      <w:proofErr w:type="spellEnd"/>
      <w:r>
        <w:t xml:space="preserve"> the request for back pay under section 1983 seeks only equitable relief . . . , a claim for compensatory and punitive damages is a legal claim entitling the plaintiff to a jury trial.”).</w:t>
      </w:r>
      <w:r>
        <w:rPr>
          <w:rStyle w:val="FootnoteReference"/>
        </w:rPr>
        <w:footnoteReference w:id="59"/>
      </w:r>
      <w:r>
        <w:t xml:space="preserve">  Thus, for example, in </w:t>
      </w:r>
      <w:proofErr w:type="spellStart"/>
      <w:r>
        <w:rPr>
          <w:i/>
        </w:rPr>
        <w:t>Savarese</w:t>
      </w:r>
      <w:proofErr w:type="spellEnd"/>
      <w:r>
        <w:rPr>
          <w:i/>
        </w:rPr>
        <w:t xml:space="preserve"> v. </w:t>
      </w:r>
      <w:proofErr w:type="spellStart"/>
      <w:r>
        <w:rPr>
          <w:i/>
        </w:rPr>
        <w:t>Agriss</w:t>
      </w:r>
      <w:proofErr w:type="spellEnd"/>
      <w:r>
        <w:t xml:space="preserve">, the Court </w:t>
      </w:r>
      <w:r>
        <w:lastRenderedPageBreak/>
        <w:t xml:space="preserve">of Appeals (in vacating and remanding for a redetermination of damages and back pay) indicated that the question of compensatory damages was for the jury while the question of back pay was for the trial judge.  </w:t>
      </w:r>
      <w:r>
        <w:rPr>
          <w:i/>
        </w:rPr>
        <w:t xml:space="preserve">See </w:t>
      </w:r>
      <w:proofErr w:type="spellStart"/>
      <w:r>
        <w:rPr>
          <w:i/>
        </w:rPr>
        <w:t>Savarese</w:t>
      </w:r>
      <w:proofErr w:type="spellEnd"/>
      <w:r>
        <w:rPr>
          <w:i/>
        </w:rPr>
        <w:t xml:space="preserve"> v. </w:t>
      </w:r>
      <w:proofErr w:type="spellStart"/>
      <w:r>
        <w:rPr>
          <w:i/>
        </w:rPr>
        <w:t>Agriss</w:t>
      </w:r>
      <w:proofErr w:type="spellEnd"/>
      <w:r>
        <w:t xml:space="preserve">, 883 F.2d 1194, 1206 (3d Cir. 1989) (“[W]e will vacate both </w:t>
      </w:r>
      <w:proofErr w:type="spellStart"/>
      <w:r>
        <w:t>Savarese's</w:t>
      </w:r>
      <w:proofErr w:type="spellEnd"/>
      <w:r>
        <w:t xml:space="preserve"> compensatory damage award and the equitable award of back pay for </w:t>
      </w:r>
      <w:proofErr w:type="spellStart"/>
      <w:r>
        <w:t>Savarese</w:t>
      </w:r>
      <w:proofErr w:type="spellEnd"/>
      <w:r>
        <w:t xml:space="preserve"> and remand to the district court for a new trial on compensatory damages and a recalculation of back pay by the district judge.”).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On at least one occasion, however, the Court of Appeals has appeared to contemplate a procedure by which both back pay and front pay were submitted to the jury.</w:t>
      </w:r>
      <w:r>
        <w:rPr>
          <w:rStyle w:val="FootnoteReference"/>
        </w:rPr>
        <w:footnoteReference w:id="60"/>
      </w:r>
      <w:r>
        <w:t xml:space="preserve">  In </w:t>
      </w:r>
      <w:r>
        <w:rPr>
          <w:i/>
        </w:rPr>
        <w:t xml:space="preserve">Squires v. </w:t>
      </w:r>
      <w:proofErr w:type="spellStart"/>
      <w:r>
        <w:rPr>
          <w:i/>
        </w:rPr>
        <w:t>Bonser</w:t>
      </w:r>
      <w:proofErr w:type="spellEnd"/>
      <w:r>
        <w:t xml:space="preserve">, the Court of Appeals held that the district court abused its discretion in denying reinstatement.  </w:t>
      </w:r>
      <w:r>
        <w:rPr>
          <w:i/>
        </w:rPr>
        <w:t xml:space="preserve">Squires v. </w:t>
      </w:r>
      <w:proofErr w:type="spellStart"/>
      <w:r>
        <w:rPr>
          <w:i/>
        </w:rPr>
        <w:t>Bonser</w:t>
      </w:r>
      <w:proofErr w:type="spellEnd"/>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at 176 n.15 (noting that in the previous trial the trial judge instructed the jury that the “[p]</w:t>
      </w:r>
      <w:proofErr w:type="spellStart"/>
      <w:r>
        <w:t>laintiff</w:t>
      </w:r>
      <w:proofErr w:type="spellEnd"/>
      <w:r>
        <w:t xml:space="preserve"> is entitled to be compensated for any wages that you find that he lost up to this date, or any wages that you find that he may lose in the future”); </w:t>
      </w:r>
      <w:r>
        <w:rPr>
          <w:i/>
        </w:rPr>
        <w:t>id.</w:t>
      </w:r>
      <w:r>
        <w:t xml:space="preserve"> </w:t>
      </w:r>
      <w:proofErr w:type="gramStart"/>
      <w:r>
        <w:t>at</w:t>
      </w:r>
      <w:proofErr w:type="gramEnd"/>
      <w:r>
        <w:t xml:space="preserve"> 176 n.16 (“[A]</w:t>
      </w:r>
      <w:proofErr w:type="spellStart"/>
      <w:r>
        <w:t>sking</w:t>
      </w:r>
      <w:proofErr w:type="spellEnd"/>
      <w:r>
        <w:t xml:space="preserve"> the jury for a lump-sum award which includes front-pay when the plaintiff also seeks reinstatement. . . .  wastes judicial resources in that if reinstatement is awarded a retrial is then required to parcel out the damages into component parts (i.e., front-pay versus back-pay).”).</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1"/>
      </w:r>
      <w:r>
        <w:t xml:space="preserve"> the court could draft an instruction on that issue by making appropriate adaptations to Instruction 5.4.3 (concerning back pay under Title VII).</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2"/>
      </w:r>
      <w:r>
        <w:t xml:space="preserve">  The determination concerning reinstatement is for the district court.</w:t>
      </w:r>
      <w:r>
        <w:rPr>
          <w:rStyle w:val="FootnoteReference"/>
        </w:rPr>
        <w:footnoteReference w:id="63"/>
      </w:r>
      <w:r>
        <w:t xml:space="preserve">  If the district court determines that reinstatement is </w:t>
      </w:r>
      <w:r>
        <w:lastRenderedPageBreak/>
        <w:t>appropriate, then the district court should award reinstatement and should not</w:t>
      </w:r>
      <w:r w:rsidR="005D448A">
        <w:t xml:space="preserve"> permit the award of front pay.</w:t>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4"/>
      </w:r>
      <w:r>
        <w:t xml:space="preserve"> though here, too, the Third Circuit </w:t>
      </w:r>
      <w:proofErr w:type="spellStart"/>
      <w:r>
        <w:t>caselaw</w:t>
      </w:r>
      <w:proofErr w:type="spellEnd"/>
      <w:r>
        <w:t xml:space="preserve"> is inconclusive.</w:t>
      </w:r>
      <w:r>
        <w:rPr>
          <w:rStyle w:val="FootnoteReference"/>
        </w:rPr>
        <w:footnoteReference w:id="65"/>
      </w:r>
      <w:r>
        <w:t xml:space="preserve">  In the context of the Age Discrimination in Employment Act, the Court of Appeals has treated the amount of front pay as a question for the jury.  </w:t>
      </w:r>
      <w:r>
        <w:rPr>
          <w:i/>
        </w:rPr>
        <w:t>See</w:t>
      </w:r>
      <w:r>
        <w:t xml:space="preserve"> </w:t>
      </w:r>
      <w:proofErr w:type="spellStart"/>
      <w:r>
        <w:rPr>
          <w:i/>
        </w:rPr>
        <w:t>Maxfield</w:t>
      </w:r>
      <w:proofErr w:type="spellEnd"/>
      <w:r>
        <w:rPr>
          <w:i/>
        </w:rPr>
        <w:t xml:space="preserve">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proofErr w:type="spellStart"/>
      <w:r>
        <w:rPr>
          <w:i/>
        </w:rPr>
        <w:t>Maxfield</w:t>
      </w:r>
      <w:proofErr w:type="spellEnd"/>
      <w:r>
        <w:t xml:space="preserve"> court’s reasoning suggests that front pay should be viewed as a </w:t>
      </w:r>
      <w:r>
        <w:lastRenderedPageBreak/>
        <w:t>legal remedy,</w:t>
      </w:r>
      <w:r>
        <w:rPr>
          <w:rStyle w:val="FootnoteReference"/>
        </w:rPr>
        <w:footnoteReference w:id="66"/>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7"/>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8"/>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69"/>
      </w:r>
      <w:r>
        <w:t xml:space="preserve"> the court could draft an instruction on that issue by making appropriate adaptations to Instruction 5.4.4 (concerning front pay under Title VII).</w:t>
      </w:r>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91" w:rsidRDefault="00203B91">
      <w:r>
        <w:separator/>
      </w:r>
    </w:p>
  </w:endnote>
  <w:endnote w:type="continuationSeparator" w:id="0">
    <w:p w:rsidR="00203B91" w:rsidRDefault="0020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7B190E">
          <w:rPr>
            <w:noProof/>
            <w:szCs w:val="24"/>
          </w:rPr>
          <w:t>21</w:t>
        </w:r>
        <w:r w:rsidRPr="00DA6B11">
          <w:rPr>
            <w:noProof/>
            <w:szCs w:val="24"/>
          </w:rPr>
          <w:fldChar w:fldCharType="end"/>
        </w:r>
        <w:r w:rsidRPr="00DA6B11">
          <w:rPr>
            <w:noProof/>
            <w:szCs w:val="24"/>
          </w:rPr>
          <w:t xml:space="preserve"> </w:t>
        </w:r>
      </w:p>
      <w:p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7E1DB6">
          <w:rPr>
            <w:i/>
            <w:noProof/>
            <w:szCs w:val="24"/>
          </w:rPr>
          <w:t>March 2018</w:t>
        </w:r>
      </w:p>
      <w:p w:rsidR="0080738C" w:rsidRPr="00DA6B11" w:rsidRDefault="007B190E"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91" w:rsidRDefault="00203B91">
      <w:r>
        <w:separator/>
      </w:r>
    </w:p>
  </w:footnote>
  <w:footnote w:type="continuationSeparator" w:id="0">
    <w:p w:rsidR="00203B91" w:rsidRDefault="00203B91">
      <w:r>
        <w:continuationSeparator/>
      </w:r>
    </w:p>
  </w:footnote>
  <w:footnote w:id="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proofErr w:type="spellStart"/>
      <w:r>
        <w:rPr>
          <w:i/>
        </w:rPr>
        <w:t>Engquist</w:t>
      </w:r>
      <w:proofErr w:type="spellEnd"/>
      <w:r>
        <w:rPr>
          <w:i/>
        </w:rPr>
        <w:t xml:space="preserve"> v. Oregon Department of Agriculture</w:t>
      </w:r>
      <w:r>
        <w:t xml:space="preserve">, 128 </w:t>
      </w:r>
      <w:proofErr w:type="spellStart"/>
      <w:r>
        <w:t>S.Ct</w:t>
      </w:r>
      <w:proofErr w:type="spellEnd"/>
      <w:r>
        <w:t>. 2146, 2148-2149, 2157 (2008).</w:t>
      </w:r>
    </w:p>
  </w:footnote>
  <w:footnote w:id="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id. § 2000e(h) (defining “industry affecting commerce” to include “any governmental industry, business, or activity”).</w:t>
      </w:r>
    </w:p>
  </w:footnote>
  <w:footnote w:id="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w:t>
      </w:r>
      <w:proofErr w:type="spellStart"/>
      <w:r>
        <w:rPr>
          <w:i/>
        </w:rPr>
        <w:t>Khazraji</w:t>
      </w:r>
      <w:proofErr w:type="spellEnd"/>
      <w:r>
        <w:t>, 481 U.S. 604, 609 (1987) (noting that “the Court has construed [Section 1981] to forbid all ‘racial’ discrimination in the making of private as well as public contracts”).</w:t>
      </w:r>
    </w:p>
  </w:footnote>
  <w:footnote w:id="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w:t>
      </w:r>
      <w:proofErr w:type="spellStart"/>
      <w:r>
        <w:t>caselaw</w:t>
      </w:r>
      <w:proofErr w:type="spellEnd"/>
      <w:r>
        <w:t xml:space="preserve">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60, 92-98 (1998) (arguing that non-supervisory co-workers can violate equal protection by “us[</w:t>
      </w:r>
      <w:proofErr w:type="spellStart"/>
      <w:r>
        <w:t>ing</w:t>
      </w:r>
      <w:proofErr w:type="spellEnd"/>
      <w:r>
        <w:t xml:space="preserve">] their position with a government employer as an opportunity to engage in severe and pervasive harassment of fellow employees”); </w:t>
      </w:r>
      <w:r>
        <w:rPr>
          <w:i/>
        </w:rPr>
        <w:t xml:space="preserve">see also infra </w:t>
      </w:r>
      <w:r>
        <w:t>Comment 7.3.</w:t>
      </w:r>
    </w:p>
  </w:footnote>
  <w:footnote w:id="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895 F.2d at 1480 (“</w:t>
      </w:r>
      <w:proofErr w:type="spellStart"/>
      <w:r>
        <w:t>Liciardello</w:t>
      </w:r>
      <w:proofErr w:type="spellEnd"/>
      <w:r>
        <w:t xml:space="preserve">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0">
    <w:p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F.Supp.2d 544, 558 (D. Del. 1999)  (“A claim of retaliation cannot be the sole basis for a § 1983 claim where there is no violation of the Constitution or federal law, other than the retaliation provision of Title VII.”).</w:t>
      </w:r>
    </w:p>
    <w:p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proofErr w:type="spellStart"/>
      <w:r>
        <w:rPr>
          <w:i/>
        </w:rPr>
        <w:t>Bivens</w:t>
      </w:r>
      <w:proofErr w:type="spellEnd"/>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 xml:space="preserve">Davis v. </w:t>
      </w:r>
      <w:proofErr w:type="spellStart"/>
      <w:r>
        <w:rPr>
          <w:i/>
        </w:rPr>
        <w:t>Passman</w:t>
      </w:r>
      <w:proofErr w:type="spellEnd"/>
      <w:r>
        <w:t xml:space="preserve">, 442 U.S. 228, 248-49 (1979) (holding that personal staff member of Member of Congress could bring </w:t>
      </w:r>
      <w:proofErr w:type="spellStart"/>
      <w:r>
        <w:rPr>
          <w:i/>
        </w:rPr>
        <w:t>Bivens</w:t>
      </w:r>
      <w:proofErr w:type="spellEnd"/>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3">
    <w:p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6">
    <w:p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also </w:t>
      </w:r>
      <w:proofErr w:type="spellStart"/>
      <w:r>
        <w:rPr>
          <w:i/>
        </w:rPr>
        <w:t>Bohen</w:t>
      </w:r>
      <w:proofErr w:type="spellEnd"/>
      <w:r>
        <w:rPr>
          <w:i/>
        </w:rPr>
        <w:t xml:space="preserve">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proofErr w:type="spellStart"/>
      <w:r>
        <w:rPr>
          <w:i/>
        </w:rPr>
        <w:t>Bonenberger</w:t>
      </w:r>
      <w:proofErr w:type="spellEnd"/>
      <w:r>
        <w:t xml:space="preserve"> court noted that “a state employee who pursues purely private motives and whose interaction with the victim is unconnected with his execution of official duties does not act under color of law.”  </w:t>
      </w:r>
      <w:proofErr w:type="spellStart"/>
      <w:r>
        <w:rPr>
          <w:i/>
        </w:rPr>
        <w:t>Bonenberger</w:t>
      </w:r>
      <w:proofErr w:type="spellEnd"/>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proofErr w:type="spellStart"/>
      <w:r>
        <w:rPr>
          <w:i/>
        </w:rPr>
        <w:t>Bonenberger</w:t>
      </w:r>
      <w:proofErr w:type="spellEnd"/>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1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Cf. </w:t>
      </w:r>
      <w:proofErr w:type="spellStart"/>
      <w:r>
        <w:rPr>
          <w:i/>
        </w:rPr>
        <w:t>Bonenberger</w:t>
      </w:r>
      <w:proofErr w:type="spellEnd"/>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proofErr w:type="spellStart"/>
      <w:r>
        <w:rPr>
          <w:i/>
        </w:rPr>
        <w:t>Bohen</w:t>
      </w:r>
      <w:proofErr w:type="spellEnd"/>
      <w:r>
        <w:t xml:space="preserve">, 799 F.2d at 1187; </w:t>
      </w:r>
      <w:r>
        <w:rPr>
          <w:i/>
        </w:rPr>
        <w:t xml:space="preserve">see also </w:t>
      </w:r>
      <w:proofErr w:type="spellStart"/>
      <w:r>
        <w:rPr>
          <w:i/>
        </w:rPr>
        <w:t>Ascolese</w:t>
      </w:r>
      <w:proofErr w:type="spellEnd"/>
      <w:r>
        <w:rPr>
          <w:i/>
        </w:rPr>
        <w:t xml:space="preserv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proofErr w:type="spellStart"/>
      <w:r>
        <w:rPr>
          <w:i/>
        </w:rPr>
        <w:t>Bohen</w:t>
      </w:r>
      <w:proofErr w:type="spellEnd"/>
      <w:r>
        <w:t>).</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 xml:space="preserve">See, e.g., </w:t>
      </w:r>
      <w:proofErr w:type="spellStart"/>
      <w:r>
        <w:rPr>
          <w:i/>
        </w:rPr>
        <w:t>Tuggle</w:t>
      </w:r>
      <w:proofErr w:type="spellEnd"/>
      <w:r>
        <w:rPr>
          <w:i/>
        </w:rPr>
        <w:t xml:space="preserve"> v. </w:t>
      </w:r>
      <w:proofErr w:type="spellStart"/>
      <w:r>
        <w:rPr>
          <w:i/>
        </w:rPr>
        <w:t>Mangan</w:t>
      </w:r>
      <w:proofErr w:type="spellEnd"/>
      <w:r>
        <w:t xml:space="preserve">, 348 F.3d 714, 720 (8th Cir. 2003) (applying elements of Title VII claim to Section 1983 harassment claim); </w:t>
      </w:r>
      <w:r>
        <w:rPr>
          <w:i/>
        </w:rPr>
        <w:t xml:space="preserve">cf. </w:t>
      </w:r>
      <w:proofErr w:type="spellStart"/>
      <w:r>
        <w:rPr>
          <w:i/>
        </w:rPr>
        <w:t>Ascolese</w:t>
      </w:r>
      <w:proofErr w:type="spellEnd"/>
      <w:r>
        <w:t xml:space="preserve">, 902 F. Supp. at 548 (drawing upon Title VII </w:t>
      </w:r>
      <w:proofErr w:type="spellStart"/>
      <w:r>
        <w:t>caselaw</w:t>
      </w:r>
      <w:proofErr w:type="spellEnd"/>
      <w:r>
        <w:t xml:space="preserve"> concerning sexual harassment in order to address Section 1983 sexual harassment claim, while acknowledging that the Title VII precedent “does not apply directly”).</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w:t>
      </w:r>
      <w:proofErr w:type="spellStart"/>
      <w:r>
        <w:t>caselaw</w:t>
      </w:r>
      <w:proofErr w:type="spellEnd"/>
      <w:r>
        <w:t xml:space="preserve">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t>See Comment 5.1.4.</w:t>
      </w:r>
    </w:p>
  </w:footnote>
  <w:footnote w:id="2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e.g., </w:t>
      </w:r>
      <w:proofErr w:type="spellStart"/>
      <w:r>
        <w:rPr>
          <w:i/>
        </w:rPr>
        <w:t>Bonenberger</w:t>
      </w:r>
      <w:proofErr w:type="spellEnd"/>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Zelinski</w:t>
      </w:r>
      <w:proofErr w:type="spellEnd"/>
      <w:r>
        <w:rPr>
          <w:i/>
        </w:rPr>
        <w:t xml:space="preserve"> v. Pennsylvania State Police</w:t>
      </w:r>
      <w:r>
        <w:t>, 108 Fed. Appx. 700, 703 (3d Cir. 2004) (non-precedential opinion) (holding that defendant did not act under color of law when committing alleged harassment because he had neither formal nor de facto supervisory authority over plaintiff).</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 xml:space="preserve">See, e.g., </w:t>
      </w:r>
      <w:proofErr w:type="spellStart"/>
      <w:r>
        <w:rPr>
          <w:i/>
        </w:rPr>
        <w:t>Zelinski</w:t>
      </w:r>
      <w:proofErr w:type="spellEnd"/>
      <w:r>
        <w:t xml:space="preserve">, 108 </w:t>
      </w:r>
      <w:proofErr w:type="spellStart"/>
      <w:r>
        <w:t>Fed.Appx</w:t>
      </w:r>
      <w:proofErr w:type="spellEnd"/>
      <w:r>
        <w:t>. at 704 (holding that district court should not have granted summary judgment dismissing Title VII harassment claim).</w:t>
      </w:r>
    </w:p>
  </w:footnote>
  <w:footnote w:id="2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Bohen</w:t>
      </w:r>
      <w:proofErr w:type="spellEnd"/>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2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w:t>
      </w:r>
      <w:proofErr w:type="spellStart"/>
      <w:r>
        <w:t>minimis</w:t>
      </w:r>
      <w:proofErr w:type="spellEnd"/>
      <w:r>
        <w:t xml:space="preserve">.  </w:t>
      </w:r>
      <w:r>
        <w:rPr>
          <w:i/>
        </w:rPr>
        <w:t>See</w:t>
      </w:r>
      <w:r>
        <w:t xml:space="preserve"> Comment.</w:t>
      </w:r>
    </w:p>
  </w:footnote>
  <w:footnote w:id="3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3">
    <w:p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w:t>
      </w:r>
      <w:proofErr w:type="spellStart"/>
      <w:r>
        <w:t>etaliation</w:t>
      </w:r>
      <w:proofErr w:type="spellEnd"/>
      <w:r>
        <w:t xml:space="preserve"> by a government employer for a public employee's exercise of the right of access to the courts may implicate the protections of the Petition Clause.”  </w:t>
      </w:r>
      <w:r>
        <w:rPr>
          <w:i/>
        </w:rPr>
        <w:t xml:space="preserve">Borough of Duryea v. </w:t>
      </w:r>
      <w:proofErr w:type="spellStart"/>
      <w:r>
        <w:rPr>
          <w:i/>
        </w:rPr>
        <w:t>Guarnieri</w:t>
      </w:r>
      <w:proofErr w:type="spellEnd"/>
      <w:r>
        <w:t xml:space="preserve">, 131 S. Ct. 2488, 2494 (2011).  In </w:t>
      </w:r>
      <w:proofErr w:type="spellStart"/>
      <w:r>
        <w:rPr>
          <w:i/>
        </w:rPr>
        <w:t>Guarnieri</w:t>
      </w:r>
      <w:proofErr w:type="spellEnd"/>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136001">
        <w:rPr>
          <w:i/>
        </w:rPr>
        <w:t>See also</w:t>
      </w:r>
      <w:r w:rsidRPr="00136001">
        <w:t xml:space="preserve"> </w:t>
      </w:r>
      <w:r w:rsidRPr="00136001">
        <w:rPr>
          <w:i/>
        </w:rPr>
        <w:t xml:space="preserve">Mack v. Warden </w:t>
      </w:r>
      <w:proofErr w:type="spellStart"/>
      <w:r w:rsidRPr="00136001">
        <w:rPr>
          <w:i/>
        </w:rPr>
        <w:t>Loretto</w:t>
      </w:r>
      <w:proofErr w:type="spellEnd"/>
      <w:r w:rsidRPr="00136001">
        <w:rPr>
          <w:i/>
        </w:rPr>
        <w:t xml:space="preserve"> FCI</w:t>
      </w:r>
      <w:r w:rsidRPr="00136001">
        <w:t xml:space="preserve">, 839 F.3d 286 (3d Cir. 2016) (holding that an inmate’s oral grievance is protected under the Petition Clause).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xml:space="preserve">, </w:t>
      </w:r>
      <w:r w:rsidRPr="00CD3E58">
        <w:t>136 S. Ct. 1412 (2016)</w:t>
      </w:r>
      <w:r w:rsidRPr="00433479">
        <w:t>.</w:t>
      </w:r>
    </w:p>
  </w:footnote>
  <w:footnote w:id="35">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proofErr w:type="spellStart"/>
      <w:r>
        <w:rPr>
          <w:i/>
        </w:rPr>
        <w:t>Garcetti</w:t>
      </w:r>
      <w:proofErr w:type="spellEnd"/>
      <w:r>
        <w:rPr>
          <w:i/>
        </w:rPr>
        <w:t xml:space="preserve"> v. Ceballos</w:t>
      </w:r>
      <w:r>
        <w:t xml:space="preserve">, 126 S. Ct. 1951, 1962 (2006).  In </w:t>
      </w:r>
      <w:proofErr w:type="spellStart"/>
      <w:r>
        <w:rPr>
          <w:i/>
        </w:rPr>
        <w:t>Garcetti</w:t>
      </w:r>
      <w:proofErr w:type="spellEnd"/>
      <w:r>
        <w:t xml:space="preserve">, which involved a deputy district attorney who sued the County of Los Angeles, and also certain of his supervisors in the Los Angeles District Attorney's Office, the Court found it unnecessary to determine whether its analysis in </w:t>
      </w:r>
      <w:proofErr w:type="spellStart"/>
      <w:r>
        <w:rPr>
          <w:i/>
        </w:rPr>
        <w:t>Garcetti</w:t>
      </w:r>
      <w:proofErr w:type="spellEnd"/>
      <w:r>
        <w:rPr>
          <w:i/>
        </w:rPr>
        <w:t xml:space="preserve">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proofErr w:type="spellStart"/>
      <w:r>
        <w:rPr>
          <w:i/>
        </w:rPr>
        <w:t>Garcetti</w:t>
      </w:r>
      <w:proofErr w:type="spellEnd"/>
      <w:r>
        <w:rPr>
          <w:i/>
        </w:rPr>
        <w:t xml:space="preserve"> </w:t>
      </w:r>
      <w:r>
        <w:t xml:space="preserve">applied to this case, Borden's speech would not be protected as it was made pursuant to his official duties as a coach of the EBHS football team and not as an ordinary citizen. However, even if </w:t>
      </w:r>
      <w:proofErr w:type="spellStart"/>
      <w:r>
        <w:rPr>
          <w:i/>
        </w:rPr>
        <w:t>Garcetti</w:t>
      </w:r>
      <w:proofErr w:type="spellEnd"/>
      <w:r>
        <w:rPr>
          <w:i/>
        </w:rPr>
        <w:t xml:space="preserve"> </w:t>
      </w:r>
      <w:r>
        <w:t>does not apply in the educational context, Borden's conduct is not on a matter of public concern for the reasons just described.”).</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proofErr w:type="spellStart"/>
      <w:r>
        <w:rPr>
          <w:i/>
        </w:rPr>
        <w:t>Garcetti</w:t>
      </w:r>
      <w:proofErr w:type="spellEnd"/>
      <w:r>
        <w:rPr>
          <w:i/>
        </w:rPr>
        <w:t xml:space="preserve"> </w:t>
      </w:r>
      <w:r>
        <w:t xml:space="preserve">regarding ‘speech related to scholarship or teaching’ are not clear.... As a result, federal circuit courts differ over whether (and, if so, when) to apply </w:t>
      </w:r>
      <w:proofErr w:type="spellStart"/>
      <w:r>
        <w:rPr>
          <w:i/>
        </w:rPr>
        <w:t>Garcetti</w:t>
      </w:r>
      <w:r>
        <w:t>'s</w:t>
      </w:r>
      <w:proofErr w:type="spellEnd"/>
      <w:r>
        <w:t xml:space="preserve"> official-duty test to academic instructors.” </w:t>
      </w:r>
      <w:proofErr w:type="spellStart"/>
      <w:r>
        <w:rPr>
          <w:i/>
        </w:rPr>
        <w:t>Gorum</w:t>
      </w:r>
      <w:proofErr w:type="spellEnd"/>
      <w:r>
        <w:rPr>
          <w:i/>
        </w:rPr>
        <w:t xml:space="preserve"> v. </w:t>
      </w:r>
      <w:proofErr w:type="spellStart"/>
      <w:r>
        <w:rPr>
          <w:i/>
        </w:rPr>
        <w:t>Sessoms</w:t>
      </w:r>
      <w:proofErr w:type="spellEnd"/>
      <w:r>
        <w:t xml:space="preserve">, 561 F.3d 179, 186 n.6 (3d Cir. 2009).  The plaintiff in </w:t>
      </w:r>
      <w:proofErr w:type="spellStart"/>
      <w:r>
        <w:rPr>
          <w:i/>
        </w:rPr>
        <w:t>Gorum</w:t>
      </w:r>
      <w:proofErr w:type="spellEnd"/>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proofErr w:type="spellStart"/>
      <w:r>
        <w:rPr>
          <w:i/>
        </w:rPr>
        <w:t>Gorum</w:t>
      </w:r>
      <w:proofErr w:type="spellEnd"/>
      <w:r>
        <w:t xml:space="preserve"> court held that neither of these incidents involved citizen speech; rather, under </w:t>
      </w:r>
      <w:proofErr w:type="spellStart"/>
      <w:r>
        <w:rPr>
          <w:i/>
        </w:rPr>
        <w:t>Garcetti</w:t>
      </w:r>
      <w:proofErr w:type="spellEnd"/>
      <w:r>
        <w:t xml:space="preserve">, these activities were undertaken pursuant to the plaintiff’s duties.  The court noted: “In determining that </w:t>
      </w:r>
      <w:proofErr w:type="spellStart"/>
      <w:r>
        <w:t>Gorum</w:t>
      </w:r>
      <w:proofErr w:type="spellEnd"/>
      <w:r>
        <w:t xml:space="preserve"> did not speak as a citizen.... we apply the official duty test because </w:t>
      </w:r>
      <w:proofErr w:type="spellStart"/>
      <w:r>
        <w:t>Gorum's</w:t>
      </w:r>
      <w:proofErr w:type="spellEnd"/>
      <w:r>
        <w:t xml:space="preserve"> actions so clearly were not ‘speech related to scholarship or teaching,’ ... and because we believe that such a determination here does not ‘imperil First Amendment protection of academic freedom in public colleges and universities.’” </w:t>
      </w:r>
      <w:proofErr w:type="spellStart"/>
      <w:r>
        <w:rPr>
          <w:i/>
        </w:rPr>
        <w:t>Gorum</w:t>
      </w:r>
      <w:proofErr w:type="spellEnd"/>
      <w:r>
        <w:t xml:space="preserve">, 561 F.3d at 186 (quoting </w:t>
      </w:r>
      <w:proofErr w:type="spellStart"/>
      <w:r>
        <w:rPr>
          <w:i/>
        </w:rPr>
        <w:t>Garcetti</w:t>
      </w:r>
      <w:proofErr w:type="spellEnd"/>
      <w:r>
        <w:t xml:space="preserve">, 547 U.S. at 425, and Justice Souter’s dissent in </w:t>
      </w:r>
      <w:proofErr w:type="spellStart"/>
      <w:r>
        <w:rPr>
          <w:i/>
        </w:rPr>
        <w:t>Garcetti</w:t>
      </w:r>
      <w:proofErr w:type="spellEnd"/>
      <w:r>
        <w:t xml:space="preserve">, </w:t>
      </w:r>
      <w:r w:rsidRPr="002554FC">
        <w:rPr>
          <w:i/>
        </w:rPr>
        <w:t>id</w:t>
      </w:r>
      <w:r>
        <w:t>. at 438).</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6">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proofErr w:type="spellStart"/>
      <w:r>
        <w:rPr>
          <w:i/>
        </w:rPr>
        <w:t>Garcetti</w:t>
      </w:r>
      <w:proofErr w:type="spellEnd"/>
      <w:r>
        <w:t>, 126 S. Ct. at 1961-62.</w:t>
      </w:r>
    </w:p>
  </w:footnote>
  <w:footnote w:id="37">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proofErr w:type="spellStart"/>
      <w:r>
        <w:rPr>
          <w:i/>
        </w:rPr>
        <w:t>Garcetti</w:t>
      </w:r>
      <w:proofErr w:type="spellEnd"/>
      <w:r>
        <w:rPr>
          <w:i/>
        </w:rPr>
        <w:t xml:space="preserve"> </w:t>
      </w:r>
      <w:r>
        <w:t>test thus:</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proofErr w:type="spellStart"/>
      <w:r>
        <w:rPr>
          <w:i/>
        </w:rPr>
        <w:t>Garcetti</w:t>
      </w:r>
      <w:proofErr w:type="spellEnd"/>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w:t>
      </w:r>
      <w:proofErr w:type="spellStart"/>
      <w:r>
        <w:t>Pollak</w:t>
      </w:r>
      <w:proofErr w:type="spellEnd"/>
      <w:r>
        <w:t>,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xml:space="preserve">, 136 </w:t>
      </w:r>
      <w:proofErr w:type="spellStart"/>
      <w:r w:rsidRPr="004166CA">
        <w:t>S.Ct</w:t>
      </w:r>
      <w:proofErr w:type="spellEnd"/>
      <w:r w:rsidRPr="004166CA">
        <w:t xml:space="preserve">.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39">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proofErr w:type="spellStart"/>
      <w:r>
        <w:rPr>
          <w:i/>
        </w:rPr>
        <w:t>Connick</w:t>
      </w:r>
      <w:proofErr w:type="spellEnd"/>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proofErr w:type="spellStart"/>
      <w:r>
        <w:rPr>
          <w:i/>
        </w:rPr>
        <w:t>Connick</w:t>
      </w:r>
      <w:proofErr w:type="spellEnd"/>
      <w:r>
        <w:t xml:space="preserve"> test to the speech as the employer reasonably found it to be; but the plurality did not explain who should determine any disputes of material fact as to what the employer actually believed.</w:t>
      </w:r>
    </w:p>
  </w:footnote>
  <w:footnote w:id="4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 xml:space="preserve">See also </w:t>
      </w:r>
      <w:proofErr w:type="spellStart"/>
      <w:r>
        <w:rPr>
          <w:i/>
        </w:rPr>
        <w:t>Curinga</w:t>
      </w:r>
      <w:proofErr w:type="spellEnd"/>
      <w:r>
        <w:rPr>
          <w:i/>
        </w:rPr>
        <w:t xml:space="preserve"> v. City of Clairton</w:t>
      </w:r>
      <w:r>
        <w:t xml:space="preserve">, 357 F.3d 305, 310 (3d Cir. 2004) (“[T]he first factor is a question of law.”); </w:t>
      </w:r>
      <w:proofErr w:type="spellStart"/>
      <w:r>
        <w:rPr>
          <w:i/>
        </w:rPr>
        <w:t>Baldassare</w:t>
      </w:r>
      <w:proofErr w:type="spellEnd"/>
      <w:r>
        <w:rPr>
          <w:i/>
        </w:rPr>
        <w:t xml:space="preserv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 / Pickering </w:t>
      </w:r>
      <w:r>
        <w:t>tests is a matter of law for the court – not on the question of who should determine any underlying disputes of historical fact.</w:t>
      </w:r>
    </w:p>
  </w:footnote>
  <w:footnote w:id="4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3">
    <w:p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proofErr w:type="spellStart"/>
      <w:r>
        <w:rPr>
          <w:i/>
        </w:rPr>
        <w:t>Gorum</w:t>
      </w:r>
      <w:proofErr w:type="spellEnd"/>
      <w:r>
        <w:rPr>
          <w:i/>
        </w:rPr>
        <w:t xml:space="preserve"> v. </w:t>
      </w:r>
      <w:proofErr w:type="spellStart"/>
      <w:r>
        <w:rPr>
          <w:i/>
        </w:rPr>
        <w:t>Sessoms</w:t>
      </w:r>
      <w:proofErr w:type="spellEnd"/>
      <w:r>
        <w:t>, 561 F.3d 179, 187 (3d Cir. 2009) (professor’s assistance to student in connection with disciplinary proceeding was not speech on matter of public concern but, rather, “related to the personal grievance of one student”).</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 xml:space="preserve">see also </w:t>
      </w:r>
      <w:proofErr w:type="spellStart"/>
      <w:r w:rsidR="004F4190" w:rsidRPr="004F4190">
        <w:rPr>
          <w:i/>
        </w:rPr>
        <w:t>DeRitis</w:t>
      </w:r>
      <w:proofErr w:type="spellEnd"/>
      <w:r w:rsidR="004F4190" w:rsidRPr="004F4190">
        <w:rPr>
          <w:i/>
        </w:rPr>
        <w:t xml:space="preserve"> v. </w:t>
      </w:r>
      <w:proofErr w:type="spellStart"/>
      <w:r w:rsidR="004F4190" w:rsidRPr="004F4190">
        <w:rPr>
          <w:i/>
        </w:rPr>
        <w:t>McGarrigle</w:t>
      </w:r>
      <w:proofErr w:type="spellEnd"/>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 xml:space="preserve">See also </w:t>
      </w:r>
      <w:proofErr w:type="spellStart"/>
      <w:r>
        <w:rPr>
          <w:i/>
        </w:rPr>
        <w:t>Baldassare</w:t>
      </w:r>
      <w:proofErr w:type="spellEnd"/>
      <w:r>
        <w:rPr>
          <w:i/>
        </w:rPr>
        <w:t xml:space="preserve"> v. State of N.J.</w:t>
      </w:r>
      <w:r>
        <w:t>, 250 F.3d 188, 198 (3d Cir. 2001) (“[T]he public's interest in exposing potential wrongdoing by public employees is especially powerful.”).</w:t>
      </w:r>
    </w:p>
  </w:footnote>
  <w:footnote w:id="45">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 xml:space="preserve">abrogated on other grounds by Borough of Duryea v. </w:t>
      </w:r>
      <w:proofErr w:type="spellStart"/>
      <w:r>
        <w:rPr>
          <w:i/>
        </w:rPr>
        <w:t>Guarnieri</w:t>
      </w:r>
      <w:proofErr w:type="spellEnd"/>
      <w:r>
        <w:t>, 131 S. Ct. 2488 (2011).</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proofErr w:type="spellStart"/>
      <w:r>
        <w:rPr>
          <w:i/>
        </w:rPr>
        <w:t>Azzaro</w:t>
      </w:r>
      <w:proofErr w:type="spellEnd"/>
      <w:r>
        <w:t xml:space="preserve">, 110 F.3d at 980 (performing balancing analysis); </w:t>
      </w:r>
      <w:r>
        <w:rPr>
          <w:i/>
        </w:rPr>
        <w:t>id.</w:t>
      </w:r>
      <w:r>
        <w:t xml:space="preserve"> at 981 (finding “a material dispute of fact as to whether [plaintiff’s] reports were a motivating factor in the discharge decision”).</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6">
    <w:p w:rsidR="00B16422" w:rsidRPr="00B16422" w:rsidRDefault="0080738C" w:rsidP="00B1642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proofErr w:type="spellStart"/>
      <w:r>
        <w:rPr>
          <w:i/>
        </w:rPr>
        <w:t>Azzaro</w:t>
      </w:r>
      <w:proofErr w:type="spellEnd"/>
      <w:r>
        <w:t xml:space="preserve">, noting the “substantial public interest in </w:t>
      </w:r>
      <w:proofErr w:type="spellStart"/>
      <w:r>
        <w:t>Azzaro’s</w:t>
      </w:r>
      <w:proofErr w:type="spellEnd"/>
      <w:r>
        <w:t xml:space="preserve"> revelations” and the “negligible” nature of any countervailing government interest, the Court of Appeals held that “the </w:t>
      </w:r>
      <w:r>
        <w:rPr>
          <w:i/>
        </w:rPr>
        <w:t>Pickering</w:t>
      </w:r>
      <w:r>
        <w:t xml:space="preserve"> balance falls in </w:t>
      </w:r>
      <w:proofErr w:type="spellStart"/>
      <w:r>
        <w:t>Azzaro's</w:t>
      </w:r>
      <w:proofErr w:type="spellEnd"/>
      <w:r>
        <w:t xml:space="preserve"> favor.”  </w:t>
      </w:r>
      <w:proofErr w:type="spellStart"/>
      <w:r>
        <w:rPr>
          <w:i/>
        </w:rPr>
        <w:t>Azzaro</w:t>
      </w:r>
      <w:proofErr w:type="spellEnd"/>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w:t>
      </w:r>
      <w:proofErr w:type="spellStart"/>
      <w:r w:rsidR="00B16422" w:rsidRPr="00B16422">
        <w:rPr>
          <w:i/>
        </w:rPr>
        <w:t>DeRitis</w:t>
      </w:r>
      <w:proofErr w:type="spellEnd"/>
      <w:r w:rsidR="00B16422" w:rsidRPr="00B16422">
        <w:rPr>
          <w:i/>
        </w:rPr>
        <w:t xml:space="preserve"> v. </w:t>
      </w:r>
      <w:proofErr w:type="spellStart"/>
      <w:r w:rsidR="00B16422" w:rsidRPr="00B16422">
        <w:rPr>
          <w:i/>
        </w:rPr>
        <w:t>McGarrigle</w:t>
      </w:r>
      <w:proofErr w:type="spellEnd"/>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w:t>
      </w:r>
      <w:proofErr w:type="gramStart"/>
      <w:r>
        <w:t>present[</w:t>
      </w:r>
      <w:proofErr w:type="gramEnd"/>
      <w:r>
        <w:t xml:space="preserve">] question[s] of fact for the jury.”  </w:t>
      </w:r>
      <w:r>
        <w:rPr>
          <w:i/>
        </w:rPr>
        <w:t>McGreevy v. Stroup</w:t>
      </w:r>
      <w:r>
        <w:t>, 413 F.3d 359, 364 (3d Cir. 2005).</w:t>
      </w:r>
    </w:p>
  </w:footnote>
  <w:footnote w:id="4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 xml:space="preserve">Lauren W. v. </w:t>
      </w:r>
      <w:proofErr w:type="spellStart"/>
      <w:r>
        <w:rPr>
          <w:i/>
        </w:rPr>
        <w:t>DeFlaminis</w:t>
      </w:r>
      <w:proofErr w:type="spellEnd"/>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 xml:space="preserve">See also </w:t>
      </w:r>
      <w:proofErr w:type="spellStart"/>
      <w:r>
        <w:rPr>
          <w:i/>
        </w:rPr>
        <w:t>Brightwell</w:t>
      </w:r>
      <w:proofErr w:type="spellEnd"/>
      <w:r>
        <w:rPr>
          <w:i/>
        </w:rPr>
        <w:t xml:space="preserve">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4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w:t>
      </w:r>
      <w:proofErr w:type="spellStart"/>
      <w:r>
        <w:t>ubstantial</w:t>
      </w:r>
      <w:proofErr w:type="spellEnd"/>
      <w:r>
        <w:t xml:space="preserve">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3">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5">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w:t>
      </w:r>
      <w:proofErr w:type="spellStart"/>
      <w:r>
        <w:t>decisionmaker</w:t>
      </w:r>
      <w:proofErr w:type="spellEnd"/>
      <w:r>
        <w:t xml:space="preserve"> (judge or jury) should decide a remedies question, the analysis seems likely to turn principally on whether the remedy is equitable or legal in nature.</w:t>
      </w:r>
    </w:p>
  </w:footnote>
  <w:footnote w:id="5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proofErr w:type="spellStart"/>
      <w:r>
        <w:rPr>
          <w:i/>
        </w:rPr>
        <w:t>Laskaris</w:t>
      </w:r>
      <w:proofErr w:type="spellEnd"/>
      <w:r>
        <w:t xml:space="preserve"> court cited </w:t>
      </w:r>
      <w:proofErr w:type="spellStart"/>
      <w:r>
        <w:rPr>
          <w:i/>
        </w:rPr>
        <w:t>Gurmankin</w:t>
      </w:r>
      <w:proofErr w:type="spellEnd"/>
      <w:r>
        <w:rPr>
          <w:i/>
        </w:rPr>
        <w:t xml:space="preserve"> v. Costanzo</w:t>
      </w:r>
      <w:r>
        <w:t xml:space="preserve">, 626 F.2d 1115, 1122-23 (3d Cir. 1980) as support for this proposition.  </w:t>
      </w:r>
      <w:proofErr w:type="spellStart"/>
      <w:r>
        <w:rPr>
          <w:i/>
        </w:rPr>
        <w:t>Gurmankin</w:t>
      </w:r>
      <w:proofErr w:type="spellEnd"/>
      <w:r>
        <w:t xml:space="preserve">, however, did not concern the right to a jury trial.  In </w:t>
      </w:r>
      <w:proofErr w:type="spellStart"/>
      <w:r>
        <w:rPr>
          <w:i/>
        </w:rPr>
        <w:t>Gurmankin</w:t>
      </w:r>
      <w:proofErr w:type="spellEnd"/>
      <w:r>
        <w:t xml:space="preserve">, the Court of Appeals held that the trial judge’s denial of back pay (after a bench trial) constituted an abuse of discretion.  </w:t>
      </w:r>
      <w:r>
        <w:rPr>
          <w:i/>
        </w:rPr>
        <w:t xml:space="preserve">See id. </w:t>
      </w:r>
      <w:r>
        <w:t>at 1124-25.  As support for the view that “</w:t>
      </w:r>
      <w:proofErr w:type="spellStart"/>
      <w:r>
        <w:t>backpay</w:t>
      </w:r>
      <w:proofErr w:type="spellEnd"/>
      <w:r>
        <w:t xml:space="preserve"> [is] an integral aspect of equitable relief to be awarded in a suit brought under section 1983 against a school district,” </w:t>
      </w:r>
      <w:r>
        <w:rPr>
          <w:i/>
        </w:rPr>
        <w:t>id.</w:t>
      </w:r>
      <w:r>
        <w:t xml:space="preserve"> at 1122, the Court of Appeals cited </w:t>
      </w:r>
      <w:proofErr w:type="spellStart"/>
      <w:r>
        <w:rPr>
          <w:i/>
        </w:rPr>
        <w:t>Harkless</w:t>
      </w:r>
      <w:proofErr w:type="spellEnd"/>
      <w:r>
        <w:rPr>
          <w:i/>
        </w:rPr>
        <w:t xml:space="preserve"> v. Sweeny Independent School District</w:t>
      </w:r>
      <w:r>
        <w:t xml:space="preserve">, 427 F.2d 319, 324 (5th Cir. 1970).  </w:t>
      </w:r>
      <w:proofErr w:type="spellStart"/>
      <w:r>
        <w:rPr>
          <w:i/>
        </w:rPr>
        <w:t>Harkless</w:t>
      </w:r>
      <w:proofErr w:type="spellEnd"/>
      <w:r>
        <w:t xml:space="preserve">, by contrast, did concern the jury issue: the </w:t>
      </w:r>
      <w:proofErr w:type="spellStart"/>
      <w:r>
        <w:rPr>
          <w:i/>
        </w:rPr>
        <w:t>Harkless</w:t>
      </w:r>
      <w:proofErr w:type="spellEnd"/>
      <w:r>
        <w:t xml:space="preserve"> court held that “a claim for back pay presented in an equitable action for reinstatement authorized by § 1983 is not for jury consideration nor are the factual issues which form the basis of the claim for reinstatement.”  </w:t>
      </w:r>
      <w:proofErr w:type="spellStart"/>
      <w:r>
        <w:rPr>
          <w:i/>
        </w:rPr>
        <w:t>Harkless</w:t>
      </w:r>
      <w:proofErr w:type="spellEnd"/>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w:t>
      </w:r>
      <w:proofErr w:type="spellStart"/>
      <w:r>
        <w:t>caselaw</w:t>
      </w:r>
      <w:proofErr w:type="spellEnd"/>
      <w:r>
        <w:t xml:space="preserve"> suggests that back pay may not be an equitable remedy when sought from an individual defendant.  In a Section 1983 case that focused on official immunity, rather than on the right to a jury, the Court of Appeals stated that “[a]s to </w:t>
      </w:r>
      <w:proofErr w:type="spellStart"/>
      <w:r>
        <w:t>backpay</w:t>
      </w:r>
      <w:proofErr w:type="spellEnd"/>
      <w:r>
        <w:t xml:space="preserve"> and </w:t>
      </w:r>
      <w:proofErr w:type="spellStart"/>
      <w:r>
        <w:t>attorneys</w:t>
      </w:r>
      <w:proofErr w:type="spellEnd"/>
      <w:r>
        <w:t xml:space="preserve"> fees . . . a recovery against individual defendants would be in the nature of damages, rather than as a part of the equitable remedy of reinstatement.” </w:t>
      </w:r>
      <w:proofErr w:type="spellStart"/>
      <w:r>
        <w:rPr>
          <w:i/>
        </w:rPr>
        <w:t>Skehan</w:t>
      </w:r>
      <w:proofErr w:type="spellEnd"/>
      <w:r>
        <w:rPr>
          <w:i/>
        </w:rPr>
        <w:t xml:space="preserve">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p>
  </w:footnote>
  <w:footnote w:id="6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54 F.3d at 172.  “[R]</w:t>
      </w:r>
      <w:proofErr w:type="spellStart"/>
      <w:r>
        <w:t>einstatement</w:t>
      </w:r>
      <w:proofErr w:type="spellEnd"/>
      <w:r>
        <w:t xml:space="preserve">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3">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proofErr w:type="spellStart"/>
      <w:r>
        <w:rPr>
          <w:i/>
        </w:rPr>
        <w:t>Versarge</w:t>
      </w:r>
      <w:proofErr w:type="spellEnd"/>
      <w:r>
        <w:rPr>
          <w:i/>
        </w:rPr>
        <w:t xml:space="preserve"> v. Township of Clinton, New Jersey</w:t>
      </w:r>
      <w:r>
        <w:t xml:space="preserve">, 984 F.2d 1359, 1368 (3d Cir. 1993)). </w:t>
      </w:r>
    </w:p>
  </w:footnote>
  <w:footnote w:id="64">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proofErr w:type="spellStart"/>
      <w:r>
        <w:rPr>
          <w:i/>
        </w:rPr>
        <w:t>Blanciak</w:t>
      </w:r>
      <w:proofErr w:type="spellEnd"/>
      <w:r>
        <w:rPr>
          <w:i/>
        </w:rPr>
        <w:t xml:space="preserve">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5">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proofErr w:type="spellStart"/>
      <w:r>
        <w:rPr>
          <w:i/>
        </w:rPr>
        <w:t>Biondo</w:t>
      </w:r>
      <w:proofErr w:type="spellEnd"/>
      <w:r>
        <w:rPr>
          <w:i/>
        </w:rPr>
        <w:t xml:space="preserve">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 xml:space="preserve">see also Grantham v. </w:t>
      </w:r>
      <w:proofErr w:type="spellStart"/>
      <w:r>
        <w:rPr>
          <w:i/>
        </w:rPr>
        <w:t>Trickey</w:t>
      </w:r>
      <w:proofErr w:type="spellEnd"/>
      <w:r>
        <w:t>, 21 F.3d 289, 296 n.5 (8th Cir. 1994) (“When reinstatement is not feasible, the court may grant front pay as an alternative equitable remedy.”).</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6">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7">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8">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69">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widowControl w:val="0"/>
      <w:tabs>
        <w:tab w:val="center" w:pos="4680"/>
        <w:tab w:val="right" w:pos="9360"/>
      </w:tabs>
      <w:autoSpaceDE w:val="0"/>
      <w:autoSpaceDN w:val="0"/>
      <w:adjustRightInd w:val="0"/>
      <w:jc w:val="right"/>
      <w:rPr>
        <w:b/>
        <w:sz w:val="20"/>
      </w:rPr>
    </w:pPr>
  </w:p>
  <w:p w:rsidR="0080738C" w:rsidRDefault="0080738C">
    <w:pPr>
      <w:pStyle w:val="Header"/>
    </w:pPr>
  </w:p>
  <w:p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13CB6"/>
    <w:rsid w:val="00036ABB"/>
    <w:rsid w:val="000630E9"/>
    <w:rsid w:val="00083F00"/>
    <w:rsid w:val="000B3B47"/>
    <w:rsid w:val="000E3D67"/>
    <w:rsid w:val="000F5FA5"/>
    <w:rsid w:val="001076F3"/>
    <w:rsid w:val="00136001"/>
    <w:rsid w:val="001E4F95"/>
    <w:rsid w:val="001F7072"/>
    <w:rsid w:val="0020013B"/>
    <w:rsid w:val="00203B91"/>
    <w:rsid w:val="0023730D"/>
    <w:rsid w:val="002554FC"/>
    <w:rsid w:val="003107D4"/>
    <w:rsid w:val="0031152E"/>
    <w:rsid w:val="00363B64"/>
    <w:rsid w:val="003913F2"/>
    <w:rsid w:val="003C0D02"/>
    <w:rsid w:val="003C2E98"/>
    <w:rsid w:val="004166CA"/>
    <w:rsid w:val="004235D8"/>
    <w:rsid w:val="00433479"/>
    <w:rsid w:val="00435CA4"/>
    <w:rsid w:val="0049244E"/>
    <w:rsid w:val="00493D17"/>
    <w:rsid w:val="004C3B63"/>
    <w:rsid w:val="004F4190"/>
    <w:rsid w:val="00566198"/>
    <w:rsid w:val="00594F9C"/>
    <w:rsid w:val="005A3DF7"/>
    <w:rsid w:val="005B361D"/>
    <w:rsid w:val="005B4898"/>
    <w:rsid w:val="005D448A"/>
    <w:rsid w:val="005D78AC"/>
    <w:rsid w:val="005E7864"/>
    <w:rsid w:val="005F6D48"/>
    <w:rsid w:val="00621DEA"/>
    <w:rsid w:val="006314E5"/>
    <w:rsid w:val="0068193B"/>
    <w:rsid w:val="006D62E6"/>
    <w:rsid w:val="006F12D1"/>
    <w:rsid w:val="00771CD4"/>
    <w:rsid w:val="0078295F"/>
    <w:rsid w:val="007B08CB"/>
    <w:rsid w:val="007B190E"/>
    <w:rsid w:val="007D4E4E"/>
    <w:rsid w:val="007E1DB6"/>
    <w:rsid w:val="008001C1"/>
    <w:rsid w:val="0080738C"/>
    <w:rsid w:val="0084171A"/>
    <w:rsid w:val="00870B3C"/>
    <w:rsid w:val="008D01CB"/>
    <w:rsid w:val="008D2026"/>
    <w:rsid w:val="008E57F8"/>
    <w:rsid w:val="00915578"/>
    <w:rsid w:val="009521D0"/>
    <w:rsid w:val="00992331"/>
    <w:rsid w:val="009B7E97"/>
    <w:rsid w:val="009E1096"/>
    <w:rsid w:val="009E1A16"/>
    <w:rsid w:val="00A3164E"/>
    <w:rsid w:val="00B16422"/>
    <w:rsid w:val="00B80A0F"/>
    <w:rsid w:val="00B83E1E"/>
    <w:rsid w:val="00BE66B7"/>
    <w:rsid w:val="00C14389"/>
    <w:rsid w:val="00C21E91"/>
    <w:rsid w:val="00C825F4"/>
    <w:rsid w:val="00CE475B"/>
    <w:rsid w:val="00D03416"/>
    <w:rsid w:val="00D07EE1"/>
    <w:rsid w:val="00D74DFF"/>
    <w:rsid w:val="00DA14C0"/>
    <w:rsid w:val="00DA6B11"/>
    <w:rsid w:val="00E04D33"/>
    <w:rsid w:val="00E12EAF"/>
    <w:rsid w:val="00E35682"/>
    <w:rsid w:val="00E453B9"/>
    <w:rsid w:val="00E54E59"/>
    <w:rsid w:val="00E6471A"/>
    <w:rsid w:val="00E846D1"/>
    <w:rsid w:val="00F06E43"/>
    <w:rsid w:val="00F30CBC"/>
    <w:rsid w:val="00F41670"/>
    <w:rsid w:val="00FA5ABC"/>
    <w:rsid w:val="00FB34B5"/>
    <w:rsid w:val="00FB4C26"/>
    <w:rsid w:val="00FC08AD"/>
    <w:rsid w:val="00FC1E9C"/>
    <w:rsid w:val="00FC3113"/>
    <w:rsid w:val="00FC6272"/>
    <w:rsid w:val="00F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B648D4E7.dotm</Template>
  <TotalTime>0</TotalTime>
  <Pages>39</Pages>
  <Words>9941</Words>
  <Characters>54283</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2018-05-29T20:15:00Z</dcterms:created>
  <dcterms:modified xsi:type="dcterms:W3CDTF">2018-05-29T20:16:00Z</dcterms:modified>
</cp:coreProperties>
</file>