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bookmarkStart w:id="0" w:name="_GoBack"/>
      <w:bookmarkEnd w:id="0"/>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Neither Title VII nor Section 1981 prohibits employers from discriminating on grounds of age.  In the Age Discrimination in Employment Act of 1967, however, Congress provided protection for employees over the age of 40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The central provision of the ADEA is 29 U.S.C. § 623, which provides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court found that these standards were met where the 42-year-old plaintiff alleged that he was constructively discharged from his job, for which he was qualified</w:t>
      </w:r>
      <w:proofErr w:type="gramStart"/>
      <w:r w:rsidRPr="000F2ECD">
        <w:t>,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Id. at 247 n. 32.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Relationship </w:t>
      </w:r>
      <w:proofErr w:type="gramStart"/>
      <w:r w:rsidRPr="000F2ECD">
        <w:rPr>
          <w:i/>
          <w:iCs/>
        </w:rPr>
        <w:t>Between</w:t>
      </w:r>
      <w:proofErr w:type="gramEnd"/>
      <w:r w:rsidRPr="000F2ECD">
        <w:rPr>
          <w:i/>
          <w:iCs/>
        </w:rPr>
        <w:t xml:space="preserve">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2"/>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w:t>
      </w:r>
      <w:r w:rsidRPr="000F2ECD">
        <w:lastRenderedPageBreak/>
        <w:t xml:space="preserve">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w:t>
      </w:r>
      <w:proofErr w:type="gramStart"/>
      <w:r w:rsidRPr="000F2ECD">
        <w:t>the but</w:t>
      </w:r>
      <w:proofErr w:type="gramEnd"/>
      <w:r w:rsidRPr="000F2ECD">
        <w:t xml:space="preserve">-for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w:t>
      </w:r>
      <w:proofErr w:type="spellStart"/>
      <w:r w:rsidRPr="000F2ECD">
        <w:t>S.Ct</w:t>
      </w:r>
      <w:proofErr w:type="spellEnd"/>
      <w:r w:rsidRPr="000F2ECD">
        <w:t xml:space="preserve">.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w:t>
      </w:r>
      <w:proofErr w:type="gramStart"/>
      <w:r w:rsidRPr="000F2ECD">
        <w:t>at</w:t>
      </w:r>
      <w:proofErr w:type="gramEnd"/>
      <w:r w:rsidRPr="000F2ECD">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 [describe alleged treatment] [plaintiff]. In order for [plaintiff] to recover on this discrimination claim against [defendant], [plaintiff] must prove that [defendant] intentionally discriminated against [plaintiff]. This means that [plaintiff] must prove that [his/her] age was a determinative factor in [defendant's] decision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[failed to hire] [failed to promote] [demoted] [terminated] [constructively discharged] [plaintiff];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 received in the case in deciding whether [defendant] intentionally discriminated against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has given a nondiscriminatory reason for </w:t>
      </w:r>
      <w:proofErr w:type="gramStart"/>
      <w:r w:rsidRPr="000F2ECD">
        <w:t>its</w:t>
      </w:r>
      <w:proofErr w:type="gramEnd"/>
      <w:r w:rsidRPr="000F2ECD">
        <w:t xml:space="preserve"> [describe defendant’s action]. If you disbelieve [defendant’s] explanations for its conduct, then you may, but need not, find that [plaintiff] has proved intentional discrimination.  In determining whether [</w:t>
      </w:r>
      <w:proofErr w:type="gramStart"/>
      <w:r w:rsidRPr="000F2ECD">
        <w:t>defendant's</w:t>
      </w:r>
      <w:proofErr w:type="gramEnd"/>
      <w:r w:rsidRPr="000F2ECD">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where plaintiff claims replacement by a younger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claiming that [he/she] was replaced by a younger employee [name]. It is not necessary for [</w:t>
      </w:r>
      <w:proofErr w:type="gramStart"/>
      <w:r w:rsidRPr="000F2ECD">
        <w:t>plaintiff’s</w:t>
      </w:r>
      <w:proofErr w:type="gramEnd"/>
      <w:r w:rsidRPr="000F2ECD">
        <w:t>] replacement to be under 40 years of age. The question is whether [name of replacement employee] is substantially younger than [plaintiff].</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in a reduction in force case: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this case, [plaintiff] was laid off from [his/her] job as part of a reduction in force. [Plaintiff] need not show that he was replaced in [his/her] position by a younger employee. But [plaintiff] must show that [he/she] was laid off from a position for which [he/she] was qualified, and that substantially younger </w:t>
      </w:r>
      <w:r w:rsidR="000800DC">
        <w:t>employees</w:t>
      </w:r>
      <w:r w:rsidRPr="000F2ECD">
        <w:t xml:space="preserve"> were treated more favorably.</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w:t>
      </w:r>
      <w:proofErr w:type="gramStart"/>
      <w:r w:rsidRPr="000F2ECD">
        <w:t>plaintiff 's</w:t>
      </w:r>
      <w:proofErr w:type="gramEnd"/>
      <w:r w:rsidRPr="000F2ECD">
        <w:t xml:space="preserve">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w:t>
      </w:r>
      <w:proofErr w:type="gramStart"/>
      <w:r w:rsidRPr="000F2ECD">
        <w:t>ADEA, ...</w:t>
      </w:r>
      <w:proofErr w:type="gramEnd"/>
      <w:r w:rsidRPr="000F2ECD">
        <w:t xml:space="preserve">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w:t>
      </w:r>
      <w:proofErr w:type="gramStart"/>
      <w:r w:rsidRPr="000F2ECD">
        <w:t>the but</w:t>
      </w:r>
      <w:proofErr w:type="gramEnd"/>
      <w:r w:rsidRPr="000F2ECD">
        <w:t xml:space="preserve">-for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r>
      <w:r w:rsidRPr="000F2ECD">
        <w:rPr>
          <w:i/>
          <w:iCs/>
        </w:rPr>
        <w:t>Miller v. Cigna Corp.</w:t>
      </w:r>
      <w:r w:rsidRPr="000F2ECD">
        <w:t>, 47 F.3d 586 (3d Cir. 1995) (</w:t>
      </w:r>
      <w:proofErr w:type="spellStart"/>
      <w:r w:rsidRPr="000F2ECD">
        <w:t>en</w:t>
      </w:r>
      <w:proofErr w:type="spellEnd"/>
      <w:r w:rsidRPr="000F2ECD">
        <w:t xml:space="preserve"> banc), was decided under the assumption that ADEA mixed-motive cases were governed by a framework distinct from that governing ADEA pretext cases.  Obviously, that assumption is no longer good law after </w:t>
      </w:r>
      <w:r w:rsidRPr="000F2ECD">
        <w:rPr>
          <w:i/>
          <w:iCs/>
        </w:rPr>
        <w:t>Gross</w:t>
      </w:r>
      <w:r w:rsidRPr="000F2ECD">
        <w:t xml:space="preserve">, but the </w:t>
      </w:r>
      <w:r w:rsidRPr="000F2ECD">
        <w:rPr>
          <w:i/>
          <w:iCs/>
        </w:rPr>
        <w:t xml:space="preserve">Miller </w:t>
      </w:r>
      <w:r w:rsidRPr="000F2ECD">
        <w:t>court’s discussion of the appropriate instruction for an ADEA pretext case remains instructive: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plaintiff in an ADEA case who does not qualify for a burden shifting instruction under </w:t>
      </w:r>
      <w:r w:rsidRPr="000F2ECD">
        <w:rPr>
          <w:i/>
          <w:iCs/>
        </w:rPr>
        <w:t xml:space="preserve">Price Waterhouse </w:t>
      </w:r>
      <w:r w:rsidRPr="000F2ECD">
        <w:t xml:space="preserve">[i.e., a “mixed-motive” case]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0F2ECD">
        <w:t>decisionmaking</w:t>
      </w:r>
      <w:proofErr w:type="spellEnd"/>
      <w:r w:rsidRPr="000F2ECD">
        <w:t>] process and had a determinative influence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Miller</w:t>
      </w:r>
      <w:r w:rsidRPr="000F2ECD">
        <w:t xml:space="preserve">, 47 F.3d at 596-97 (quoting </w:t>
      </w:r>
      <w:r w:rsidRPr="000F2ECD">
        <w:rPr>
          <w:i/>
          <w:iCs/>
        </w:rPr>
        <w:t>Hazen Paper Co. v. Biggins</w:t>
      </w:r>
      <w:r w:rsidRPr="000F2ECD">
        <w:t xml:space="preserve">, 507 U.S. 604, 610 (1993)).  The court in </w:t>
      </w:r>
      <w:r w:rsidRPr="000F2ECD">
        <w:rPr>
          <w:i/>
          <w:iCs/>
        </w:rPr>
        <w:t xml:space="preserve">Miller </w:t>
      </w:r>
      <w:r w:rsidRPr="000F2ECD">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0F2ECD">
        <w:t>decisionmaking</w:t>
      </w:r>
      <w:proofErr w:type="spellEnd"/>
      <w:r w:rsidRPr="000F2ECD">
        <w:t xml:space="preserve"> process and that it had a determinative effect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plaintiff establishes a prima facie case of discrimination,</w:t>
      </w:r>
      <w:r w:rsidR="00301EA4">
        <w:rPr>
          <w:rStyle w:val="FootnoteReference"/>
        </w:rPr>
        <w:footnoteReference w:id="3"/>
      </w:r>
      <w:r w:rsidRPr="000F2ECD">
        <w:t xml:space="preserve">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defendant meets its burden of producing evidence of a nondiscriminatory reason for its action, the plaintiff must persuade the jury that the defendant's stated reason was merely a </w:t>
      </w:r>
      <w:r w:rsidRPr="000F2ECD">
        <w:lastRenderedPageBreak/>
        <w:t xml:space="preserve">pretext for age discrimination, or in some other way  prove it  more likely than not that age motivated the employer.  </w:t>
      </w:r>
      <w:r w:rsidRPr="000F2ECD">
        <w:rPr>
          <w:i/>
          <w:iCs/>
        </w:rPr>
        <w:t xml:space="preserve">Texas Dept. of Community Affairs v. </w:t>
      </w:r>
      <w:proofErr w:type="spellStart"/>
      <w:r w:rsidRPr="000F2ECD">
        <w:rPr>
          <w:i/>
          <w:iCs/>
        </w:rPr>
        <w:t>Burdine</w:t>
      </w:r>
      <w:proofErr w:type="spellEnd"/>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4"/>
      </w:r>
      <w:r w:rsidR="00633254">
        <w:t xml:space="preserve"> </w:t>
      </w:r>
      <w:r w:rsidRPr="000F2ECD">
        <w:t xml:space="preserve">The factfinder's rejection of the employer's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w:t>
      </w:r>
      <w:proofErr w:type="spellStart"/>
      <w:r w:rsidRPr="000F2ECD">
        <w:t>pretextual</w:t>
      </w:r>
      <w:proofErr w:type="spellEnd"/>
      <w:r w:rsidRPr="000F2ECD">
        <w:t xml:space="preserve">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w:t>
      </w:r>
      <w:r w:rsidRPr="000F2ECD">
        <w:lastRenderedPageBreak/>
        <w:t xml:space="preserve">credibility as to enable a rational factfinder to disbelieve the remaining rationales, even where the employee fails to produce evidence particular to those rationales.”).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 S. 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w:t>
      </w:r>
      <w:r w:rsidRPr="000F2ECD">
        <w:lastRenderedPageBreak/>
        <w:t xml:space="preserve">motivated’ by age, not pension status.”).  The pattern instruction advises the jury to distinguish 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Substantially Younger Replacement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O’Connor v. Consolidated Coin Caterers Corp.</w:t>
      </w:r>
      <w:r w:rsidRPr="000F2ECD">
        <w:t xml:space="preserve">, 517 U.S. 308 (1996), the Court rejected the argument that an ADEA plaintiff in a discharge case must show that he was replaced by someone under 40. Under </w:t>
      </w:r>
      <w:r w:rsidRPr="000F2ECD">
        <w:rPr>
          <w:i/>
          <w:iCs/>
        </w:rPr>
        <w:t>O’Connor</w:t>
      </w:r>
      <w:r w:rsidRPr="000F2ECD">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0F2ECD">
        <w:rPr>
          <w:i/>
          <w:iCs/>
        </w:rPr>
        <w:t xml:space="preserve">See also </w:t>
      </w:r>
      <w:proofErr w:type="spellStart"/>
      <w:r w:rsidRPr="000F2ECD">
        <w:rPr>
          <w:i/>
          <w:iCs/>
        </w:rPr>
        <w:t>Maxfield</w:t>
      </w:r>
      <w:proofErr w:type="spellEnd"/>
      <w:r w:rsidRPr="000F2ECD">
        <w:rPr>
          <w:i/>
          <w:iCs/>
        </w:rPr>
        <w:t xml:space="preserve"> v. Sinclair Int’l</w:t>
      </w:r>
      <w:r w:rsidRPr="000F2ECD">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w:t>
      </w:r>
      <w:proofErr w:type="gramStart"/>
      <w:r w:rsidRPr="000F2ECD">
        <w:t>citing</w:t>
      </w:r>
      <w:proofErr w:type="gramEnd"/>
      <w:r w:rsidRPr="000F2ECD">
        <w:t xml:space="preserve"> cases] If the difference in ages of the two employees were insignificant, the district court would likely find that the evidence was insufficient to permit an inference of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question of what is a substantial difference in age, </w:t>
      </w:r>
      <w:r w:rsidRPr="000F2ECD">
        <w:rPr>
          <w:i/>
          <w:iCs/>
        </w:rPr>
        <w:t>see, e.g.</w:t>
      </w:r>
      <w:r w:rsidRPr="000F2ECD">
        <w:t xml:space="preserve">, </w:t>
      </w:r>
      <w:proofErr w:type="spellStart"/>
      <w:r w:rsidRPr="000F2ECD">
        <w:rPr>
          <w:i/>
          <w:iCs/>
        </w:rPr>
        <w:t>Sempier</w:t>
      </w:r>
      <w:proofErr w:type="spellEnd"/>
      <w:r w:rsidRPr="000F2ECD">
        <w:rPr>
          <w:i/>
          <w:iCs/>
        </w:rPr>
        <w:t xml:space="preserve"> v. Johnson &amp; Higgins</w:t>
      </w:r>
      <w:r w:rsidRPr="000F2ECD">
        <w:t xml:space="preserve">, 45 F.3d 724 (3d Cir. 1995) (noting that no particular age difference must be shown; citing cases holding that a five year difference was sufficient, and other case law indicating that a one year difference was insufficient to support an inference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xml:space="preserve">,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 from discrimination favoring relatively younger ones (of any age).” Lewis &amp; Norman, </w:t>
      </w:r>
      <w:r w:rsidRPr="000F2ECD">
        <w:rPr>
          <w:i/>
          <w:iCs/>
        </w:rPr>
        <w:t xml:space="preserve">Employment Discrimination Law and Practice </w:t>
      </w:r>
      <w:r w:rsidRPr="000F2ECD">
        <w:t xml:space="preserve">428 (2d ed. 2004).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Reduction in Force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standards for proving age discrimination in reduction in force cases, </w:t>
      </w:r>
      <w:r w:rsidRPr="000F2ECD">
        <w:rPr>
          <w:i/>
          <w:iCs/>
        </w:rPr>
        <w:t>see, e.g.</w:t>
      </w:r>
      <w:r w:rsidRPr="000F2ECD">
        <w:t>,</w:t>
      </w:r>
      <w:r w:rsidRPr="000F2ECD">
        <w:rPr>
          <w:i/>
          <w:iCs/>
        </w:rPr>
        <w:t xml:space="preserve"> </w:t>
      </w:r>
      <w:proofErr w:type="spellStart"/>
      <w:r w:rsidRPr="000F2ECD">
        <w:rPr>
          <w:i/>
          <w:iCs/>
        </w:rPr>
        <w:t>Tomasso</w:t>
      </w:r>
      <w:proofErr w:type="spellEnd"/>
      <w:r w:rsidRPr="000F2ECD">
        <w:rPr>
          <w:i/>
          <w:iCs/>
        </w:rPr>
        <w:t xml:space="preserve"> v. Boeing Co.</w:t>
      </w:r>
      <w:r w:rsidRPr="000F2ECD">
        <w:t xml:space="preserve">, 445 F.3d 702, 706 n.4 (3d Cir. 2006):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Ordinarily, to make out a prima facie case [of age discrimination] the plaintiff must show . . .  that he was replaced by a sufficiently younger person to create an inference of age discrimination.  </w:t>
      </w:r>
      <w:proofErr w:type="spellStart"/>
      <w:r w:rsidRPr="000F2ECD">
        <w:rPr>
          <w:i/>
          <w:iCs/>
        </w:rPr>
        <w:t>Fakete</w:t>
      </w:r>
      <w:proofErr w:type="spellEnd"/>
      <w:r w:rsidRPr="000F2ECD">
        <w:rPr>
          <w:i/>
          <w:iCs/>
        </w:rPr>
        <w:t xml:space="preserve"> v. Aetna, Inc.</w:t>
      </w:r>
      <w:r w:rsidRPr="000F2ECD">
        <w:t xml:space="preserve">, 308 F.3d 335, 338 (3d Cir. 2002). However, where </w:t>
      </w:r>
      <w:r w:rsidRPr="000F2ECD">
        <w:lastRenderedPageBreak/>
        <w:t>an employee is terminated during a RIF, the [disputed question] becomes whether the employer retained employees who do not belong to the protected class.</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rPr>
          <w:i/>
          <w:iCs/>
        </w:rPr>
        <w:t>See also Dreyer v. ARCO Chemical Co.</w:t>
      </w:r>
      <w:r w:rsidRPr="000F2ECD">
        <w:t xml:space="preserve">, 801 F.2d 651, 653 (3d Cir. 1986) (noting that in reduction of force cases “it is often impracticable to require a plaintiff whose job has been eliminated to show replacement” and so the question becomes whether the plaintiff was laid off from a job for which he was qualified while substantially younger employees were treated more favorably), </w:t>
      </w:r>
      <w:r w:rsidRPr="000F2ECD">
        <w:rPr>
          <w:i/>
          <w:iCs/>
        </w:rPr>
        <w:t>overruled on other grounds by Hazen Paper Co. v. Biggins</w:t>
      </w:r>
      <w:r w:rsidRPr="000F2ECD">
        <w:t xml:space="preserve">, 507 U.S. 604, 617 (1993); </w:t>
      </w:r>
      <w:r w:rsidRPr="000F2ECD">
        <w:rPr>
          <w:i/>
          <w:iCs/>
        </w:rPr>
        <w:t>Anderson v. CONRAIL</w:t>
      </w:r>
      <w:r w:rsidRPr="000F2ECD">
        <w:t xml:space="preserve">, 297 F.3d 242 (3d Cir. 2002) (in a reduction in force case, the plaintiff must show that a similarly situated substantially younger employee was retained).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2"/>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Courts have held that the ADEA prohibits harassment on the basis of age (when the plaintiff is 40 years of age or older) though there is no Third Circuit case law on the subject. </w:t>
      </w:r>
      <w:r w:rsidRPr="000F2ECD">
        <w:rPr>
          <w:i/>
          <w:iCs/>
        </w:rPr>
        <w:t xml:space="preserve">See, </w:t>
      </w:r>
      <w:r w:rsidRPr="000F2ECD">
        <w:rPr>
          <w:i/>
          <w:iCs/>
        </w:rPr>
        <w:lastRenderedPageBreak/>
        <w:t xml:space="preserve">e.g., Montgomery v. John Deere &amp; Co., </w:t>
      </w:r>
      <w:r w:rsidRPr="000F2ECD">
        <w:t>169 F.3d 556 (8</w:t>
      </w:r>
      <w:r w:rsidRPr="000F2ECD">
        <w:rPr>
          <w:vertAlign w:val="superscript"/>
        </w:rPr>
        <w:t>th</w:t>
      </w:r>
      <w:r w:rsidRPr="000F2ECD">
        <w:t xml:space="preserve"> Cir. 1999) (asking an employee when 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5"/>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that constructive discharge is the adverse employment action that is most common with claims of hostile work </w:t>
      </w:r>
      <w:proofErr w:type="gramStart"/>
      <w:r w:rsidRPr="000F2ECD">
        <w:t>environment.</w:t>
      </w:r>
      <w:r w:rsidRPr="000F2ECD">
        <w:rPr>
          <w:vertAlign w:val="superscript"/>
        </w:rPr>
        <w:footnoteReference w:customMarkFollows="1" w:id="6"/>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proofErr w:type="spellStart"/>
      <w:r w:rsidRPr="000F2ECD">
        <w:rPr>
          <w:i/>
          <w:iCs/>
        </w:rPr>
        <w:t>Faragher</w:t>
      </w:r>
      <w:proofErr w:type="spellEnd"/>
      <w:r w:rsidRPr="000F2ECD">
        <w:rPr>
          <w:i/>
          <w:iCs/>
        </w:rPr>
        <w:t xml:space="preserve"> v. Boca Raton</w:t>
      </w:r>
      <w:r w:rsidRPr="000F2ECD">
        <w:t xml:space="preserve">, 524 U.S. 775, 808 (1998). In </w:t>
      </w:r>
      <w:proofErr w:type="spellStart"/>
      <w:r w:rsidRPr="000F2ECD">
        <w:rPr>
          <w:i/>
          <w:iCs/>
        </w:rPr>
        <w:t>Faragher</w:t>
      </w:r>
      <w:proofErr w:type="spellEnd"/>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w:t>
      </w:r>
      <w:r w:rsidRPr="000F2ECD">
        <w:lastRenderedPageBreak/>
        <w:t xml:space="preserve">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proofErr w:type="spellStart"/>
      <w:r w:rsidRPr="000F2ECD">
        <w:rPr>
          <w:i/>
          <w:iCs/>
        </w:rPr>
        <w:t>Ellerth</w:t>
      </w:r>
      <w:proofErr w:type="spellEnd"/>
      <w:r w:rsidRPr="000F2ECD">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0F2ECD">
        <w:t>employees.</w:t>
      </w:r>
      <w:r w:rsidRPr="000F2ECD">
        <w:rPr>
          <w:vertAlign w:val="superscript"/>
        </w:rPr>
        <w:footnoteReference w:customMarkFollows="1" w:id="7"/>
        <w:t>4</w:t>
      </w:r>
      <w:r w:rsidRPr="000F2ECD">
        <w:t xml:space="preserve">  </w:t>
      </w:r>
      <w:proofErr w:type="spellStart"/>
      <w:r w:rsidRPr="000F2ECD">
        <w:t>Respondeat</w:t>
      </w:r>
      <w:proofErr w:type="spellEnd"/>
      <w:proofErr w:type="gram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 [fail to promote] [demote] [terminate] [constructively discharge</w:t>
      </w:r>
      <w:proofErr w:type="gramStart"/>
      <w:r w:rsidRPr="000F2ECD">
        <w:t>][</w:t>
      </w:r>
      <w:proofErr w:type="gramEnd"/>
      <w:r w:rsidRPr="000F2ECD">
        <w:t>plaintiff] because [plaintiff] was [</w:t>
      </w:r>
      <w:r w:rsidR="00F730B6">
        <w:t>[</w:t>
      </w:r>
      <w:r w:rsidRPr="000F2ECD">
        <w:t>40</w:t>
      </w:r>
      <w:r w:rsidR="00F730B6">
        <w:t>]</w:t>
      </w:r>
      <w:r w:rsidRPr="000F2ECD">
        <w:t xml:space="preserv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Third:  [Describe employment practice] is reasonably related to achieving [insert justification for factors].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 xml:space="preserve">Gross v. FBL Fin. </w:t>
      </w:r>
      <w:proofErr w:type="spellStart"/>
      <w:r w:rsidR="005A1BE1" w:rsidRPr="005A1BE1">
        <w:rPr>
          <w:i/>
        </w:rPr>
        <w:t>Servs</w:t>
      </w:r>
      <w:proofErr w:type="spellEnd"/>
      <w:r w:rsidR="005A1BE1" w:rsidRPr="005A1BE1">
        <w:rPr>
          <w:i/>
        </w:rPr>
        <w:t>.,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w:t>
      </w:r>
      <w:proofErr w:type="gramStart"/>
      <w:r w:rsidRPr="000F2ECD">
        <w:t>)(</w:t>
      </w:r>
      <w:proofErr w:type="gramEnd"/>
      <w:r w:rsidRPr="000F2ECD">
        <w:t xml:space="preserve">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t>Prima Facie Case</w:t>
      </w:r>
    </w:p>
    <w:p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lastRenderedPageBreak/>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proofErr w:type="spellStart"/>
      <w:r w:rsidR="00500592" w:rsidRPr="00500592">
        <w:rPr>
          <w:i/>
        </w:rPr>
        <w:t>Karlo</w:t>
      </w:r>
      <w:proofErr w:type="spellEnd"/>
      <w:r w:rsidR="00500592" w:rsidRPr="00500592">
        <w:rPr>
          <w:i/>
        </w:rPr>
        <w:t xml:space="preserve">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8"/>
      </w:r>
      <w:r>
        <w:t xml:space="preserve"> or by using a dividing line higher than 40 years of age (</w:t>
      </w:r>
      <w:r w:rsidRPr="004C0671">
        <w:rPr>
          <w:i/>
        </w:rPr>
        <w:t>e.g</w:t>
      </w:r>
      <w:r>
        <w:t xml:space="preserve">., by comparing the effects on 50-and-older workers to those on younger-than-50 workers). </w:t>
      </w:r>
      <w:r w:rsidRPr="004C0671">
        <w:rPr>
          <w:i/>
        </w:rPr>
        <w:t xml:space="preserve">See </w:t>
      </w:r>
      <w:proofErr w:type="spellStart"/>
      <w:r w:rsidRPr="004C0671">
        <w:rPr>
          <w:i/>
        </w:rPr>
        <w:t>Karlo</w:t>
      </w:r>
      <w:proofErr w:type="spellEnd"/>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9"/>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623(f</w:t>
      </w:r>
      <w:proofErr w:type="gramStart"/>
      <w:r w:rsidR="00FE2756" w:rsidRPr="00FE2756">
        <w:rPr>
          <w:iCs/>
        </w:rPr>
        <w:t>)(</w:t>
      </w:r>
      <w:proofErr w:type="gramEnd"/>
      <w:r w:rsidR="00FE2756" w:rsidRPr="00FE2756">
        <w:rPr>
          <w:iCs/>
        </w:rPr>
        <w:t xml:space="preserve">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0"/>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xml:space="preserve">. </w:t>
      </w:r>
      <w:proofErr w:type="gramStart"/>
      <w:r w:rsidR="00FE2756" w:rsidRPr="00FE2756">
        <w:rPr>
          <w:iCs/>
        </w:rPr>
        <w:t>at</w:t>
      </w:r>
      <w:proofErr w:type="gramEnd"/>
      <w:r w:rsidR="00FE2756" w:rsidRPr="00FE2756">
        <w:rPr>
          <w:iCs/>
        </w:rPr>
        <w:t xml:space="preserve"> 97.</w:t>
      </w:r>
      <w:r w:rsidRPr="00FE2756">
        <w:t xml:space="preserv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w:t>
      </w:r>
      <w:proofErr w:type="gramStart"/>
      <w:r w:rsidRPr="000F2ECD">
        <w:t>plaintiff’</w:t>
      </w:r>
      <w:r w:rsidR="00983F47" w:rsidRPr="000F2ECD">
        <w:t>s</w:t>
      </w:r>
      <w:proofErr w:type="gramEnd"/>
      <w:r w:rsidR="00983F47" w:rsidRPr="000F2ECD">
        <w:t xml:space="preserve">]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1"/>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w:t>
      </w:r>
      <w:proofErr w:type="gramStart"/>
      <w:r w:rsidRPr="000F2ECD">
        <w:t>633a(</w:t>
      </w:r>
      <w:proofErr w:type="gramEnd"/>
      <w:r w:rsidRPr="000F2ECD">
        <w:t xml:space="preserve">a), does not contain an explicit provision on retaliation.  However, the Supreme Court in </w:t>
      </w:r>
      <w:r w:rsidRPr="000F2ECD">
        <w:rPr>
          <w:i/>
          <w:iCs/>
        </w:rPr>
        <w:t>Gomez-Perez v. Potter,</w:t>
      </w:r>
      <w:r w:rsidRPr="000F2ECD">
        <w:t xml:space="preserve"> 128 </w:t>
      </w:r>
      <w:proofErr w:type="spellStart"/>
      <w:r w:rsidRPr="000F2ECD">
        <w:t>S.Ct</w:t>
      </w:r>
      <w:proofErr w:type="spellEnd"/>
      <w:r w:rsidRPr="000F2ECD">
        <w:t>. 1931, 1943 (2008), held “that § </w:t>
      </w:r>
      <w:proofErr w:type="gramStart"/>
      <w:r w:rsidRPr="000F2ECD">
        <w:t>633a(</w:t>
      </w:r>
      <w:proofErr w:type="gramEnd"/>
      <w:r w:rsidRPr="000F2ECD">
        <w:t xml:space="preserve">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proofErr w:type="gramStart"/>
      <w:r w:rsidRPr="000F2ECD">
        <w:t>)</w:t>
      </w:r>
      <w:r w:rsidR="00987D7D" w:rsidRPr="00987D7D">
        <w:t xml:space="preserve"> ;</w:t>
      </w:r>
      <w:proofErr w:type="gramEnd"/>
      <w:r w:rsidR="00987D7D" w:rsidRPr="00987D7D">
        <w:t xml:space="preserve">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2"/>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(3rd Cir. 1997) (advocating equal treatment was protected activity); </w:t>
      </w:r>
      <w:proofErr w:type="spellStart"/>
      <w:r w:rsidRPr="000F2ECD">
        <w:rPr>
          <w:i/>
          <w:iCs/>
        </w:rPr>
        <w:t>Aman</w:t>
      </w:r>
      <w:proofErr w:type="spellEnd"/>
      <w:r w:rsidRPr="000F2ECD">
        <w:rPr>
          <w:i/>
          <w:iCs/>
        </w:rPr>
        <w:t xml:space="preserve">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00CF009D">
        <w:t>internal</w:t>
      </w:r>
      <w:proofErr w:type="gramEnd"/>
      <w:r w:rsidR="00CF009D">
        <w:t xml:space="preserve"> quotation marks and </w:t>
      </w:r>
      <w:r w:rsidRPr="000F2ECD">
        <w:t>citations omitted).</w:t>
      </w:r>
      <w:r w:rsidR="00A40F99">
        <w:rPr>
          <w:rStyle w:val="FootnoteReference"/>
        </w:rPr>
        <w:footnoteReference w:id="13"/>
      </w:r>
      <w:r w:rsidRPr="000F2ECD">
        <w:t xml:space="preserve">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r w:rsidRPr="000F2ECD">
        <w:rPr>
          <w:i/>
          <w:iCs/>
        </w:rPr>
        <w:t>Oncale</w:t>
      </w:r>
      <w:proofErr w:type="spellEnd"/>
      <w:r w:rsidRPr="000F2ECD">
        <w:t xml:space="preserve"> v.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0F2ECD">
        <w:t>Lindemann</w:t>
      </w:r>
      <w:proofErr w:type="spellEnd"/>
      <w:r w:rsidRPr="000F2ECD">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xml:space="preserve">, [Pennsylvania State Police v.]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0F2ECD">
        <w:t>to</w:t>
      </w:r>
      <w:proofErr w:type="gramEnd"/>
      <w:r w:rsidRPr="000F2ECD">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w:t>
      </w:r>
      <w:proofErr w:type="spellStart"/>
      <w:r w:rsidRPr="000F2ECD">
        <w:t>S.Ct</w:t>
      </w:r>
      <w:proofErr w:type="spellEnd"/>
      <w:r w:rsidRPr="000F2ECD">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 xml:space="preserve">See, e.g., Nelson v. </w:t>
      </w:r>
      <w:proofErr w:type="spellStart"/>
      <w:r w:rsidRPr="000F2ECD">
        <w:rPr>
          <w:i/>
          <w:iCs/>
        </w:rPr>
        <w:t>Upsala</w:t>
      </w:r>
      <w:proofErr w:type="spellEnd"/>
      <w:r w:rsidRPr="000F2ECD">
        <w:rPr>
          <w:i/>
          <w:iCs/>
        </w:rPr>
        <w:t xml:space="preserve"> College</w:t>
      </w:r>
      <w:r w:rsidRPr="000F2ECD">
        <w:t>, 51 F.3d 383, 386 (3d Cir.1995</w:t>
      </w:r>
      <w:proofErr w:type="gramStart"/>
      <w:r w:rsidRPr="000F2ECD">
        <w:t>)(</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proofErr w:type="gramStart"/>
      <w:r w:rsidRPr="000F2ECD">
        <w:t>at</w:t>
      </w:r>
      <w:proofErr w:type="gramEnd"/>
      <w:r w:rsidRPr="000F2ECD">
        <w:t xml:space="preserve">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131 S. Ct. at 869 (analyzing language in 42 U.S.C. § 2000e-5(f</w:t>
      </w:r>
      <w:proofErr w:type="gramStart"/>
      <w:r w:rsidRPr="000F2ECD">
        <w:t>)(</w:t>
      </w:r>
      <w:proofErr w:type="gramEnd"/>
      <w:r w:rsidRPr="000F2ECD">
        <w:t xml:space="preserve">1) stating that “a civil action may be brought ... by the person claiming to be aggrieved”).  The ADEA contains similar language.  </w:t>
      </w:r>
      <w:r w:rsidRPr="000F2ECD">
        <w:rPr>
          <w:i/>
          <w:iCs/>
        </w:rPr>
        <w:t xml:space="preserve">See </w:t>
      </w:r>
      <w:r w:rsidRPr="000F2ECD">
        <w:t>29 U.S.C. § 626(c</w:t>
      </w:r>
      <w:proofErr w:type="gramStart"/>
      <w:r w:rsidRPr="000F2ECD">
        <w:t>)(</w:t>
      </w:r>
      <w:proofErr w:type="gramEnd"/>
      <w:r w:rsidRPr="000F2ECD">
        <w:t xml:space="preserve">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 xml:space="preserve">University of Texas Southwestern Medical Center v. </w:t>
      </w:r>
      <w:proofErr w:type="spellStart"/>
      <w:r w:rsidRPr="000F2ECD">
        <w:rPr>
          <w:i/>
          <w:iCs/>
        </w:rPr>
        <w:t>Nassar</w:t>
      </w:r>
      <w:proofErr w:type="spellEnd"/>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xml:space="preserve">. </w:t>
      </w:r>
      <w:proofErr w:type="gramStart"/>
      <w:r w:rsidRPr="000F2ECD">
        <w:t>at</w:t>
      </w:r>
      <w:proofErr w:type="gramEnd"/>
      <w:r w:rsidRPr="000F2ECD">
        <w:t xml:space="preserve"> 2531-32 (discussing policy concerns relating to the standard of proof for retaliation claims).  Accordingly, Instruction 8.1.5 requires the plaintiff to prove that the plaintiff’s protected activity had a determinative effect on the defendant’s retaliatory activity.</w:t>
      </w:r>
    </w:p>
    <w:p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Employer’s Attitude </w:t>
      </w:r>
      <w:proofErr w:type="gramStart"/>
      <w:r w:rsidRPr="000F2ECD">
        <w:rPr>
          <w:i/>
          <w:iCs/>
        </w:rPr>
        <w:t>Toward</w:t>
      </w:r>
      <w:proofErr w:type="gramEnd"/>
      <w:r w:rsidRPr="000F2ECD">
        <w:rPr>
          <w:i/>
          <w:iCs/>
        </w:rPr>
        <w:t xml:space="preserve">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lastRenderedPageBreak/>
        <w:t xml:space="preserve">Retaliation </w:t>
      </w:r>
      <w:proofErr w:type="gramStart"/>
      <w:r w:rsidRPr="000F2ECD">
        <w:rPr>
          <w:i/>
          <w:iCs/>
        </w:rPr>
        <w:t>Against</w:t>
      </w:r>
      <w:proofErr w:type="gramEnd"/>
      <w:r w:rsidRPr="000F2ECD">
        <w:rPr>
          <w:i/>
          <w:iCs/>
        </w:rPr>
        <w:t xml:space="preserve">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265 F.3d 163, 167 (3d Cir. 2001).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8.1.2 (with respect to the instruction’s sixth element).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w:t>
      </w:r>
      <w:proofErr w:type="spellStart"/>
      <w:r w:rsidRPr="000F2ECD">
        <w:rPr>
          <w:i/>
          <w:iCs/>
        </w:rPr>
        <w:t>Faragher</w:t>
      </w:r>
      <w:proofErr w:type="spellEnd"/>
      <w:r w:rsidRPr="000F2ECD">
        <w:rPr>
          <w:i/>
          <w:iCs/>
        </w:rPr>
        <w:t xml:space="preserve">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proofErr w:type="spellStart"/>
      <w:r w:rsidRPr="000F2ECD">
        <w:rPr>
          <w:i/>
          <w:iCs/>
        </w:rPr>
        <w:t>Faragher</w:t>
      </w:r>
      <w:proofErr w:type="spellEnd"/>
      <w:r w:rsidRPr="000F2ECD">
        <w:rPr>
          <w:i/>
          <w:iCs/>
        </w:rPr>
        <w:t xml:space="preserve">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w:t>
      </w:r>
      <w:proofErr w:type="gramStart"/>
      <w:r w:rsidRPr="000F2ECD">
        <w:t>)(</w:t>
      </w:r>
      <w:proofErr w:type="gramEnd"/>
      <w:r w:rsidRPr="000F2ECD">
        <w:t>1) of the ADEA provides that it is not unlawful for an employer to take an action otherwise prohibited by the Act if “age is a bona fide occupational qualification reasonably necessary to the normal operation of the particular business.” 29 U.S.C. § 629(f</w:t>
      </w:r>
      <w:proofErr w:type="gramStart"/>
      <w:r w:rsidRPr="000F2ECD">
        <w:t>)(</w:t>
      </w:r>
      <w:proofErr w:type="gramEnd"/>
      <w:r w:rsidRPr="000F2ECD">
        <w:t>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w:t>
      </w:r>
      <w:proofErr w:type="gramStart"/>
      <w:r w:rsidRPr="000F2ECD">
        <w:t>)(</w:t>
      </w:r>
      <w:proofErr w:type="gramEnd"/>
      <w:r w:rsidRPr="000F2ECD">
        <w:t xml:space="preserve">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w:t>
      </w:r>
      <w:proofErr w:type="gramStart"/>
      <w:r w:rsidRPr="000F2ECD">
        <w:t>)(</w:t>
      </w:r>
      <w:proofErr w:type="gramEnd"/>
      <w:r w:rsidRPr="000F2ECD">
        <w:t>1).</w:t>
      </w:r>
      <w:r w:rsidR="00782D48">
        <w:rPr>
          <w:rStyle w:val="FootnoteReference"/>
        </w:rPr>
        <w:footnoteReference w:id="14"/>
      </w:r>
      <w:r w:rsidRPr="000F2ECD">
        <w:t xml:space="preserve"> The proponent of the release has the burden to prove </w:t>
      </w:r>
      <w:r w:rsidRPr="000F2ECD">
        <w:lastRenderedPageBreak/>
        <w:t xml:space="preserve">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w:t>
      </w:r>
      <w:proofErr w:type="gramStart"/>
      <w:r w:rsidRPr="000F2ECD">
        <w:t>emphasis</w:t>
      </w:r>
      <w:proofErr w:type="gramEnd"/>
      <w:r w:rsidRPr="000F2ECD">
        <w:t xml:space="preserve">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29 U.S.C. § 626(f</w:t>
      </w:r>
      <w:proofErr w:type="gramStart"/>
      <w:r w:rsidRPr="000F2ECD">
        <w:t>)(</w:t>
      </w:r>
      <w:proofErr w:type="gramEnd"/>
      <w:r w:rsidRPr="000F2ECD">
        <w:t xml:space="preserve">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 xml:space="preserve">Pierce v. Atchison Topeka </w:t>
      </w:r>
      <w:r w:rsidRPr="000F2ECD">
        <w:rPr>
          <w:i/>
          <w:iCs/>
        </w:rPr>
        <w:lastRenderedPageBreak/>
        <w:t>&amp;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w:t>
      </w:r>
      <w:proofErr w:type="gramStart"/>
      <w:r w:rsidRPr="000F2ECD">
        <w:t>,  and</w:t>
      </w:r>
      <w:proofErr w:type="gramEnd"/>
      <w:r w:rsidRPr="000F2ECD">
        <w:t xml:space="preserve">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w:t>
      </w:r>
      <w:proofErr w:type="spellStart"/>
      <w:r w:rsidRPr="000F2ECD">
        <w:t>backpay</w:t>
      </w:r>
      <w:proofErr w:type="spellEnd"/>
      <w:r w:rsidRPr="000F2ECD">
        <w:t xml:space="preserve">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 xml:space="preserve">See also </w:t>
      </w:r>
      <w:proofErr w:type="spellStart"/>
      <w:r w:rsidRPr="000F2ECD">
        <w:rPr>
          <w:i/>
          <w:iCs/>
        </w:rPr>
        <w:t>Mardell</w:t>
      </w:r>
      <w:proofErr w:type="spellEnd"/>
      <w:r w:rsidRPr="000F2ECD">
        <w:rPr>
          <w:i/>
          <w:iCs/>
        </w:rPr>
        <w:t xml:space="preserve">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proofErr w:type="spellStart"/>
      <w:r w:rsidRPr="000F2ECD">
        <w:rPr>
          <w:i/>
          <w:iCs/>
        </w:rPr>
        <w:t>Mardell</w:t>
      </w:r>
      <w:proofErr w:type="spellEnd"/>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proofErr w:type="spellStart"/>
      <w:r w:rsidRPr="000F2ECD">
        <w:rPr>
          <w:i/>
          <w:iCs/>
        </w:rPr>
        <w:t>Maxfield</w:t>
      </w:r>
      <w:proofErr w:type="spellEnd"/>
      <w:r w:rsidRPr="000F2ECD">
        <w:rPr>
          <w:i/>
          <w:iCs/>
        </w:rPr>
        <w:t xml:space="preserve"> v. Sinclair Int’l, </w:t>
      </w:r>
      <w:r w:rsidRPr="000F2ECD">
        <w:t xml:space="preserve">766 F.2d 788 (3d Cir. 1985) (social security benefits cannot be offset as an award of </w:t>
      </w:r>
      <w:proofErr w:type="spellStart"/>
      <w:r w:rsidRPr="000F2ECD">
        <w:t>backpay</w:t>
      </w:r>
      <w:proofErr w:type="spellEnd"/>
      <w:r w:rsidRPr="000F2ECD">
        <w:t xml:space="preserve">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w:t>
      </w:r>
      <w:proofErr w:type="gramStart"/>
      <w:r w:rsidRPr="000F2ECD">
        <w:t>at</w:t>
      </w:r>
      <w:proofErr w:type="gramEnd"/>
      <w:r w:rsidRPr="000F2ECD">
        <w:t xml:space="preserve">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proofErr w:type="gramStart"/>
      <w:r w:rsidRPr="000F2ECD">
        <w:rPr>
          <w:b/>
          <w:bCs/>
        </w:rPr>
        <w:t xml:space="preserve">.  </w:t>
      </w:r>
      <w:r w:rsidRPr="000F2ECD">
        <w:rPr>
          <w:b/>
          <w:bCs/>
          <w:sz w:val="28"/>
          <w:szCs w:val="28"/>
        </w:rPr>
        <w:t>ADEA</w:t>
      </w:r>
      <w:proofErr w:type="gramEnd"/>
      <w:r w:rsidRPr="000F2ECD">
        <w:rPr>
          <w:b/>
          <w:bCs/>
          <w:sz w:val="28"/>
          <w:szCs w:val="28"/>
        </w:rPr>
        <w:t xml:space="preserve">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15"/>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particular age-based decision, then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proofErr w:type="spellStart"/>
      <w:r w:rsidRPr="000F2ECD">
        <w:rPr>
          <w:i/>
          <w:iCs/>
        </w:rPr>
        <w:t>Maxfield</w:t>
      </w:r>
      <w:proofErr w:type="spellEnd"/>
      <w:r w:rsidRPr="000F2ECD">
        <w:rPr>
          <w:i/>
          <w:iCs/>
        </w:rPr>
        <w:t xml:space="preserve"> v. Sinclair Int’l, </w:t>
      </w:r>
      <w:r w:rsidRPr="000F2ECD">
        <w:t>766 F.2d 788, 795-96 (3d Cir. 1985), the court  rejected the defendant’s argument that an award of 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w:t>
      </w:r>
      <w:proofErr w:type="gramStart"/>
      <w:r w:rsidRPr="000F2ECD">
        <w:t>ADEA, . . .</w:t>
      </w:r>
      <w:proofErr w:type="gramEnd"/>
      <w:r w:rsidRPr="000F2ECD">
        <w:t xml:space="preserve">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w:t>
      </w:r>
      <w:proofErr w:type="spellStart"/>
      <w:r w:rsidRPr="000F2ECD">
        <w:t>backpay</w:t>
      </w:r>
      <w:proofErr w:type="spellEnd"/>
      <w:r w:rsidRPr="000F2ECD">
        <w:t xml:space="preserve">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proofErr w:type="spellStart"/>
      <w:r w:rsidRPr="000F2ECD">
        <w:rPr>
          <w:i/>
          <w:iCs/>
        </w:rPr>
        <w:t>Maxfield</w:t>
      </w:r>
      <w:proofErr w:type="spellEnd"/>
      <w:r w:rsidRPr="000F2ECD">
        <w:rPr>
          <w:i/>
          <w:iCs/>
        </w:rPr>
        <w:t xml:space="preserve">,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40" w:rsidRDefault="001E5C40">
      <w:r>
        <w:separator/>
      </w:r>
    </w:p>
  </w:endnote>
  <w:endnote w:type="continuationSeparator" w:id="0">
    <w:p w:rsidR="001E5C40" w:rsidRDefault="001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EC1F12">
      <w:rPr>
        <w:rFonts w:ascii="Century Schoolbook" w:hAnsi="Century Schoolbook"/>
        <w:i/>
        <w:iCs/>
      </w:rPr>
      <w:t>October</w:t>
    </w:r>
    <w:r w:rsidR="00FC6D6A">
      <w:rPr>
        <w:rFonts w:ascii="Century Schoolbook" w:hAnsi="Century Schoolbook"/>
        <w:i/>
        <w:iCs/>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912E9E">
      <w:rPr>
        <w:rFonts w:ascii="Century Schoolbook" w:hAnsi="Century Schoolbook"/>
        <w:i/>
        <w:iCs/>
      </w:rPr>
      <w:t>October</w:t>
    </w:r>
    <w:r w:rsidR="00FC6D6A">
      <w:rPr>
        <w:rFonts w:ascii="Century Schoolbook" w:hAnsi="Century Schoolbook"/>
        <w:i/>
        <w:iC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40" w:rsidRDefault="001E5C40">
      <w:r>
        <w:separator/>
      </w:r>
    </w:p>
  </w:footnote>
  <w:footnote w:type="continuationSeparator" w:id="0">
    <w:p w:rsidR="001E5C40" w:rsidRDefault="001E5C40">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w:t>
      </w:r>
      <w:proofErr w:type="gramStart"/>
      <w:r w:rsidRPr="00285621">
        <w:rPr>
          <w:sz w:val="24"/>
          <w:szCs w:val="24"/>
        </w:rPr>
        <w:t>at</w:t>
      </w:r>
      <w:proofErr w:type="gramEnd"/>
      <w:r w:rsidRPr="00285621">
        <w:rPr>
          <w:sz w:val="24"/>
          <w:szCs w:val="24"/>
        </w:rPr>
        <w:t xml:space="preserve"> 110 (“Congress intended the ADEA to be the exclusive remedy for claims of age discrimination in employment.”).</w:t>
      </w:r>
    </w:p>
  </w:footnote>
  <w:footnote w:id="2">
    <w:p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 xml:space="preserve">C.I.R. v. </w:t>
      </w:r>
      <w:proofErr w:type="spellStart"/>
      <w:r w:rsidR="00BC7C5F" w:rsidRPr="00BC7C5F">
        <w:rPr>
          <w:i/>
          <w:sz w:val="24"/>
          <w:szCs w:val="24"/>
        </w:rPr>
        <w:t>Schleier</w:t>
      </w:r>
      <w:proofErr w:type="spellEnd"/>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 xml:space="preserve">superseded by statute on other grounds as noted in </w:t>
      </w:r>
      <w:proofErr w:type="spellStart"/>
      <w:r w:rsidR="00BC7C5F" w:rsidRPr="00BC7C5F">
        <w:rPr>
          <w:i/>
          <w:sz w:val="24"/>
          <w:szCs w:val="24"/>
        </w:rPr>
        <w:t>Eshelman</w:t>
      </w:r>
      <w:proofErr w:type="spellEnd"/>
      <w:r w:rsidR="00BC7C5F" w:rsidRPr="00BC7C5F">
        <w:rPr>
          <w:i/>
          <w:sz w:val="24"/>
          <w:szCs w:val="24"/>
        </w:rPr>
        <w:t xml:space="preserve"> v. </w:t>
      </w:r>
      <w:proofErr w:type="spellStart"/>
      <w:r w:rsidR="00BC7C5F" w:rsidRPr="00BC7C5F">
        <w:rPr>
          <w:i/>
          <w:sz w:val="24"/>
          <w:szCs w:val="24"/>
        </w:rPr>
        <w:t>Agere</w:t>
      </w:r>
      <w:proofErr w:type="spellEnd"/>
      <w:r w:rsidR="00BC7C5F" w:rsidRPr="00BC7C5F">
        <w:rPr>
          <w:i/>
          <w:sz w:val="24"/>
          <w:szCs w:val="24"/>
        </w:rPr>
        <w:t xml:space="preserv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3">
    <w:p w:rsidR="00301EA4" w:rsidRDefault="00301EA4">
      <w:pPr>
        <w:pStyle w:val="FootnoteText"/>
      </w:pPr>
      <w:r>
        <w:rPr>
          <w:rStyle w:val="FootnoteReference"/>
        </w:rPr>
        <w:footnoteRef/>
      </w:r>
      <w:r>
        <w:t xml:space="preserve"> </w:t>
      </w:r>
      <w:r w:rsidRPr="00301EA4">
        <w:rPr>
          <w:sz w:val="24"/>
          <w:szCs w:val="24"/>
        </w:rPr>
        <w:t xml:space="preserve">“The elements of a </w:t>
      </w:r>
      <w:r w:rsidRPr="00301EA4">
        <w:rPr>
          <w:i/>
          <w:sz w:val="24"/>
          <w:szCs w:val="24"/>
        </w:rPr>
        <w:t>prima facie</w:t>
      </w:r>
      <w:r w:rsidRPr="00301EA4">
        <w:rPr>
          <w:sz w:val="24"/>
          <w:szCs w:val="24"/>
        </w:rPr>
        <w:t xml:space="preserve"> case of age discrimination are that: (1) the plaintiff is at least forty years old; (2) the plaintiff suffered an adverse employment decision; (3) the plaintiff was qualified for the position in question; and (4) the plaintiff was ultimately replaced by another employee who was sufficiently younger so as to support an inference of a discriminatory motive.” </w:t>
      </w:r>
      <w:r w:rsidRPr="00301EA4">
        <w:rPr>
          <w:i/>
          <w:sz w:val="24"/>
          <w:szCs w:val="24"/>
        </w:rPr>
        <w:t>Willis v. UPMC Children's Hosp. of Pittsburgh</w:t>
      </w:r>
      <w:r w:rsidRPr="00301EA4">
        <w:rPr>
          <w:sz w:val="24"/>
          <w:szCs w:val="24"/>
        </w:rPr>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301EA4">
        <w:rPr>
          <w:i/>
          <w:sz w:val="24"/>
          <w:szCs w:val="24"/>
        </w:rPr>
        <w:t>Id</w:t>
      </w:r>
      <w:r w:rsidRPr="00301EA4">
        <w:rPr>
          <w:sz w:val="24"/>
          <w:szCs w:val="24"/>
        </w:rPr>
        <w:t xml:space="preserve">. (quoting </w:t>
      </w:r>
      <w:proofErr w:type="spellStart"/>
      <w:r w:rsidRPr="00301EA4">
        <w:rPr>
          <w:i/>
          <w:sz w:val="24"/>
          <w:szCs w:val="24"/>
        </w:rPr>
        <w:t>Pivirotto</w:t>
      </w:r>
      <w:proofErr w:type="spellEnd"/>
      <w:r w:rsidRPr="00301EA4">
        <w:rPr>
          <w:i/>
          <w:sz w:val="24"/>
          <w:szCs w:val="24"/>
        </w:rPr>
        <w:t xml:space="preserve"> v. Innovative Sys., Inc.</w:t>
      </w:r>
      <w:r w:rsidRPr="00301EA4">
        <w:rPr>
          <w:sz w:val="24"/>
          <w:szCs w:val="24"/>
        </w:rPr>
        <w:t xml:space="preserve">, 191 F.3d 344, 352 (3d Cir. 1999) (quoting </w:t>
      </w:r>
      <w:proofErr w:type="spellStart"/>
      <w:r w:rsidRPr="00301EA4">
        <w:rPr>
          <w:i/>
          <w:sz w:val="24"/>
          <w:szCs w:val="24"/>
        </w:rPr>
        <w:t>Furnco</w:t>
      </w:r>
      <w:proofErr w:type="spellEnd"/>
      <w:r w:rsidRPr="00301EA4">
        <w:rPr>
          <w:i/>
          <w:sz w:val="24"/>
          <w:szCs w:val="24"/>
        </w:rPr>
        <w:t xml:space="preserve"> Const. Corp. v. Waters</w:t>
      </w:r>
      <w:r w:rsidRPr="00301EA4">
        <w:rPr>
          <w:sz w:val="24"/>
          <w:szCs w:val="24"/>
        </w:rPr>
        <w:t>, 438 U.S. 567, 577 (1978))).</w:t>
      </w:r>
    </w:p>
  </w:footnote>
  <w:footnote w:id="4">
    <w:p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 xml:space="preserve">Fuentes v. </w:t>
      </w:r>
      <w:proofErr w:type="spellStart"/>
      <w:r w:rsidRPr="00633254">
        <w:rPr>
          <w:i/>
          <w:sz w:val="24"/>
          <w:szCs w:val="24"/>
        </w:rPr>
        <w:t>Perskie</w:t>
      </w:r>
      <w:proofErr w:type="spellEnd"/>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w:t>
      </w:r>
      <w:proofErr w:type="gramStart"/>
      <w:r w:rsidRPr="00633254">
        <w:rPr>
          <w:sz w:val="24"/>
          <w:szCs w:val="24"/>
        </w:rPr>
        <w:t>at</w:t>
      </w:r>
      <w:proofErr w:type="gramEnd"/>
      <w:r w:rsidRPr="00633254">
        <w:rPr>
          <w:sz w:val="24"/>
          <w:szCs w:val="24"/>
        </w:rPr>
        <w:t xml:space="preserve"> 431.</w:t>
      </w:r>
    </w:p>
    <w:p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5">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6">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proofErr w:type="spellStart"/>
      <w:r>
        <w:rPr>
          <w:i/>
          <w:iCs/>
        </w:rPr>
        <w:t>Faragher</w:t>
      </w:r>
      <w:proofErr w:type="spellEnd"/>
      <w:r>
        <w:rPr>
          <w:i/>
          <w:iCs/>
        </w:rPr>
        <w:t xml:space="preserve">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w:t>
      </w:r>
      <w:proofErr w:type="spellStart"/>
      <w:r>
        <w:rPr>
          <w:i/>
          <w:iCs/>
        </w:rPr>
        <w:t>Faragher</w:t>
      </w:r>
      <w:proofErr w:type="spellEnd"/>
      <w:r>
        <w:rPr>
          <w:i/>
          <w:iCs/>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7">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8">
    <w:p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9">
    <w:p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proofErr w:type="spellStart"/>
      <w:r w:rsidRPr="001A1A08">
        <w:rPr>
          <w:i/>
          <w:sz w:val="24"/>
          <w:szCs w:val="24"/>
        </w:rPr>
        <w:t>Karlo</w:t>
      </w:r>
      <w:proofErr w:type="spellEnd"/>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0">
    <w:p w:rsidR="00BE69F4" w:rsidRDefault="00BE69F4">
      <w:pPr>
        <w:pStyle w:val="FootnoteText"/>
      </w:pPr>
      <w:r>
        <w:rPr>
          <w:rStyle w:val="FootnoteReference"/>
        </w:rPr>
        <w:footnoteRef/>
      </w:r>
      <w:r>
        <w:t xml:space="preserve"> </w:t>
      </w:r>
      <w:r w:rsidRPr="00BE69F4">
        <w:rPr>
          <w:i/>
          <w:sz w:val="24"/>
          <w:szCs w:val="24"/>
        </w:rPr>
        <w:t xml:space="preserve">See also </w:t>
      </w:r>
      <w:proofErr w:type="spellStart"/>
      <w:r w:rsidRPr="00BE69F4">
        <w:rPr>
          <w:i/>
          <w:sz w:val="24"/>
          <w:szCs w:val="24"/>
        </w:rPr>
        <w:t>Karlo</w:t>
      </w:r>
      <w:proofErr w:type="spellEnd"/>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1">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2">
    <w:p w:rsidR="00046780" w:rsidRPr="00046780" w:rsidRDefault="00046780">
      <w:pPr>
        <w:pStyle w:val="FootnoteText"/>
        <w:rPr>
          <w:sz w:val="24"/>
          <w:szCs w:val="24"/>
        </w:rPr>
      </w:pPr>
      <w:r>
        <w:rPr>
          <w:rStyle w:val="FootnoteReference"/>
        </w:rPr>
        <w:footnoteRef/>
      </w:r>
      <w:r>
        <w:t xml:space="preserve"> </w:t>
      </w:r>
      <w:r w:rsidRPr="00046780">
        <w:rPr>
          <w:sz w:val="24"/>
          <w:szCs w:val="24"/>
        </w:rPr>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w:t>
      </w:r>
      <w:proofErr w:type="spellStart"/>
      <w:r w:rsidRPr="00046780">
        <w:rPr>
          <w:sz w:val="24"/>
          <w:szCs w:val="24"/>
        </w:rPr>
        <w:t>efusing</w:t>
      </w:r>
      <w:proofErr w:type="spellEnd"/>
      <w:r w:rsidRPr="00046780">
        <w:rPr>
          <w:sz w:val="24"/>
          <w:szCs w:val="24"/>
        </w:rPr>
        <w:t xml:space="preserve">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3">
    <w:p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4">
    <w:p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15">
    <w:p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F.Supp.2d 838, 841 (</w:t>
      </w:r>
      <w:proofErr w:type="spellStart"/>
      <w:r w:rsidRPr="002A050D">
        <w:rPr>
          <w:sz w:val="24"/>
          <w:szCs w:val="24"/>
        </w:rPr>
        <w:t>E.D.Pa</w:t>
      </w:r>
      <w:proofErr w:type="spellEnd"/>
      <w:r w:rsidRPr="002A050D">
        <w:rPr>
          <w:sz w:val="24"/>
          <w:szCs w:val="24"/>
        </w:rPr>
        <w:t>.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rsidR="00F90ED5" w:rsidRDefault="00F90ED5" w:rsidP="00F90ED5">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rsidR="001B779D" w:rsidRDefault="001B779D" w:rsidP="00F90ED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rsidR="001B779D" w:rsidRDefault="001B779D" w:rsidP="00F90ED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rsidR="001B779D" w:rsidRDefault="001B779D" w:rsidP="00F90ED5">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rsidR="001B779D" w:rsidRDefault="001B779D" w:rsidP="00F90ED5">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rsidR="001B779D" w:rsidRDefault="001B779D" w:rsidP="00F90ED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rsidR="004C47C9" w:rsidRDefault="004C47C9" w:rsidP="00F90ED5">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rsidR="00EA413D" w:rsidRDefault="00EA413D" w:rsidP="00F90E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rsidR="00F90ED5" w:rsidRDefault="00F90ED5" w:rsidP="00F90E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rsidR="00B30B94" w:rsidRDefault="00B30B94" w:rsidP="00F90ED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rsidR="00B30B94" w:rsidRDefault="00B30B94" w:rsidP="00F90E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rsidR="00B30B94" w:rsidRDefault="00B30B94" w:rsidP="00F90E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rsidR="00B30B94" w:rsidRDefault="00B30B94" w:rsidP="00F90ED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rsidR="00152686" w:rsidRDefault="00152686" w:rsidP="00F90E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rsidR="001B779D" w:rsidRDefault="001B779D" w:rsidP="00F90ED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rsidR="001B779D" w:rsidRDefault="001B779D" w:rsidP="00F90E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46780"/>
    <w:rsid w:val="00063536"/>
    <w:rsid w:val="00075327"/>
    <w:rsid w:val="000800DC"/>
    <w:rsid w:val="00083505"/>
    <w:rsid w:val="000F2ECD"/>
    <w:rsid w:val="000F44F9"/>
    <w:rsid w:val="00105A45"/>
    <w:rsid w:val="00145AFE"/>
    <w:rsid w:val="00152686"/>
    <w:rsid w:val="00155F66"/>
    <w:rsid w:val="00187F76"/>
    <w:rsid w:val="001A1A08"/>
    <w:rsid w:val="001B779D"/>
    <w:rsid w:val="001E5C40"/>
    <w:rsid w:val="001F2134"/>
    <w:rsid w:val="0025075D"/>
    <w:rsid w:val="00256591"/>
    <w:rsid w:val="0027038B"/>
    <w:rsid w:val="00273AF6"/>
    <w:rsid w:val="00281AFD"/>
    <w:rsid w:val="00285621"/>
    <w:rsid w:val="002A050D"/>
    <w:rsid w:val="002A70D7"/>
    <w:rsid w:val="002B6809"/>
    <w:rsid w:val="00301EA4"/>
    <w:rsid w:val="0030621D"/>
    <w:rsid w:val="00315172"/>
    <w:rsid w:val="00351589"/>
    <w:rsid w:val="003912CE"/>
    <w:rsid w:val="003A318E"/>
    <w:rsid w:val="00434072"/>
    <w:rsid w:val="004361C2"/>
    <w:rsid w:val="004817C7"/>
    <w:rsid w:val="0048254A"/>
    <w:rsid w:val="004A1C6E"/>
    <w:rsid w:val="004C0671"/>
    <w:rsid w:val="004C47C9"/>
    <w:rsid w:val="004C56AD"/>
    <w:rsid w:val="00500592"/>
    <w:rsid w:val="005147B5"/>
    <w:rsid w:val="00537019"/>
    <w:rsid w:val="00543005"/>
    <w:rsid w:val="00570D6B"/>
    <w:rsid w:val="005A1BE1"/>
    <w:rsid w:val="005A5175"/>
    <w:rsid w:val="005A6662"/>
    <w:rsid w:val="005E027F"/>
    <w:rsid w:val="00601AAD"/>
    <w:rsid w:val="00632211"/>
    <w:rsid w:val="00633254"/>
    <w:rsid w:val="00665E46"/>
    <w:rsid w:val="006B7603"/>
    <w:rsid w:val="00710965"/>
    <w:rsid w:val="007411A5"/>
    <w:rsid w:val="00746BE7"/>
    <w:rsid w:val="00756103"/>
    <w:rsid w:val="007565FC"/>
    <w:rsid w:val="00782D48"/>
    <w:rsid w:val="00787F15"/>
    <w:rsid w:val="007B48A3"/>
    <w:rsid w:val="00872190"/>
    <w:rsid w:val="008A1B1D"/>
    <w:rsid w:val="008F0095"/>
    <w:rsid w:val="009028DC"/>
    <w:rsid w:val="00912E9E"/>
    <w:rsid w:val="00917449"/>
    <w:rsid w:val="009762D9"/>
    <w:rsid w:val="0097690E"/>
    <w:rsid w:val="00983F47"/>
    <w:rsid w:val="00987D7D"/>
    <w:rsid w:val="00A40F99"/>
    <w:rsid w:val="00A53D1F"/>
    <w:rsid w:val="00A63BBB"/>
    <w:rsid w:val="00AA5C6E"/>
    <w:rsid w:val="00AE246E"/>
    <w:rsid w:val="00B12011"/>
    <w:rsid w:val="00B2348C"/>
    <w:rsid w:val="00B30B94"/>
    <w:rsid w:val="00BA6422"/>
    <w:rsid w:val="00BB2224"/>
    <w:rsid w:val="00BC0F77"/>
    <w:rsid w:val="00BC3624"/>
    <w:rsid w:val="00BC7C5F"/>
    <w:rsid w:val="00BE69F4"/>
    <w:rsid w:val="00CF009D"/>
    <w:rsid w:val="00CF3228"/>
    <w:rsid w:val="00D43E8A"/>
    <w:rsid w:val="00E13696"/>
    <w:rsid w:val="00E23C8A"/>
    <w:rsid w:val="00E32C19"/>
    <w:rsid w:val="00E6186B"/>
    <w:rsid w:val="00E8434B"/>
    <w:rsid w:val="00E87D09"/>
    <w:rsid w:val="00EA413D"/>
    <w:rsid w:val="00EA7858"/>
    <w:rsid w:val="00EB3005"/>
    <w:rsid w:val="00EB5D76"/>
    <w:rsid w:val="00EB624D"/>
    <w:rsid w:val="00EC1F12"/>
    <w:rsid w:val="00F10EDC"/>
    <w:rsid w:val="00F730B6"/>
    <w:rsid w:val="00F90ED5"/>
    <w:rsid w:val="00FA53E7"/>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E5FF-020E-4B3B-A9BD-AC0FDC56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15537</Words>
  <Characters>88563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2017-12-14T17:35:00Z</dcterms:created>
  <dcterms:modified xsi:type="dcterms:W3CDTF">2017-12-17T16:54:00Z</dcterms:modified>
</cp:coreProperties>
</file>