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Instructions For Claims Under the Age Discrimination In Employment Act</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008" w:left="1440" w:header="1440" w:footer="1008" w:gutter="0"/>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8.0   ADEA Introductory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rsidSect="00FD3625">
          <w:footerReference w:type="default" r:id="rId13"/>
          <w:type w:val="continuous"/>
          <w:pgSz w:w="12240" w:h="15840"/>
          <w:pgMar w:top="1440" w:right="1440" w:bottom="1008" w:left="1440" w:header="1440" w:footer="1008" w:gutter="0"/>
          <w:lnNumType w:countBy="1" w:distance="576"/>
          <w:cols w:space="720"/>
          <w:noEndnote/>
        </w:sectPr>
      </w:pPr>
      <w:r w:rsidRPr="000F2ECD">
        <w:tab/>
        <w:t>8.4.5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Specifically, [plaintiff] claims that [he/she] was [denied employment] [describe the employment action at issue] by the defendant _______ because of [plaintiff's]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Referring to the parties by their names, rather than solely as “Plaintiff” and “Defendant,” can improve jurors’ comprehension.  In these instructions, bracketed references to “[plaintiff]” or “[defendant]” indicate places where the name of the party should be inserted.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Neither Title VII nor Section 1981 prohibits employers from discriminating on grounds of age.  In the Age Discrimination in Employment Act of 1967, however, Congress provided protection for employees over the age of 40 who are the victims of discrimination because of </w:t>
      </w:r>
      <w:r w:rsidR="00285621" w:rsidRPr="000F2ECD">
        <w:t>age.</w:t>
      </w:r>
      <w:r w:rsidR="00285621" w:rsidRPr="000F2ECD">
        <w:rPr>
          <w:rStyle w:val="FootnoteReference"/>
        </w:rPr>
        <w:footnoteReference w:id="1"/>
      </w:r>
      <w:r w:rsidR="00285621" w:rsidRPr="000F2ECD">
        <w:t xml:space="preserve">  </w:t>
      </w:r>
      <w:r w:rsidRPr="000F2ECD">
        <w:t>The central provision of the ADEA is 29 U.S.C. § 623, which provides in part as follows:</w:t>
      </w: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r>
      <w:r w:rsidRPr="000F2ECD">
        <w:lastRenderedPageBreak/>
        <w:t>(3) to reduce the wage rate of any employee in order to comply with this Act.</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Hill v. Borough of Kutztown, </w:t>
      </w:r>
      <w:r w:rsidRPr="000F2ECD">
        <w:t>455 F.3d 225, 247 (3d Cir. 2006), the Third Circuit set forth the basic elements of an ADEA claim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 (2) he is qualified for the position in question, (3) he suffered from an adverse employment decision, and (4) his replacement was sufficiently younger to permit a reasonable inference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court found that these standards were met where the 42-year-old plaintiff alleged that he was constructively discharged from his job, for which he was qualified,  and replaced by a person who was 27. The court noted that “[c]onstructive discharge is an adverse employment decision that may form the basis of an ADEA claim.” Id. at 247 n. 32.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Relationship Between the Coverage of the ADEA and Title VII</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ADEA is patterned after Title VII</w:t>
      </w:r>
      <w:r w:rsidR="0030621D">
        <w:t xml:space="preserve"> (though the ADEA incorporates a number of the enforcement and remedial provisions of</w:t>
      </w:r>
      <w:r w:rsidRPr="000F2ECD">
        <w:t xml:space="preserve"> the Fair Labor Standards Act</w:t>
      </w:r>
      <w:r w:rsidR="0030621D">
        <w:t>)</w:t>
      </w:r>
      <w:r w:rsidRPr="000F2ECD">
        <w:t>.</w:t>
      </w:r>
      <w:r w:rsidR="0048254A">
        <w:rPr>
          <w:rStyle w:val="FootnoteReference"/>
        </w:rPr>
        <w:footnoteReference w:id="2"/>
      </w:r>
      <w:r w:rsidRPr="000F2ECD">
        <w:t xml:space="preserve">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haec verba from Title VII.’ </w:t>
      </w:r>
      <w:r w:rsidRPr="000F2ECD">
        <w:rPr>
          <w:i/>
          <w:iCs/>
        </w:rPr>
        <w:t>Lorillard v. Pons</w:t>
      </w:r>
      <w:r w:rsidRPr="000F2ECD">
        <w:t xml:space="preserve">, supra, [434 U.S. 575] at 584 [1978].” The </w:t>
      </w:r>
      <w:r w:rsidRPr="000F2ECD">
        <w:rPr>
          <w:i/>
          <w:iCs/>
        </w:rPr>
        <w:t xml:space="preserve">Thurston </w:t>
      </w:r>
      <w:r w:rsidRPr="000F2ECD">
        <w:t xml:space="preserve">Court also noted that “[s]everal Courts of Appeals have recognized the similarity between the two statutes.  In </w:t>
      </w:r>
      <w:r w:rsidRPr="000F2ECD">
        <w:rPr>
          <w:i/>
          <w:iCs/>
        </w:rPr>
        <w:t>Hodgson v.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r w:rsidRPr="000F2ECD">
        <w:rPr>
          <w:i/>
          <w:iCs/>
        </w:rPr>
        <w:t>Massarsky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w:t>
      </w:r>
      <w:r w:rsidRPr="000F2ECD">
        <w:lastRenderedPageBreak/>
        <w:t xml:space="preserve">Act.” The Court in </w:t>
      </w:r>
      <w:r w:rsidRPr="000F2ECD">
        <w:rPr>
          <w:i/>
          <w:iCs/>
        </w:rPr>
        <w:t>Massarsky</w:t>
      </w:r>
      <w:r w:rsidRPr="000F2ECD">
        <w:t xml:space="preserve"> held that the delineation between “mixed motive” and “pretext 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(en banc) (confirming that the “mixed motive”/ “pretext” dichotomy found in Title VII disparate treatment cases is also applicable in ADEA disparate treatment cases); </w:t>
      </w:r>
      <w:r w:rsidRPr="000F2ECD">
        <w:rPr>
          <w:i/>
          <w:iCs/>
        </w:rPr>
        <w:t xml:space="preserve">DiBiase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Court rejected the use of the Title VII mixed-motive framework for ADEA cases.  Thus, unlike Chapter 5 – which provides separate instructions for “pretext” cases and “mixed-motive” cases – Chapter 8 provides only one instruction for disparate treatment, because in all ADEA cases the plaintiff always retains the burden to prove that age discrimination was the but-for cause of the adverse employment action.  </w:t>
      </w:r>
      <w:r w:rsidRPr="000F2ECD">
        <w:rPr>
          <w:i/>
          <w:iCs/>
        </w:rPr>
        <w:t xml:space="preserve">See </w:t>
      </w:r>
      <w:r w:rsidRPr="000F2ECD">
        <w:t xml:space="preserve">Comment 8.1.1.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xml:space="preserve">, 128 S.Ct.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rule of admissibility or inadmissibility of other acts of discrimination is not permissible, given that Fed.R.Evid. 403 requires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“[a]pplying Rule 403 to determine if evidence is prejudicial also requires a fact-intensive, context-specific inquiry.”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r w:rsidRPr="000F2ECD">
        <w:rPr>
          <w:i/>
          <w:iCs/>
        </w:rPr>
        <w:t>Hosanna-Tabor Evangelical Lutheran Church &amp; Sch. v. EEOC</w:t>
      </w:r>
      <w:r w:rsidRPr="000F2ECD">
        <w:t xml:space="preserve">, 132 S. Ct. 694, 702, 709 n.4 (2012).  Though </w:t>
      </w:r>
      <w:r w:rsidRPr="000F2ECD">
        <w:rPr>
          <w:i/>
          <w:iCs/>
        </w:rPr>
        <w:t>Hosanna-Tabor</w:t>
      </w:r>
      <w:r w:rsidRPr="000F2ECD">
        <w:t xml:space="preserve"> involved a </w:t>
      </w:r>
      <w:r w:rsidRPr="000F2ECD">
        <w:lastRenderedPageBreak/>
        <w:t xml:space="preserve">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at 710 (“The case before us is an employment discrimination suit brought on behalf of a minister, challenging her church's decision to fire her…. [T]he ministerial exception bars such a suit.”).  For further discussion of the ministerial exception, see Comment 5.0.</w:t>
      </w:r>
    </w:p>
    <w:p w:rsidR="00F90ED5" w:rsidRPr="000F2ECD" w:rsidRDefault="00F90ED5"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90ED5" w:rsidRPr="000F2ECD" w:rsidSect="00F90ED5">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 [describe alleged treatment] [plaintiff]. In order for [plaintiff] to recover on this discrimination claim against [defendant], [plaintiff] must prove that [defendant] intentionally discriminated against [plaintiff]. This means that [plaintiff] must prove that [his/her] age was a determinative factor in [defendant's] decision [describe action]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[failed to hire] [failed to promote] [demoted] [terminated] [constructively discharged] [plaintiff];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example, you have been shown statistics in this case. Statistics are one form of evidence </w:t>
      </w:r>
      <w:r w:rsidR="004A1C6E">
        <w:t>that you may consider when deciding whether</w:t>
      </w:r>
      <w:r w:rsidRPr="000F2ECD">
        <w:t xml:space="preserve"> a defendant intentionally discriminated against a plaintiff. You should evaluate statistical evidence along with all the other evidence received in the case in deciding whether [defendant] intentionally discriminated against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where plaintiff claims replacement by a younger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claiming that [he/she] was replaced by a younger employee [name]. It is not necessary for [plaintiff’s] replacement to be under 40 years of age. The question is whether [name of replacement employee] is substantially younger than [plaintiff].</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in a reduction in force case: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In this case, [plaintiff] was laid off from [his/her] job as part of a reduction in force. [Plaintiff] need not show that he was replaced in [his/her] position by a younger employee. But [plaintiff] must show that [he/she] was laid off from a position for which [he/she] was qualified, and that substantially younger </w:t>
      </w:r>
      <w:r w:rsidR="000800DC">
        <w:t>employees</w:t>
      </w:r>
      <w:r w:rsidRPr="000F2ECD">
        <w:t xml:space="preserve"> were treated more favorably.</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Concluding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plaintiff 's age, the [adverse employment action] would not have occurred. </w:t>
      </w:r>
    </w:p>
    <w:p w:rsidR="00570D6B"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5"/>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ADEA, ... a plaintiff must prove that age was the ‘but-for’ cause of the employer's adverse decision.”  </w:t>
      </w:r>
      <w:r w:rsidRPr="000F2ECD">
        <w:rPr>
          <w:i/>
          <w:iCs/>
        </w:rPr>
        <w:t>Gross v. FBL Financial Services, Inc.</w:t>
      </w:r>
      <w:r w:rsidRPr="000F2ECD">
        <w:t xml:space="preserve">, 557 U.S. 167, 176 (2009).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the but-for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r w:rsidRPr="000F2ECD">
        <w:rPr>
          <w:i/>
          <w:iCs/>
        </w:rPr>
        <w:t>Smith v. City of Allentown</w:t>
      </w:r>
      <w:r w:rsidRPr="000F2ECD">
        <w:t>, 589 F.3d 684, 691 (3d Cir. 2009).</w:t>
      </w:r>
      <w:r w:rsidR="00187F76">
        <w:t xml:space="preserve"> </w:t>
      </w:r>
      <w:r w:rsidR="00187F76" w:rsidRPr="00872190">
        <w:rPr>
          <w:i/>
        </w:rPr>
        <w:t>See also Willis v. UPMC Children's Hosp. of Pittsburgh</w:t>
      </w:r>
      <w:r w:rsidR="00187F76" w:rsidRPr="00187F76">
        <w:t xml:space="preserve">, 808 F.3d 638, 644 (3d Cir. 2015) (“Age discrimination claims in which the plaintiff relies on circumstantial evidence proceed according to the three-part burden-shifting framework set forth in </w:t>
      </w:r>
      <w:r w:rsidR="00187F76" w:rsidRPr="00105A45">
        <w:rPr>
          <w:i/>
        </w:rPr>
        <w:t>McDonnell Douglas</w:t>
      </w:r>
      <w:r w:rsidR="00187F76" w:rsidRPr="00187F76">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r>
      <w:r w:rsidRPr="000F2ECD">
        <w:rPr>
          <w:i/>
          <w:iCs/>
        </w:rPr>
        <w:t>Miller v. Cigna Corp.</w:t>
      </w:r>
      <w:r w:rsidRPr="000F2ECD">
        <w:t xml:space="preserve">, 47 F.3d 586 (3d Cir. 1995) (en banc), was decided under the assumption that ADEA mixed-motive cases were governed by a framework distinct from that governing ADEA pretext cases.  Obviously, that assumption is no longer good law after </w:t>
      </w:r>
      <w:r w:rsidRPr="000F2ECD">
        <w:rPr>
          <w:i/>
          <w:iCs/>
        </w:rPr>
        <w:t>Gross</w:t>
      </w:r>
      <w:r w:rsidRPr="000F2ECD">
        <w:t xml:space="preserve">, but the </w:t>
      </w:r>
      <w:r w:rsidRPr="000F2ECD">
        <w:rPr>
          <w:i/>
          <w:iCs/>
        </w:rPr>
        <w:t xml:space="preserve">Miller </w:t>
      </w:r>
      <w:r w:rsidRPr="000F2ECD">
        <w:t>court’s discussion of the appropriate instruction for an ADEA pretext case remains instructive: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 plaintiff in an ADEA case who does not qualify for a burden shifting instruction under </w:t>
      </w:r>
      <w:r w:rsidRPr="000F2ECD">
        <w:rPr>
          <w:i/>
          <w:iCs/>
        </w:rPr>
        <w:t xml:space="preserve">Price Waterhouse </w:t>
      </w:r>
      <w:r w:rsidRPr="000F2ECD">
        <w:t>[i.e., a “mixed-motive” case] has the burden of persuading the trier of fact by a preponderance of the evidence that there is a "but-for" causal connection between the plaintiff's age and the employer's adverse action -- i.e., that age "actually played a role in [the employer's decisionmaking] process and had a determinative influence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Miller</w:t>
      </w:r>
      <w:r w:rsidRPr="000F2ECD">
        <w:t xml:space="preserve">, 47 F.3d at 596-97 (quoting </w:t>
      </w:r>
      <w:r w:rsidRPr="000F2ECD">
        <w:rPr>
          <w:i/>
          <w:iCs/>
        </w:rPr>
        <w:t>Hazen Paper Co. v. Biggins</w:t>
      </w:r>
      <w:r w:rsidRPr="000F2ECD">
        <w:t xml:space="preserve">, 507 U.S. 604, 610 (1993)).  The court in </w:t>
      </w:r>
      <w:r w:rsidRPr="000F2ECD">
        <w:rPr>
          <w:i/>
          <w:iCs/>
        </w:rPr>
        <w:t xml:space="preserve">Miller </w:t>
      </w:r>
      <w:r w:rsidRPr="000F2ECD">
        <w:t>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decisionmaking process and that it had a determinative effect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plaintiff establishes a prima facie case of discrimination,</w:t>
      </w:r>
      <w:r w:rsidR="00301EA4">
        <w:rPr>
          <w:rStyle w:val="FootnoteReference"/>
        </w:rPr>
        <w:footnoteReference w:id="3"/>
      </w:r>
      <w:r w:rsidRPr="000F2ECD">
        <w:t xml:space="preserve"> the burden shifts to the defendant to produce evidence of a legitimate nondiscriminatory reason for the challenged employment action.  </w:t>
      </w:r>
      <w:r w:rsidRPr="000F2ECD">
        <w:rPr>
          <w:i/>
          <w:iCs/>
        </w:rPr>
        <w:t>See St. Mary's Honor Center v. Hicks</w:t>
      </w:r>
      <w:r w:rsidRPr="000F2ECD">
        <w:t xml:space="preserve">, 509 U.S. 502, 506-07 (1993) (Title VII case).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r w:rsidRPr="000F2ECD">
        <w:rPr>
          <w:i/>
          <w:iCs/>
        </w:rPr>
        <w:t>Healy v. New York Life Ins. Co.</w:t>
      </w:r>
      <w:r w:rsidRPr="000F2ECD">
        <w:t xml:space="preserve">, 860 F.2d 1209, 1214 (3d Cir. 1988) (ADEA case).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the defendant meets its burden of producing evidence of a nondiscriminatory reason for its action, the plaintiff must persuade the jury that the defendant's stated reason was merely a </w:t>
      </w:r>
      <w:r w:rsidRPr="000F2ECD">
        <w:lastRenderedPageBreak/>
        <w:t xml:space="preserve">pretext for age discrimination, or in some other way  prove it  more likely than not that age motivated the employer.  </w:t>
      </w:r>
      <w:r w:rsidRPr="000F2ECD">
        <w:rPr>
          <w:i/>
          <w:iCs/>
        </w:rPr>
        <w:t>Texas Dept. of Community Affairs v. Burdine</w:t>
      </w:r>
      <w:r w:rsidRPr="000F2ECD">
        <w:t xml:space="preserve">, 450 U.S. 248, 253 (1981) (Title VII case). The plaintiff retains the ultimate burden of proving intentional discrimination.  </w:t>
      </w:r>
      <w:r w:rsidRPr="000F2ECD">
        <w:rPr>
          <w:i/>
          <w:iCs/>
        </w:rPr>
        <w:t>Chipollini v. Spencer Gifts, Inc.</w:t>
      </w:r>
      <w:r w:rsidRPr="000F2ECD">
        <w:t>, 814 F.2d 893, 897 (3d Cir. 1987) (en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00633254">
        <w:rPr>
          <w:rStyle w:val="FootnoteReference"/>
        </w:rPr>
        <w:footnoteReference w:id="4"/>
      </w:r>
      <w:r w:rsidR="00633254">
        <w:t xml:space="preserve"> </w:t>
      </w:r>
      <w:r w:rsidRPr="000F2ECD">
        <w:t xml:space="preserve">The factfinder's rejection of the employer's proffered reason allows, but does not compel, judgment for the plaintiff. </w:t>
      </w:r>
      <w:r w:rsidRPr="000F2ECD">
        <w:rPr>
          <w:i/>
          <w:iCs/>
        </w:rPr>
        <w:t>Reeves v. Sanderson Plumbing Products, Inc.</w:t>
      </w:r>
      <w:r w:rsidRPr="000F2ECD">
        <w:t xml:space="preserve">, 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r w:rsidRPr="000F2ECD">
        <w:rPr>
          <w:i/>
          <w:iCs/>
        </w:rPr>
        <w:t>Chipollini v. Spencer Gifts, Inc.</w:t>
      </w:r>
      <w:r w:rsidRPr="000F2ECD">
        <w:t xml:space="preserve">, 814 F.2d 893 (3d Cir. 1987) (en banc) (ADEA case).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0F2ECD">
        <w:rPr>
          <w:i/>
          <w:iCs/>
        </w:rPr>
        <w:t>Keller v. Orix Credit Alliance, Inc.</w:t>
      </w:r>
      <w:r w:rsidRPr="000F2ECD">
        <w:t xml:space="preserve">, 130 F.3d 1101, 1109 (3d Cir. 1997) (ADEA case).  </w:t>
      </w:r>
      <w:r w:rsidRPr="000F2ECD">
        <w:rPr>
          <w:i/>
          <w:iCs/>
        </w:rPr>
        <w:t>See also Tomasso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w:t>
      </w:r>
      <w:r w:rsidRPr="000F2ECD">
        <w:lastRenderedPageBreak/>
        <w:t xml:space="preserve">credibility as to enable a rational factfinder to disbelieve the remaining rationales, even where the employee fails to produce evidence particular to those rationales.”).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Hazen Paper Co. v. Biggins</w:t>
      </w:r>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r w:rsidRPr="000F2ECD">
        <w:rPr>
          <w:i/>
          <w:iCs/>
        </w:rPr>
        <w:t>Western Air Lines, Inc. v. Criswell</w:t>
      </w:r>
      <w:r w:rsidRPr="000F2ECD">
        <w:t>, 472 U.S. 400, 422 (1985).  The employer cannot rely on age as a proxy for an employee's remaining characteristics, such as productivity, but must instead focus on those factors directly.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t xml:space="preserve">see </w:t>
      </w:r>
      <w:r w:rsidRPr="000F2ECD">
        <w:t>29 U. S. C. § 631(a), may have worked for a particular employer his entire career, while an older worker may have been newly hired.  Because age and years of service are analytically distinct, an employer can take account of one while ignoring the other, and thus it is incorrect to say that a decision based on years of service is necessarily "age based.”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We do not preclude the possibility that an employer who targets employees with a particular pension status on the assumption that these e</w:t>
      </w:r>
      <w:r w:rsidR="00063536" w:rsidRPr="000F2ECD">
        <w:t>mployees are likely to be older</w:t>
      </w:r>
      <w:r w:rsidRPr="000F2ECD">
        <w:t xml:space="preserve"> thereby engages in age discrimination. Pension status may be a proxy for age, not in the sense that the ADEA makes the two factors equivalent, but in the sense that the employer 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128 S. Ct. 2361, 2370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w:t>
      </w:r>
      <w:r w:rsidRPr="000F2ECD">
        <w:lastRenderedPageBreak/>
        <w:t xml:space="preserve">motivated’ by age, not pension status.”).  The pattern instruction advises the jury to distinguish between age-related discrimination and discrimination on other grounds that might correlate with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Substantially Younger Replacement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O’Connor v. Consolidated Coin Caterers Corp.</w:t>
      </w:r>
      <w:r w:rsidRPr="000F2ECD">
        <w:t xml:space="preserve">, 517 U.S. 308 (1996), the Court rejected the argument that an ADEA plaintiff in a discharge case must show that he was replaced by someone under 40. Under </w:t>
      </w:r>
      <w:r w:rsidRPr="000F2ECD">
        <w:rPr>
          <w:i/>
          <w:iCs/>
        </w:rPr>
        <w:t>O’Connor</w:t>
      </w:r>
      <w:r w:rsidRPr="000F2ECD">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517 U.S. at 313.  </w:t>
      </w:r>
      <w:r w:rsidRPr="000F2ECD">
        <w:rPr>
          <w:i/>
          <w:iCs/>
        </w:rPr>
        <w:t>See also Maxfield v. Sinclair Int’l</w:t>
      </w:r>
      <w:r w:rsidRPr="000F2ECD">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[citing cases] If the difference in ages of the two employees were insignificant, the district court would likely find that the evidence was insufficient to permit an inference of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question of what is a substantial difference in age, </w:t>
      </w:r>
      <w:r w:rsidRPr="000F2ECD">
        <w:rPr>
          <w:i/>
          <w:iCs/>
        </w:rPr>
        <w:t>see, e.g.</w:t>
      </w:r>
      <w:r w:rsidRPr="000F2ECD">
        <w:t xml:space="preserve">, </w:t>
      </w:r>
      <w:r w:rsidRPr="000F2ECD">
        <w:rPr>
          <w:i/>
          <w:iCs/>
        </w:rPr>
        <w:t>Sempier v. Johnson &amp; Higgins</w:t>
      </w:r>
      <w:r w:rsidRPr="000F2ECD">
        <w:t xml:space="preserve">, 45 F.3d 724 (3d Cir. 1995) (noting that no particular age difference must be shown; citing cases holding that a five year difference was sufficient, and other case law indicating that a one year difference was insufficient to support an inference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xml:space="preserve">,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 from discrimination favoring relatively younger ones (of any age).” Lewis &amp; Norman, </w:t>
      </w:r>
      <w:r w:rsidRPr="000F2ECD">
        <w:rPr>
          <w:i/>
          <w:iCs/>
        </w:rPr>
        <w:t xml:space="preserve">Employment Discrimination Law and Practice </w:t>
      </w:r>
      <w:r w:rsidRPr="000F2ECD">
        <w:t xml:space="preserve">428 (2d ed. 2004).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Reduction in Force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standards for proving age discrimination in reduction in force cases, </w:t>
      </w:r>
      <w:r w:rsidRPr="000F2ECD">
        <w:rPr>
          <w:i/>
          <w:iCs/>
        </w:rPr>
        <w:t>see, e.g.</w:t>
      </w:r>
      <w:r w:rsidRPr="000F2ECD">
        <w:t>,</w:t>
      </w:r>
      <w:r w:rsidRPr="000F2ECD">
        <w:rPr>
          <w:i/>
          <w:iCs/>
        </w:rPr>
        <w:t xml:space="preserve"> Tomasso v. Boeing Co.</w:t>
      </w:r>
      <w:r w:rsidRPr="000F2ECD">
        <w:t xml:space="preserve">, 445 F.3d 702, 706 n.4 (3d Cir. 2006):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Ordinarily, to make out a prima facie case [of age discrimination] the plaintiff must show . . .  that he was replaced by a sufficiently younger person to create an inference of age discrimination.  </w:t>
      </w:r>
      <w:r w:rsidRPr="000F2ECD">
        <w:rPr>
          <w:i/>
          <w:iCs/>
        </w:rPr>
        <w:t>Fakete v. Aetna, Inc.</w:t>
      </w:r>
      <w:r w:rsidRPr="000F2ECD">
        <w:t xml:space="preserve">, 308 F.3d 335, 338 (3d Cir. 2002). However, where </w:t>
      </w:r>
      <w:r w:rsidRPr="000F2ECD">
        <w:lastRenderedPageBreak/>
        <w:t>an employee is terminated during a RIF, the [disputed question] becomes whether the employer retained employees who do not belong to the protected class.</w:t>
      </w:r>
    </w:p>
    <w:p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rPr>
          <w:i/>
          <w:iCs/>
        </w:rPr>
        <w:t>See also Dreyer v. ARCO Chemical Co.</w:t>
      </w:r>
      <w:r w:rsidRPr="000F2ECD">
        <w:t xml:space="preserve">, 801 F.2d 651, 653 (3d Cir. 1986) (noting that in reduction of force cases “it is often impracticable to require a plaintiff whose job has been eliminated to show replacement” and so the question becomes whether the plaintiff was laid off from a job for which he was qualified while substantially younger employees were treated more favorably), </w:t>
      </w:r>
      <w:r w:rsidRPr="000F2ECD">
        <w:rPr>
          <w:i/>
          <w:iCs/>
        </w:rPr>
        <w:t>overruled on other grounds by Hazen Paper Co. v. Biggins</w:t>
      </w:r>
      <w:r w:rsidRPr="000F2ECD">
        <w:t xml:space="preserve">, 507 U.S. 604, 617 (1993); </w:t>
      </w:r>
      <w:r w:rsidRPr="000F2ECD">
        <w:rPr>
          <w:i/>
          <w:iCs/>
        </w:rPr>
        <w:t>Anderson v. CONRAIL</w:t>
      </w:r>
      <w:r w:rsidRPr="000F2ECD">
        <w:t xml:space="preserve">, 297 F.3d 242 (3d Cir. 2002) (in a reduction in force case, the plaintiff must show that a similarly situated substantially younger employee was retained).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8.1.2   Elements of an ADEA Claim —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Seventh: Management level employees knew, or should have known, of the abusive conduct. Management level employees should have known of the abusi</w:t>
      </w:r>
      <w:r w:rsidR="00063536" w:rsidRPr="000F2ECD">
        <w:t>ve conduct if 1)</w:t>
      </w:r>
      <w:r w:rsidRPr="000F2ECD">
        <w:t xml:space="preserve"> 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6"/>
          <w:pgSz w:w="12240" w:h="15840"/>
          <w:pgMar w:top="1440" w:right="1440" w:bottom="1008" w:left="1440" w:header="900" w:footer="1008" w:gutter="0"/>
          <w:lnNumType w:countBy="1" w:distance="576"/>
          <w:cols w:space="720"/>
          <w:noEndnote/>
        </w:sectPr>
      </w:pP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Courts have held that the ADEA prohibits harassment on the basis of age (when the plaintiff is 40 years of age or older) though there is no Third Circuit case law on the subject. </w:t>
      </w:r>
      <w:r w:rsidRPr="000F2ECD">
        <w:rPr>
          <w:i/>
          <w:iCs/>
        </w:rPr>
        <w:t xml:space="preserve">See, </w:t>
      </w:r>
      <w:r w:rsidRPr="000F2ECD">
        <w:rPr>
          <w:i/>
          <w:iCs/>
        </w:rPr>
        <w:lastRenderedPageBreak/>
        <w:t xml:space="preserve">e.g., Montgomery v. John Deere &amp; Co., </w:t>
      </w:r>
      <w:r w:rsidRPr="000F2ECD">
        <w:t>169 F.3d 556 (8</w:t>
      </w:r>
      <w:r w:rsidRPr="000F2ECD">
        <w:rPr>
          <w:vertAlign w:val="superscript"/>
        </w:rPr>
        <w:t>th</w:t>
      </w:r>
      <w:r w:rsidRPr="000F2ECD">
        <w:t xml:space="preserve"> Cir. 1999) (asking an employee when he is going to retire can sometimes be so unnecessary and excessive as to constitute evidence of discriminatory harassment); </w:t>
      </w:r>
      <w:r w:rsidRPr="000F2ECD">
        <w:rPr>
          <w:i/>
          <w:iCs/>
        </w:rPr>
        <w:t xml:space="preserve">Peecock v. Northwestern Nat’l Ins. Group, </w:t>
      </w:r>
      <w:r w:rsidRPr="000F2ECD">
        <w:t>156 F.3d 1231 (6</w:t>
      </w:r>
      <w:r w:rsidRPr="000F2ECD">
        <w:rPr>
          <w:vertAlign w:val="superscript"/>
        </w:rPr>
        <w:t>th</w:t>
      </w:r>
      <w:r w:rsidRPr="000F2ECD">
        <w:t xml:space="preserve"> Cir. 1998) (unpublished opinion) (“In order to prove a prima facie case of a hostile work environment, a plaintiff must show: 1) that the employee is 40 years or older; 2) the employee was subjected to harassment either through words or actions, based on age; 3) the harassment had the effect of unreasonably interfering with the employee’s work performance and creating an objectively intimidating, hostile or offensive work environment ; and 4) the existence of some basis for liability on the part of the employer.”); </w:t>
      </w:r>
      <w:r w:rsidRPr="000F2ECD">
        <w:rPr>
          <w:i/>
          <w:iCs/>
        </w:rPr>
        <w:t xml:space="preserve">Burns v. AAF-McQuay, Inc., </w:t>
      </w:r>
      <w:r w:rsidRPr="000F2ECD">
        <w:t>166 F.3d 292 (4</w:t>
      </w:r>
      <w:r w:rsidRPr="000F2ECD">
        <w:rPr>
          <w:vertAlign w:val="superscript"/>
        </w:rPr>
        <w:t>th</w:t>
      </w:r>
      <w:r w:rsidRPr="000F2ECD">
        <w:t xml:space="preserve"> Cir. 1999) (same standard);  </w:t>
      </w:r>
      <w:r w:rsidRPr="000F2ECD">
        <w:rPr>
          <w:i/>
          <w:iCs/>
        </w:rPr>
        <w:t xml:space="preserve">EEOC v. Massey Yardley Chrysler Plymouth, Inc., </w:t>
      </w:r>
      <w:r w:rsidRPr="000F2ECD">
        <w:t>117 F.3d 1244 (11</w:t>
      </w:r>
      <w:r w:rsidRPr="000F2ECD">
        <w:rPr>
          <w:vertAlign w:val="superscript"/>
        </w:rPr>
        <w:t>th</w:t>
      </w:r>
      <w:r w:rsidRPr="000F2ECD">
        <w:t xml:space="preserve"> Cir. 1997) (upholding a verdict on a claim of hostile work environment under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5.1.4, covering hostile work environment claims with a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Respondeat superior liability for harassment by non-supervisory employees</w:t>
      </w:r>
      <w:r w:rsidRPr="000F2ECD">
        <w:rPr>
          <w:vertAlign w:val="superscript"/>
        </w:rPr>
        <w:footnoteReference w:customMarkFollows="1" w:id="5"/>
        <w:t>2</w:t>
      </w:r>
      <w:r w:rsidRPr="000F2ECD">
        <w:t xml:space="preserve">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should be noted that constructive discharge is the adverse employment action that is most common with claims of hostile work environment.</w:t>
      </w:r>
      <w:r w:rsidRPr="000F2ECD">
        <w:rPr>
          <w:vertAlign w:val="superscript"/>
        </w:rPr>
        <w:footnoteReference w:customMarkFollows="1" w:id="6"/>
        <w:t>3</w:t>
      </w:r>
      <w:r w:rsidRPr="000F2ECD">
        <w:t xml:space="preserve">  Instruction 8.2.2 provides an instruction </w:t>
      </w:r>
      <w:r w:rsidRPr="000F2ECD">
        <w:lastRenderedPageBreak/>
        <w:t>setting forth the relevant factors for a finding of constructive discharge. That instruction can be used to amplify the term “adverse employment action” in appropriate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Burlington Industries, Inc. v. Ellerth</w:t>
      </w:r>
      <w:r w:rsidRPr="000F2ECD">
        <w:t>, 524 U.S. 742, 761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Sixth: Management level employees knew, or should have known, of the abusive conduct. You can find that management level employees should have know</w:t>
      </w:r>
      <w:r w:rsidR="00063536" w:rsidRPr="000F2ECD">
        <w:t xml:space="preserve">n of the abusive conduct if 1) </w:t>
      </w:r>
      <w:r w:rsidRPr="000F2ECD">
        <w:t>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for [defendant] if you find that [defendant] has proved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First: That [defendant] exercised reasonable care to prevent harassment in the workplace on the basis of age, and also exercised reasonable care to promptly correct any harassing behavior that does occur.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Second: That [plaintiff] unreasonably failed to take advantage of any preventive or corrective opportunities provided by [defendant].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3. That policy provided a reasonable way for [plaintiff] to make a claim of harassment to higher management.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7"/>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the Commentary to Instruction 8.1.3, courts have held that the ADEA protects against harassment on the basis of age, though the Third Circuit has not yet decided the question.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r w:rsidRPr="000F2ECD">
        <w:rPr>
          <w:i/>
          <w:iCs/>
        </w:rPr>
        <w:t>Faragher v. Boca Raton</w:t>
      </w:r>
      <w:r w:rsidRPr="000F2ECD">
        <w:t xml:space="preserve">, 524 U.S. 775, 808 (1998). In </w:t>
      </w:r>
      <w:r w:rsidRPr="000F2ECD">
        <w:rPr>
          <w:i/>
          <w:iCs/>
        </w:rPr>
        <w:t>Faragher</w:t>
      </w:r>
      <w:r w:rsidRPr="000F2ECD">
        <w:t xml:space="preserve"> and in </w:t>
      </w:r>
      <w:r w:rsidRPr="000F2ECD">
        <w:rPr>
          <w:i/>
          <w:iCs/>
        </w:rPr>
        <w:t>Burlington Industries, Inc. v. Ellerth</w:t>
      </w:r>
      <w:r w:rsidRPr="000F2ECD">
        <w:t xml:space="preserve">, 524 U.S. 742 (1998), the Court held that an employer is strictly liable for supervisor harassment that "culminates in a tangible employment action, such as discharge, demotion, or undesirable reassignment." </w:t>
      </w:r>
      <w:r w:rsidRPr="000F2ECD">
        <w:rPr>
          <w:i/>
          <w:iCs/>
        </w:rPr>
        <w:t xml:space="preserve">Ellerth, </w:t>
      </w:r>
      <w:r w:rsidRPr="000F2ECD">
        <w:t xml:space="preserve">524 U.S. at 765. But when no </w:t>
      </w:r>
      <w:r w:rsidR="00983F47" w:rsidRPr="000F2ECD">
        <w:t xml:space="preserve">such tangible action is taken, </w:t>
      </w:r>
      <w:r w:rsidRPr="000F2ECD">
        <w:t xml:space="preserve">the employer may raise an affirmative defense to liability. To prevail on </w:t>
      </w:r>
      <w:r w:rsidRPr="000F2ECD">
        <w:lastRenderedPageBreak/>
        <w:t xml:space="preserve">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0F2ECD">
        <w:rPr>
          <w:i/>
          <w:iCs/>
        </w:rPr>
        <w:t xml:space="preserve"> Ellerth</w:t>
      </w:r>
      <w:r w:rsidRPr="000F2ECD">
        <w:t>, 524 U.S. at 751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Besides the affirmative defense provided by </w:t>
      </w:r>
      <w:r w:rsidRPr="000F2ECD">
        <w:rPr>
          <w:i/>
          <w:iCs/>
        </w:rPr>
        <w:t>Ellerth</w:t>
      </w:r>
      <w:r w:rsidRPr="000F2ECD">
        <w:t>, the absence of a tangible employment action also justifies requiring the plaintiff to prove a further element, in order to protect the employer from unwarranted liability for the discriminatory acts of its non-supervisor employees.</w:t>
      </w:r>
      <w:r w:rsidRPr="000F2ECD">
        <w:rPr>
          <w:vertAlign w:val="superscript"/>
        </w:rPr>
        <w:footnoteReference w:customMarkFollows="1" w:id="7"/>
        <w:t>4</w:t>
      </w:r>
      <w:r w:rsidRPr="000F2ECD">
        <w:t xml:space="preserve">  Respondeat superior liability for the acts of non-supervisory employees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In this case, [plaintiff] claims that [defendant], by [describe employment practice], has caused an adverse, disproportionate impact on persons </w:t>
      </w:r>
      <w:r w:rsidR="00F730B6">
        <w:t>[</w:t>
      </w:r>
      <w:r w:rsidRPr="000F2ECD">
        <w:t>40</w:t>
      </w:r>
      <w:r w:rsidR="00F730B6">
        <w:t>]</w:t>
      </w:r>
      <w:r w:rsidRPr="000F2ECD">
        <w:t xml:space="preserve"> years of age or older. The parties agree that [defendant’s] conduct is neutral on its face, but [plaintiff] contends that in fact people </w:t>
      </w:r>
      <w:r w:rsidR="00F730B6">
        <w:t>[</w:t>
      </w:r>
      <w:r w:rsidRPr="000F2ECD">
        <w:t>40</w:t>
      </w:r>
      <w:r w:rsidR="00F730B6">
        <w:t>]</w:t>
      </w:r>
      <w:r w:rsidRPr="000F2ECD">
        <w:t xml:space="preserve"> and older have been treated more harshly by [defendant]. This is what is known in the law as “disparate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w:t>
      </w:r>
      <w:r w:rsidR="00F730B6">
        <w:t>[</w:t>
      </w:r>
      <w:r w:rsidRPr="000F2ECD">
        <w:t>40</w:t>
      </w:r>
      <w:r w:rsidR="00F730B6">
        <w:t>]</w:t>
      </w:r>
      <w:r w:rsidRPr="000F2ECD">
        <w:t xml:space="preserve"> and older. You must focus on the consequences or results of specific employment practices.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has engaged in a specific employment practice or practices that caused [defendant] to [fail to hire] [fail to promote] [demote] [terminate] [constructively discharge][plaintiff] because [plaintiff] was [</w:t>
      </w:r>
      <w:r w:rsidR="00F730B6">
        <w:t>[</w:t>
      </w:r>
      <w:r w:rsidRPr="000F2ECD">
        <w:t>40</w:t>
      </w:r>
      <w:r w:rsidR="00F730B6">
        <w:t>]</w:t>
      </w:r>
      <w:r w:rsidRPr="000F2ECD">
        <w:t xml:space="preserve">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[Defendant's] [describe employment practice] had a significantly disproportionate adverse impact on persons </w:t>
      </w:r>
      <w:r w:rsidR="00F730B6">
        <w:t>[</w:t>
      </w:r>
      <w:r w:rsidRPr="000F2ECD">
        <w:t>40</w:t>
      </w:r>
      <w:r w:rsidR="00F730B6">
        <w:t>]</w:t>
      </w:r>
      <w:r w:rsidRPr="000F2ECD">
        <w:t xml:space="preserve"> years of age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w:t>
      </w:r>
      <w:r w:rsidR="00F730B6">
        <w:t>[</w:t>
      </w:r>
      <w:r w:rsidRPr="000F2ECD">
        <w:t>40</w:t>
      </w:r>
      <w:r w:rsidR="00F730B6">
        <w:t>]</w:t>
      </w:r>
      <w:r w:rsidRPr="000F2ECD">
        <w:t xml:space="preserve"> and older have suffered a disparate impact. Nor is it enough to allege that some generalized policy is responsible for a disparate impact. Instead, [plaintiff] must prove that a specific employment practice or practices caused the disproportionate adverse impact on persons </w:t>
      </w:r>
      <w:r w:rsidR="00F730B6">
        <w:t>[</w:t>
      </w:r>
      <w:r w:rsidRPr="000F2ECD">
        <w:t>40</w:t>
      </w:r>
      <w:r w:rsidR="00F730B6">
        <w:t>]</w:t>
      </w:r>
      <w:r w:rsidRPr="000F2ECD">
        <w:t xml:space="preserve"> years of age or older.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contends that [describe employment practice] was based on reasonable factors other than age. [Defendant] has the burden of proving </w:t>
      </w:r>
      <w:r w:rsidR="009762D9">
        <w:t>each</w:t>
      </w:r>
      <w:r w:rsidRPr="000F2ECD">
        <w:t xml:space="preserve"> of the following elements by a preponderance of the evidence:</w:t>
      </w:r>
    </w:p>
    <w:p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First:  [Describe employment practice] is based on factors other than the age of [the plaintiff] [those similarly situated];</w:t>
      </w:r>
    </w:p>
    <w:p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Second:  [Insert justification for factors] is a legitimate interest of the defendant’s business; and</w:t>
      </w:r>
    </w:p>
    <w:p w:rsidR="00756103" w:rsidRPr="000F2EC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Third:  [Describe employment practice] is reasonably related to achieving [insert justification for factors].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8"/>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Right to Jury Trial</w:t>
      </w:r>
    </w:p>
    <w:p w:rsid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Unlike Title VII, the ADEA provides a right to jury trial for all claims covered by the Act, including, now, disparate impact claims. </w:t>
      </w:r>
      <w:r w:rsidRPr="00273AF6">
        <w:rPr>
          <w:i/>
        </w:rPr>
        <w:t>See</w:t>
      </w:r>
      <w:r w:rsidR="00746BE7">
        <w:t xml:space="preserve"> 29 U.S.C. § 626(c)(2) (“</w:t>
      </w:r>
      <w:r>
        <w:t>[A] person shall be entitled to a trial by jury of any issue of fact in any [ADEA] action . . . regardless of whether equitable relief is sought by any party in such action.”).</w:t>
      </w:r>
    </w:p>
    <w:p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Comparison to Disparate Treatment Claims</w:t>
      </w:r>
    </w:p>
    <w:p w:rsidR="00756103" w:rsidRDefault="00A53D1F"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5A1BE1" w:rsidRPr="005A1BE1">
        <w:t xml:space="preserve">An ADEA plaintiff may claim either disparate treatment or disparate impact. As discussed in Comment 8.1.1, a disparate-treatment claim seeks to show intentional discrimination – i.e., that “age was the ‘reason’ that the employer decided to act.” </w:t>
      </w:r>
      <w:r w:rsidR="005A1BE1" w:rsidRPr="005A1BE1">
        <w:rPr>
          <w:i/>
        </w:rPr>
        <w:t>Gross v. FBL Fin. Servs., Inc</w:t>
      </w:r>
      <w:r w:rsidR="005A1BE1" w:rsidRPr="005A1BE1">
        <w:t xml:space="preserve">., 557 U.S. 167, 176 (2009). By contrast, a plaintiff bringing a disparate-impact claim need not show intent to discriminate. Under a disparate-impact theory, “an employer who classifies his employees without respect to age may still be liable … if such classification adversely affects the employee because of that employee’s age.” </w:t>
      </w:r>
      <w:r w:rsidR="005A1BE1" w:rsidRPr="005A1BE1">
        <w:rPr>
          <w:i/>
        </w:rPr>
        <w:t>Meacham v. Knolls Atomic Power Lab</w:t>
      </w:r>
      <w:r w:rsidR="005A1BE1" w:rsidRPr="005A1BE1">
        <w:t>., 554 U.S. 84, 95-96 (2008) (internal quotation marks omitted).</w:t>
      </w:r>
    </w:p>
    <w:p w:rsidR="005147B5" w:rsidRPr="005147B5" w:rsidRDefault="005147B5"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147B5">
        <w:rPr>
          <w:i/>
        </w:rPr>
        <w:t>Comparison to Title VII Disparate Impact Claims</w:t>
      </w:r>
    </w:p>
    <w:p w:rsidR="00756103" w:rsidRDefault="00A53D1F" w:rsidP="00787F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ADEA  is  narrower than that provided in Title VII, in two respects. First, the ADEA permits a disparate impact “where the differentiation is based on reasonable factors other than age.” 29 U.S.C. § 623(f)(1). Second, the 1991 amendment to Title VII modified the Supreme Court’s holding in </w:t>
      </w:r>
      <w:r w:rsidRPr="000F2ECD">
        <w:rPr>
          <w:i/>
          <w:iCs/>
        </w:rPr>
        <w:t xml:space="preserve">Wards Cove Packing v. Atonio, </w:t>
      </w:r>
      <w:r w:rsidRPr="000F2ECD">
        <w:t xml:space="preserve">490 U.S. 642 (1989), in which the Court narrowly construed the employer’s exposure to disparate-impact liability under Title VII. Because the 1991 amendment did not affect the ADEA, it follows that the standards of </w:t>
      </w:r>
      <w:r w:rsidRPr="000F2ECD">
        <w:rPr>
          <w:i/>
          <w:iCs/>
        </w:rPr>
        <w:t xml:space="preserve">Wards Cove </w:t>
      </w:r>
      <w:r w:rsidRPr="000F2ECD">
        <w:t xml:space="preserve">remain applicable to disparate impact actions under the ADEA. Under </w:t>
      </w:r>
      <w:r w:rsidRPr="000F2ECD">
        <w:rPr>
          <w:i/>
          <w:iCs/>
        </w:rPr>
        <w:t>Wards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r w:rsidRPr="000F2ECD">
        <w:rPr>
          <w:i/>
          <w:iCs/>
        </w:rPr>
        <w:t xml:space="preserve">Smith v. Jackson, </w:t>
      </w:r>
      <w:r w:rsidRPr="000F2ECD">
        <w:t xml:space="preserve">544 U.S. </w:t>
      </w:r>
      <w:r w:rsidR="00983F47" w:rsidRPr="000F2ECD">
        <w:t>a</w:t>
      </w:r>
      <w:r w:rsidRPr="000F2ECD">
        <w:t xml:space="preserve">t 235 (emphasis in original). </w:t>
      </w:r>
    </w:p>
    <w:p w:rsidR="00EA7858" w:rsidRPr="00EA7858" w:rsidRDefault="00EA7858" w:rsidP="00EA785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EA7858">
        <w:rPr>
          <w:i/>
        </w:rPr>
        <w:t>Prima Facie Case</w:t>
      </w:r>
    </w:p>
    <w:p w:rsidR="0027038B" w:rsidRPr="000F2ECD" w:rsidRDefault="00EA7858" w:rsidP="005005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lastRenderedPageBreak/>
        <w:tab/>
        <w:t xml:space="preserve">“To state a </w:t>
      </w:r>
      <w:r w:rsidRPr="00500592">
        <w:rPr>
          <w:i/>
        </w:rPr>
        <w:t>prima facie</w:t>
      </w:r>
      <w:r>
        <w:t xml:space="preserve"> case for disparate impact under the ADEA, a plaintiff must (1) identify a specific, facially neutral policy, and (2) proffer statistical evidence that the policy caused a significant age-based disparity.” </w:t>
      </w:r>
      <w:r w:rsidR="00500592" w:rsidRPr="00500592">
        <w:rPr>
          <w:i/>
        </w:rPr>
        <w:t>Karlo v. Pittsburgh Glass Works, LLC</w:t>
      </w:r>
      <w:r w:rsidR="00500592">
        <w:t>, 849 F.3d 61, 69 (3d Cir. 2017)</w:t>
      </w:r>
      <w:r>
        <w:t>. The age-based disparity may be shown by comparing the effects on 40-and-older workers to those on younger-than-40 workers,</w:t>
      </w:r>
      <w:r w:rsidR="008F0095">
        <w:rPr>
          <w:rStyle w:val="FootnoteReference"/>
        </w:rPr>
        <w:footnoteReference w:id="8"/>
      </w:r>
      <w:r>
        <w:t xml:space="preserve"> or by using a dividing line higher than 40 years of age (</w:t>
      </w:r>
      <w:r w:rsidRPr="004C0671">
        <w:rPr>
          <w:i/>
        </w:rPr>
        <w:t>e.g</w:t>
      </w:r>
      <w:r>
        <w:t xml:space="preserve">., by comparing the effects on 50-and-older workers to those on younger-than-50 workers). </w:t>
      </w:r>
      <w:r w:rsidRPr="004C0671">
        <w:rPr>
          <w:i/>
        </w:rPr>
        <w:t>See Karlo</w:t>
      </w:r>
      <w:r>
        <w:t xml:space="preserve">, </w:t>
      </w:r>
      <w:r w:rsidR="004C0671">
        <w:t>849 F.3d</w:t>
      </w:r>
      <w:r>
        <w:t xml:space="preserve"> at </w:t>
      </w:r>
      <w:r w:rsidR="004C0671">
        <w:t>72</w:t>
      </w:r>
      <w:r>
        <w:t xml:space="preserve"> (“A specific, facially neutral policy that significantly disfavors employees over fifty years old supports a claim of disparate impact under the plain text of § 623(a)(2).”).</w:t>
      </w:r>
      <w:r w:rsidR="001A1A08">
        <w:rPr>
          <w:rStyle w:val="FootnoteReference"/>
        </w:rPr>
        <w:footnoteReference w:id="9"/>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rsidR="00756103" w:rsidRPr="00FE2756"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00FE2756" w:rsidRPr="00FE2756">
        <w:rPr>
          <w:iCs/>
        </w:rPr>
        <w:t>A facially-age-neutral practice that disparately affects older workers is not barred by the ADEA “where the differentiation is based on reasonable factors other than age.” 29 U.S.C. §</w:t>
      </w:r>
      <w:r w:rsidR="00B2348C">
        <w:rPr>
          <w:iCs/>
        </w:rPr>
        <w:t> </w:t>
      </w:r>
      <w:r w:rsidR="00FE2756" w:rsidRPr="00FE2756">
        <w:rPr>
          <w:iCs/>
        </w:rPr>
        <w:t xml:space="preserve">623(f)(1). The Supreme Court has distinguished this “reasonable factors other than age” (“RFOA”) defense from a business-necessity defense. For example, in </w:t>
      </w:r>
      <w:r w:rsidR="00FE2756" w:rsidRPr="002A70D7">
        <w:rPr>
          <w:i/>
          <w:iCs/>
        </w:rPr>
        <w:t>Smith v. City of Jackson</w:t>
      </w:r>
      <w:r w:rsidR="00FE2756" w:rsidRPr="00FE2756">
        <w:rPr>
          <w:iCs/>
        </w:rPr>
        <w:t xml:space="preserve">, 544 U.S. 228 (2005), the Court affirmed the dismissal of the plaintiffs’ disparate-impact claims, reasoning that “the City’s decision to grant a larger raise to lower echelon employees for the purpose of bringing salaries in line with that of surrounding police forces was a decision based on a ‘reasonable facto[r] other than age’ that responded to the City’s legitimate goal of retaining police officers.” </w:t>
      </w:r>
      <w:r w:rsidR="00FE2756" w:rsidRPr="002A70D7">
        <w:rPr>
          <w:i/>
          <w:iCs/>
        </w:rPr>
        <w:t>Smith</w:t>
      </w:r>
      <w:r w:rsidR="00FE2756" w:rsidRPr="00FE2756">
        <w:rPr>
          <w:iCs/>
        </w:rPr>
        <w:t xml:space="preserve">, 544 U.S. at 242. The Court explained: “While there may have been other reasonable ways for the City to achieve its goals, the one selected was not unreasonable. Unlike the business necessity test, which asks whether there are other ways for the employer to achieve its goals that do not result in a disparate impact on a protected class, the reasonableness inquiry includes no such requirement.” </w:t>
      </w:r>
      <w:r w:rsidR="00FE2756" w:rsidRPr="002A70D7">
        <w:rPr>
          <w:i/>
          <w:iCs/>
        </w:rPr>
        <w:t>Id</w:t>
      </w:r>
      <w:r w:rsidR="00FE2756" w:rsidRPr="00FE2756">
        <w:rPr>
          <w:iCs/>
        </w:rPr>
        <w:t>. at 243.</w:t>
      </w:r>
      <w:r w:rsidR="00BE69F4">
        <w:rPr>
          <w:rStyle w:val="FootnoteReference"/>
          <w:iCs/>
        </w:rPr>
        <w:footnoteReference w:id="10"/>
      </w:r>
      <w:r w:rsidR="00FE2756" w:rsidRPr="00FE2756">
        <w:rPr>
          <w:iCs/>
        </w:rPr>
        <w:t xml:space="preserve"> A few years later, in the course of explaining its holding that the RFOA defense is an affirmative defense on which the defendant bears the burdens of both production and persuasion, </w:t>
      </w:r>
      <w:r w:rsidR="00FE2756" w:rsidRPr="002A70D7">
        <w:rPr>
          <w:i/>
          <w:iCs/>
        </w:rPr>
        <w:t>see Meacham v. Knolls Atomic Power Lab</w:t>
      </w:r>
      <w:r w:rsidR="00FE2756" w:rsidRPr="00FE2756">
        <w:rPr>
          <w:iCs/>
        </w:rPr>
        <w:t xml:space="preserve">., 554 U.S. 84, 87 (2008), the Court declared itself “satisfied that the business necessity test should have no place in ADEA disparate-impact cases,” </w:t>
      </w:r>
      <w:r w:rsidR="00FE2756" w:rsidRPr="002A70D7">
        <w:rPr>
          <w:i/>
          <w:iCs/>
        </w:rPr>
        <w:t>id</w:t>
      </w:r>
      <w:r w:rsidR="00FE2756" w:rsidRPr="00FE2756">
        <w:rPr>
          <w:iCs/>
        </w:rPr>
        <w:t>. at 97.</w:t>
      </w:r>
      <w:r w:rsidRPr="00FE2756">
        <w:t xml:space="preserve">  </w:t>
      </w:r>
    </w:p>
    <w:p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[plaintiff’</w:t>
      </w:r>
      <w:r w:rsidR="00983F47" w:rsidRPr="000F2ECD">
        <w:t xml:space="preserve">s] </w:t>
      </w:r>
      <w:r w:rsidRPr="000F2ECD">
        <w:t>[describe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11"/>
      </w:r>
      <w:r w:rsidR="00537019" w:rsidRPr="000F2ECD">
        <w:t xml:space="preserve"> </w:t>
      </w:r>
      <w:r w:rsidRPr="000F2ECD">
        <w:t xml:space="preserve">good faith belief that [plaintiff’s] [or someone else’s] rights under the Age Discrimination in Employment Act were violated.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19"/>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The ADEA provides a cause of action for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623(d). This section applies to protect employees in the private sector; the ADEA provision covering federal employees, </w:t>
      </w:r>
      <w:r w:rsidRPr="000F2ECD">
        <w:rPr>
          <w:i/>
          <w:iCs/>
        </w:rPr>
        <w:t>see</w:t>
      </w:r>
      <w:r w:rsidRPr="000F2ECD">
        <w:t xml:space="preserve"> 29 U.S.C. §633a(a), does not contain an explicit provision on retaliation.  However, the Supreme Court in </w:t>
      </w:r>
      <w:r w:rsidRPr="000F2ECD">
        <w:rPr>
          <w:i/>
          <w:iCs/>
        </w:rPr>
        <w:t>Gomez-Perez v. Potter,</w:t>
      </w:r>
      <w:r w:rsidRPr="000F2ECD">
        <w:t xml:space="preserve"> 128 S.Ct. 1931, 1943 (2008), held “that § 633a(a) prohibits retaliation against a federal employee who complains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w:t>
      </w:r>
      <w:r w:rsidR="00987D7D" w:rsidRPr="00987D7D">
        <w:t xml:space="preserve"> ; </w:t>
      </w:r>
      <w:r w:rsidR="00987D7D" w:rsidRPr="00BA6422">
        <w:rPr>
          <w:i/>
        </w:rPr>
        <w:t>Daniels v. Sch. Dist. of Philadelphia</w:t>
      </w:r>
      <w:r w:rsidR="00987D7D" w:rsidRPr="00987D7D">
        <w:t>, 776 F.3d 181, 192 (3d Cir. 2015) (addressing retaliation claims under Title VII, the ADEA, and the Pennsylvania Human Rights Act “together[,] as the circumstances of this case do not require that we make differing analyses”)</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rsidR="002B6809" w:rsidRPr="000F2ECD" w:rsidRDefault="00A53D1F" w:rsidP="00CF009D">
      <w:pPr>
        <w:numPr>
          <w:ilvl w:val="12"/>
          <w:numId w:val="0"/>
        </w:numPr>
        <w:spacing w:after="240"/>
        <w:ind w:firstLine="720"/>
      </w:pPr>
      <w:r w:rsidRPr="000F2ECD">
        <w:t>The most common activities protected from retaliation under the ADEA and Title VII are: 1) opposing or complaining about discrimination;</w:t>
      </w:r>
      <w:r w:rsidR="00046780">
        <w:rPr>
          <w:rStyle w:val="FootnoteReference"/>
        </w:rPr>
        <w:footnoteReference w:id="12"/>
      </w:r>
      <w:r w:rsidRPr="000F2ECD">
        <w:t xml:space="preserve"> 2) making a charge of employment discrimination; 3) testifying, assisting or participating in any manner in an investigation, proceeding or hearing under under the ADEA. See the discussion of protected activity in the Comment to Instruction 5.1.7. </w:t>
      </w:r>
      <w:r w:rsidRPr="000F2ECD">
        <w:rPr>
          <w:i/>
          <w:iCs/>
        </w:rPr>
        <w:t xml:space="preserve">See also Fasold v. Justice, </w:t>
      </w:r>
      <w:r w:rsidRPr="000F2ECD">
        <w:t xml:space="preserve">409 F.3d 178, 188 (3d Cir. 2005) (filing a complaint with the EEOC is protected activity); </w:t>
      </w:r>
      <w:r w:rsidRPr="000F2ECD">
        <w:rPr>
          <w:i/>
          <w:iCs/>
        </w:rPr>
        <w:t>Robinson v. City of Pittsburgh</w:t>
      </w:r>
      <w:r w:rsidRPr="000F2ECD">
        <w:t xml:space="preserve">, 120 F.3d 1286, </w:t>
      </w:r>
      <w:r w:rsidRPr="000F2ECD">
        <w:lastRenderedPageBreak/>
        <w:t xml:space="preserve">1299 (3d Cir. 1997) (filing discrimination complaint constitutes protected activity), </w:t>
      </w:r>
      <w:r w:rsidRPr="000F2ECD">
        <w:rPr>
          <w:i/>
          <w:iCs/>
        </w:rPr>
        <w:t xml:space="preserve">overruled on other grounds by Burlington N. &amp; S.F. Ry. Co. v. White, </w:t>
      </w:r>
      <w:r w:rsidR="00CF009D">
        <w:rPr>
          <w:iCs/>
        </w:rPr>
        <w:t>548 U.S. 53</w:t>
      </w:r>
      <w:r w:rsidRPr="000F2ECD">
        <w:t xml:space="preserve"> (2006); </w:t>
      </w:r>
      <w:r w:rsidRPr="000F2ECD">
        <w:rPr>
          <w:i/>
          <w:iCs/>
        </w:rPr>
        <w:t xml:space="preserve">Kachmar v. Sungard Data Sys., Inc., </w:t>
      </w:r>
      <w:r w:rsidRPr="000F2ECD">
        <w:t xml:space="preserve">109 F.3d 173, 177 (3rd Cir. 1997) (advocating equal treatment was protected activity); </w:t>
      </w:r>
      <w:r w:rsidRPr="000F2ECD">
        <w:rPr>
          <w:i/>
          <w:iCs/>
        </w:rPr>
        <w:t>Aman v. Cort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w:t>
      </w:r>
      <w:r w:rsidR="00CF009D">
        <w:t>548 U.S. 53, 68</w:t>
      </w:r>
      <w:r w:rsidRPr="000F2ECD">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CF009D">
        <w:t xml:space="preserve">internal quotation marks and </w:t>
      </w:r>
      <w:r w:rsidRPr="000F2ECD">
        <w:t>citations omitted).</w:t>
      </w:r>
      <w:r w:rsidR="00A40F99">
        <w:rPr>
          <w:rStyle w:val="FootnoteReference"/>
        </w:rPr>
        <w:footnoteReference w:id="13"/>
      </w:r>
      <w:r w:rsidRPr="000F2ECD">
        <w:t xml:space="preserve"> The Court elaborated on this standard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code for the American workplace." </w:t>
      </w:r>
      <w:r w:rsidRPr="000F2ECD">
        <w:rPr>
          <w:i/>
          <w:iCs/>
        </w:rPr>
        <w:t>Oncale</w:t>
      </w:r>
      <w:r w:rsidRPr="000F2ECD">
        <w:t xml:space="preserve"> v. </w:t>
      </w:r>
      <w:r w:rsidRPr="000F2ECD">
        <w:rPr>
          <w:i/>
          <w:iCs/>
        </w:rPr>
        <w:t>Sundowner Offshore Services, Inc.,</w:t>
      </w:r>
      <w:r w:rsidRPr="000F2EC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F2ECD">
        <w:rPr>
          <w:i/>
          <w:iCs/>
        </w:rPr>
        <w:t>e.g.</w:t>
      </w:r>
      <w:r w:rsidRPr="000F2ECD">
        <w:t xml:space="preserve">, [Pennsylvania State Police v.] </w:t>
      </w:r>
      <w:r w:rsidRPr="000F2ECD">
        <w:rPr>
          <w:i/>
          <w:iCs/>
        </w:rPr>
        <w:t>Suders,</w:t>
      </w:r>
      <w:r w:rsidRPr="000F2ECD">
        <w:t xml:space="preserve"> 542 U.S., at 141, 124 S. Ct. 2342, 159 L. Ed. 2d 204 (constructive discharge doctrine); </w:t>
      </w:r>
      <w:r w:rsidRPr="000F2ECD">
        <w:rPr>
          <w:i/>
          <w:iCs/>
        </w:rPr>
        <w:t>Harris</w:t>
      </w:r>
      <w:r w:rsidRPr="000F2ECD">
        <w:t xml:space="preserve"> v. </w:t>
      </w:r>
      <w:r w:rsidRPr="000F2ECD">
        <w:rPr>
          <w:i/>
          <w:iCs/>
        </w:rPr>
        <w:t>Forklift Systems, Inc.,</w:t>
      </w:r>
      <w:r w:rsidRPr="000F2ECD">
        <w:t xml:space="preserve"> 510 U.S. 17, 21, 114 S. Ct. 367, 126 L. Ed. 2d 295 (1993) (hostile work environment doctrine).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w:t>
      </w:r>
      <w:r w:rsidRPr="000F2ECD">
        <w:lastRenderedPageBreak/>
        <w:t>capturing those acts that are likely to dissuade employees from complaining or assisting in complaints about discrimination.</w:t>
      </w:r>
    </w:p>
    <w:p w:rsidR="00756103" w:rsidRPr="000F2ECD" w:rsidRDefault="009028DC"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548 U.S. at 68-70</w:t>
      </w:r>
      <w:r w:rsidR="00A53D1F" w:rsidRPr="000F2ECD">
        <w:t xml:space="preserve"> (some citations omitted).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S.Ct.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See, e.g., Nelson v. Upsala College</w:t>
      </w:r>
      <w:r w:rsidRPr="000F2ECD">
        <w:t xml:space="preserve">, 51 F.3d 383, 386 (3d Cir.1995)(requiring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xml:space="preserve">, 584 F.2d 1221 (3d Cir. 1978) (en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w:t>
      </w:r>
      <w:r w:rsidRPr="000F2ECD">
        <w:lastRenderedPageBreak/>
        <w:t xml:space="preserve">retaliation against that employee might well dissuade a reasonable worker from engaging in protected activity.  </w:t>
      </w:r>
      <w:r w:rsidRPr="000F2ECD">
        <w:rPr>
          <w:i/>
          <w:iCs/>
        </w:rPr>
        <w:t xml:space="preserve">See id. </w:t>
      </w:r>
      <w:r w:rsidRPr="000F2ECD">
        <w:t xml:space="preserve">at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xml:space="preserve">, 131 S. Ct. at 869 (analyzing language in 42 U.S.C. § 2000e-5(f)(1) stating that “a civil action may be brought ... by the person claiming to be aggrieved”).  The ADEA contains similar language.  </w:t>
      </w:r>
      <w:r w:rsidRPr="000F2ECD">
        <w:rPr>
          <w:i/>
          <w:iCs/>
        </w:rPr>
        <w:t xml:space="preserve">See </w:t>
      </w:r>
      <w:r w:rsidRPr="000F2ECD">
        <w:t xml:space="preserve">29 U.S.C. § 626(c)(1)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r w:rsidRPr="000F2ECD">
        <w:rPr>
          <w:i/>
          <w:iCs/>
        </w:rPr>
        <w:t>Fogleman v. Mercy Hosp., Inc.</w:t>
      </w:r>
      <w:r w:rsidRPr="000F2ECD">
        <w:t>, 283 F.3d 561, 570 (3d Cir. 2002).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seems equally applicable to 29 U.S.C. § 636(d) (the ADEA’s anti-retaliation provision).  And this view also seems consistent with the Court’s more recent decision in </w:t>
      </w:r>
      <w:r w:rsidRPr="000F2ECD">
        <w:rPr>
          <w:i/>
          <w:iCs/>
        </w:rPr>
        <w:t>University of Texas Southwestern Medical Center v. Nassar</w:t>
      </w:r>
      <w:r w:rsidRPr="000F2ECD">
        <w:t xml:space="preserve">, 133 S. Ct. 2517, 2528 (2013) (holding “that Title VII retaliation claims require proof that the desire to retaliate was the but-for cause of the challenged employment action”); </w:t>
      </w:r>
      <w:r w:rsidRPr="000F2ECD">
        <w:rPr>
          <w:i/>
          <w:iCs/>
        </w:rPr>
        <w:t>id</w:t>
      </w:r>
      <w:r w:rsidRPr="000F2ECD">
        <w:t>. at 2531-32 (discussing policy concerns relating to the standard of proof for retaliation claims).  Accordingly, Instruction 8.1.5 requires the plaintiff to prove that the plaintiff’s protected activity had a determinative effect on the defendant’s retaliatory activity.</w:t>
      </w:r>
    </w:p>
    <w:p w:rsidR="00543005" w:rsidRPr="00543005"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43005">
        <w:rPr>
          <w:i/>
        </w:rPr>
        <w:t>Non-retaliatory Reason; Pretext</w:t>
      </w:r>
      <w:r w:rsidRPr="00543005">
        <w:rPr>
          <w:i/>
        </w:rPr>
        <w:tab/>
      </w:r>
    </w:p>
    <w:p w:rsidR="00E23C8A" w:rsidRPr="000F2ECD"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As with other types of discrimination or retaliation claims, the defendant may proffer a non-retaliatory reason for its employment decision, and the plaintiff may seek to rebut that reason by showing that it was really a cover-up for retaliation. </w:t>
      </w:r>
      <w:r w:rsidRPr="000F44F9">
        <w:rPr>
          <w:i/>
        </w:rPr>
        <w:t>See, e.g.</w:t>
      </w:r>
      <w:r>
        <w:t xml:space="preserve">, </w:t>
      </w:r>
      <w:r w:rsidRPr="000F44F9">
        <w:rPr>
          <w:i/>
        </w:rPr>
        <w:t>Daniels v. School District of Philadelphia</w:t>
      </w:r>
      <w:r>
        <w:t>, 776 F.3d 181, 198 (3d Cir. 2015) (upholding grant of summary judgment against plaintiff on retaliation claims under, inter alia, the ADEA, because the defendant had “proffered legitimate reasons for [its] adverse actions, which Daniels has failed to rebut”).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Employer’s Attitude Toward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relevance of an employer’s attitude toward an employee who engaged in protected activity, see </w:t>
      </w:r>
      <w:r w:rsidRPr="000F2ECD">
        <w:rPr>
          <w:i/>
          <w:iCs/>
        </w:rPr>
        <w:t xml:space="preserve">Fasold v. Justice, </w:t>
      </w:r>
      <w:r w:rsidRPr="000F2ECD">
        <w:t xml:space="preserve">409 F.3d 178, 190 (3d Cir. 2005) (reversing a grant of summary judgment for an employer on an ADEA retaliation claim and noting that “we cannot discount the possibility that [the supervisor’s] irritation with Fasold’s pending administrative claims influenced the calculus [the supervisor] made in his decision to deny the Level II grievance.”).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lastRenderedPageBreak/>
        <w:t>Retaliation Against Perceived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Fogleman v. Mercy Hospital, Inc., </w:t>
      </w:r>
      <w:r w:rsidRPr="000F2ECD">
        <w:t xml:space="preserve">283 F.3d 561, 562 (3d Cir. 2002), an ADA case, the court declared that the retaliation provisions in the ADEA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0F2ECD">
        <w:rPr>
          <w:i/>
          <w:iCs/>
        </w:rPr>
        <w:t>Fogleman.</w:t>
      </w:r>
    </w:p>
    <w:p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20"/>
          <w:pgSz w:w="12240" w:h="15840"/>
          <w:pgMar w:top="1440" w:right="1440" w:bottom="1008" w:left="1440" w:header="81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See Instruction 5.2.1. </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21"/>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r w:rsidRPr="000F2ECD">
        <w:rPr>
          <w:i/>
          <w:iCs/>
        </w:rPr>
        <w:t>Duffy v. Paper Magic Group, Inc.</w:t>
      </w:r>
      <w:r w:rsidRPr="000F2ECD">
        <w:t>, 265 F.3d 163, 167 (3d Cir. 2001).  Instruction 8.2.2 is substantively identical to the constructive discharge instruction for Title VII actions. See Instruction 5.2.2.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8.1.2 (with respect to the instruction’s sixth element).   Assuming that the Title VII framework concerning employer liability for harassment applies to ADEA actions, the employer’s ability to assert an </w:t>
      </w:r>
      <w:r w:rsidRPr="000F2ECD">
        <w:rPr>
          <w:i/>
          <w:iCs/>
        </w:rPr>
        <w:t xml:space="preserve">Ellerth/Faragher </w:t>
      </w:r>
      <w:r w:rsidRPr="000F2ECD">
        <w:t xml:space="preserve">affirmative defense in a constructive discharge case will depend on whether the constructive discharge resulted from actions that were sanctioned by the employer.  </w:t>
      </w:r>
      <w:r w:rsidRPr="000F2ECD">
        <w:rPr>
          <w:i/>
          <w:iCs/>
        </w:rPr>
        <w:t>See Pennsylvania State Police v. Suders</w:t>
      </w:r>
      <w:r w:rsidRPr="000F2ECD">
        <w:t xml:space="preserve">, 542 U.S. 129, 140-41 (2004) (“[A]n employer does not have recourse to the </w:t>
      </w:r>
      <w:r w:rsidR="00983F47" w:rsidRPr="000F2ECD">
        <w:rPr>
          <w:i/>
          <w:iCs/>
        </w:rPr>
        <w:t>Ellerth/</w:t>
      </w:r>
      <w:r w:rsidRPr="000F2ECD">
        <w:rPr>
          <w:i/>
          <w:iCs/>
        </w:rPr>
        <w:t xml:space="preserve">Faragher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22"/>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4(f)(1) of the ADEA provides that it is not unlawful for an employer to take an action otherwise prohibited by the Act if “age is a bona fide occupational qualification reasonably necessary to the normal operation of the particular business.” 29 U.S.C. § 629(f)(1). This language is identical to that provided in Title VII. Accordingly, the instruction is substantively identical to Instruction 5.3.1, which covers the BFOQ defense in Title VII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23"/>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 xml:space="preserve">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623(f)(2)(A). Thus the seniority system will be invalid if it is dependent on age rather than seniority.  </w:t>
      </w:r>
      <w:r w:rsidRPr="000F2ECD">
        <w:rPr>
          <w:i/>
          <w:iCs/>
        </w:rPr>
        <w:t xml:space="preserve">See Hazen Paper Co. v. Biggins, </w:t>
      </w:r>
      <w:r w:rsidRPr="000F2ECD">
        <w:t xml:space="preserve">507 U.S. 604, 616 (1993) (rejecting a claim of age discrimination where the challenged employment practice was the product of a bona fide seniority system). </w:t>
      </w:r>
      <w:r w:rsidRPr="000F2ECD">
        <w:rPr>
          <w:i/>
          <w:iCs/>
        </w:rPr>
        <w:t>See also Dalton v. Mercer County Board of Educ</w:t>
      </w:r>
      <w:r w:rsidRPr="000F2ECD">
        <w:t>., 887 F.2d 490, 492 (4th Cir.1989) (choosing an applicant with the most seniority pursuant to a bona fide statutory seniority system is not a violation of ADEA).</w:t>
      </w:r>
    </w:p>
    <w:p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xml:space="preserve">, 65 F.3d 838, 842 (10th Cir.1995) (challenges of age discrimination to bona fide seniority systems must rest upon claim of disparate treatment rather than disparate impact).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was knowing and voluntary. The fact that the agreement complies with the minimum standards of Federal law does not necessarily mean that the waiver was knowing and voluntary.] </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Older Workers Benefit Protection Act (OWBPA) permits workers to sign releases of ADEA claims, provided the waiver is knowing and voluntary and the minimum standards of the OWBPA are met. 29 U.S.C.A. § 626(f)(1).</w:t>
      </w:r>
      <w:r w:rsidR="00782D48">
        <w:rPr>
          <w:rStyle w:val="FootnoteReference"/>
        </w:rPr>
        <w:footnoteReference w:id="14"/>
      </w:r>
      <w:r w:rsidRPr="000F2ECD">
        <w:t xml:space="preserve"> The proponent of the release has the burden to prove </w:t>
      </w:r>
      <w:r w:rsidRPr="000F2ECD">
        <w:lastRenderedPageBreak/>
        <w:t xml:space="preserve">that the minimum statutory requirements for the release have been satisfied. </w:t>
      </w:r>
      <w:r w:rsidRPr="000F2ECD">
        <w:rPr>
          <w:i/>
          <w:iCs/>
        </w:rPr>
        <w:t xml:space="preserve">See Ruehl v. Viacom, Inc., </w:t>
      </w:r>
      <w:r w:rsidRPr="000F2ECD">
        <w:t xml:space="preserve"> 500 F.3d 375, 381 (3d Cir. 2007) (waiver invalid where employer could not establish that the employee was provided the necessary information required by the OWBPA: “Having the employee </w:t>
      </w:r>
      <w:r w:rsidRPr="000F2ECD">
        <w:rPr>
          <w:i/>
          <w:iCs/>
        </w:rPr>
        <w:t>say</w:t>
      </w:r>
      <w:r w:rsidRPr="000F2ECD">
        <w:t xml:space="preserve"> he was informed in writing — when he was not — does not satisfy the OWBPA requirements.”) (emphasis in original). The minimum statutory requirements for a valid waiver are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626(f)(1).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Wastak v. Lehigh Valley Health Network, </w:t>
      </w:r>
      <w:r w:rsidRPr="000F2ECD">
        <w:t xml:space="preserve">342 F.3d 281, 295, n.8 (3d Cir. 2003) (noting that the OWBPA establishes “a floor, not a ceiling”). Whether a waiver is knowing and voluntary is determined by a totality of the circumstances. </w:t>
      </w:r>
      <w:r w:rsidRPr="000F2ECD">
        <w:rPr>
          <w:i/>
          <w:iCs/>
        </w:rPr>
        <w:t>See Bennett v. Coors Brewing Co.</w:t>
      </w:r>
      <w:r w:rsidRPr="000F2ECD">
        <w:t xml:space="preserve">, 189 F.3d 1221, 1229 (10th Cir.1999)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xml:space="preserve">., 62 F.3d 368, 373-74 (11th Cir.1995) (validity of waiver of ADEA claims must be determined under the totality of the circumstances).  But if the waiver agreement on its face meets the minimum statutory requirements of OWBPA, 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 xml:space="preserve">Pierce v. Atchison Topeka </w:t>
      </w:r>
      <w:r w:rsidRPr="000F2ECD">
        <w:rPr>
          <w:i/>
          <w:iCs/>
        </w:rPr>
        <w:lastRenderedPageBreak/>
        <w:t>&amp; Santa Fe Ry.</w:t>
      </w:r>
      <w:r w:rsidRPr="000F2ECD">
        <w:t>, 110 F.3d 431, 438 (7</w:t>
      </w:r>
      <w:r w:rsidRPr="000F2ECD">
        <w:rPr>
          <w:vertAlign w:val="superscript"/>
        </w:rPr>
        <w:t>th</w:t>
      </w:r>
      <w:r w:rsidRPr="000F2ECD">
        <w:t xml:space="preserve"> Cir.1997), explained why the plaintiff has a burden of production when contending that a release conforming with the statute was not knowing and voluntary: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was knowing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requirements, it is the defendant’s burden to prove that the release was knowing and voluntary once the plaintiff’s burden of production is met.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r w:rsidRPr="000F2ECD">
        <w:rPr>
          <w:i/>
          <w:iCs/>
        </w:rPr>
        <w:t>Oubre v. Entergy Operations, Inc</w:t>
      </w:r>
      <w:r w:rsidRPr="000F2ECD">
        <w:t>., 522 U.S. 422, 427-28 (1998).</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5"/>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General compensatory damages, such as for pain and suffering, are not recoverable in ADEA actions.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xml:space="preserve">, 584 F.2d 1221 (3d Cir. 1978) (en banc); </w:t>
      </w:r>
      <w:r w:rsidRPr="000F2ECD">
        <w:rPr>
          <w:i/>
          <w:iCs/>
        </w:rPr>
        <w:t xml:space="preserve">Haskell v. Kaman Corp., </w:t>
      </w:r>
      <w:r w:rsidRPr="000F2ECD">
        <w:t>743 F.2d 113, 120-21 (2d Cir. 1984) (“plaintiffs are not entitled to recovery for emotional distress in ADEA actions”).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The ADEA mandates an award for back pay and liquidated damages,  and permits an award for front pay. See Instructions 8.4.2 - 8.4.4 for instructions covering these awards.</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r w:rsidRPr="000F2ECD">
        <w:rPr>
          <w:b/>
          <w:bCs/>
        </w:rPr>
        <w:t xml:space="preserve">  </w:t>
      </w:r>
      <w:r w:rsidRPr="000F2ECD">
        <w:rPr>
          <w:b/>
          <w:bCs/>
          <w:sz w:val="28"/>
          <w:szCs w:val="28"/>
        </w:rPr>
        <w:t>ADEA Damages —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6"/>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backpay is a matter of equitable discretion, and holding that in a private action under the ADEA a trial by jury is available where sought by one of the parties); </w:t>
      </w:r>
      <w:r w:rsidRPr="000F2ECD">
        <w:rPr>
          <w:i/>
          <w:iCs/>
        </w:rPr>
        <w:t xml:space="preserve">Anastasio v. Schering Corp., </w:t>
      </w:r>
      <w:r w:rsidRPr="000F2ECD">
        <w:t xml:space="preserve">838 F.2d 701 (3d Cir. 1988) (distinguishing the ADEA, where back pay is a mandatory element of damages, from the discretionary back pay remedy in Title VII).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McKennon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0F2ECD">
        <w:rPr>
          <w:i/>
          <w:iCs/>
        </w:rPr>
        <w:t>See also Mardell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0F2ECD">
        <w:rPr>
          <w:i/>
          <w:iCs/>
        </w:rPr>
        <w:t xml:space="preserve">McKennon </w:t>
      </w:r>
      <w:r w:rsidRPr="000F2ECD">
        <w:t xml:space="preserve">and </w:t>
      </w:r>
      <w:r w:rsidRPr="000F2ECD">
        <w:rPr>
          <w:i/>
          <w:iCs/>
        </w:rPr>
        <w:t>Mardell</w:t>
      </w:r>
      <w:r w:rsidRPr="000F2ECD">
        <w:t xml:space="preserve"> observe that the defendant has the burden of showing that it would have made the same employment decision when it became aware of the post-decision evidence of the employee’s misconduct.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r w:rsidRPr="000F2ECD">
        <w:rPr>
          <w:i/>
          <w:iCs/>
        </w:rPr>
        <w:t xml:space="preserve">Maxfield v. Sinclair Int’l, </w:t>
      </w:r>
      <w:r w:rsidRPr="000F2ECD">
        <w:t xml:space="preserve">766 F.2d 788 (3d Cir. 1985) (social security benefits cannot be offset as an award of backpay is a mandatory element of damages under the ADEA). In contrast, courts have held that the ADEA does require interim earnings to be deducted from back pay awards. Id.  The instruction reflects these legal standards.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0F2ECD">
        <w:rPr>
          <w:i/>
          <w:iCs/>
        </w:rPr>
        <w:t>Id.</w:t>
      </w:r>
      <w:r w:rsidRPr="000F2EC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r w:rsidRPr="000F2ECD">
        <w:rPr>
          <w:i/>
          <w:iCs/>
        </w:rPr>
        <w:t>Id.</w:t>
      </w:r>
      <w:r w:rsidRPr="000F2ECD">
        <w:t xml:space="preserve"> at 657.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at 658 (distinguishing </w:t>
      </w:r>
      <w:r w:rsidRPr="000F2ECD">
        <w:rPr>
          <w:i/>
          <w:iCs/>
        </w:rPr>
        <w:t>Fisher v. City of Memphis</w:t>
      </w:r>
      <w:r w:rsidRPr="000F2ECD">
        <w:t xml:space="preserve">, 234 F.3d 312, 319 (6th Cir. 2000), and </w:t>
      </w:r>
      <w:r w:rsidRPr="000F2ECD">
        <w:rPr>
          <w:i/>
          <w:iCs/>
        </w:rPr>
        <w:t xml:space="preserve">Brooks v. Cook, </w:t>
      </w:r>
      <w:r w:rsidRPr="000F2ECD">
        <w:t>938 F.2d 1048, 1051 (9th Cir. 1991)).</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r w:rsidRPr="000F2ECD">
        <w:rPr>
          <w:b/>
          <w:bCs/>
        </w:rPr>
        <w:t xml:space="preserve">.  </w:t>
      </w:r>
      <w:r w:rsidRPr="000F2ECD">
        <w:rPr>
          <w:b/>
          <w:bCs/>
          <w:sz w:val="28"/>
          <w:szCs w:val="28"/>
        </w:rPr>
        <w:t>ADEA Damages — Liquidated Damages</w:t>
      </w:r>
      <w:r w:rsidRPr="000F2ECD">
        <w:rPr>
          <w:b/>
          <w:bCs/>
          <w:i/>
          <w:iCs/>
          <w:sz w:val="28"/>
          <w:szCs w:val="28"/>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is entitled to recover damages for lost wages or benefits, you must determine if [defendant's] conduct was willful. If you find that [defendant] willfully violated the law, then you must award plaintiff double the amount of damages for lost wages and benefits that you have found. [Plaintiff] has the burden of proving willfulness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and you cannot award double the amount of damages for lost wages and benefits. </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7"/>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xml:space="preserve">, 584 F.2d 1221 (3d Cir. 1978) (en banc).  29 U.S.C. § 626(b) instead incorporates the liquidated damages provision of the Fair Labor Standards Act, 29 U.S.C. § 216(b). The statute provides that doubling of damages is mandatory if there is a finding that the defendant willfully violated the law. </w:t>
      </w:r>
      <w:r w:rsidRPr="000F2ECD">
        <w:rPr>
          <w:i/>
          <w:iCs/>
        </w:rPr>
        <w:t>Cf. Marrow v. Allstate Sec. &amp; Investigative Services, Inc.</w:t>
      </w:r>
      <w:r w:rsidRPr="000F2ECD">
        <w:t xml:space="preserve">, 167 F.Supp.2d 838, 841 (E.D.Pa. 2001) (holding that punitive damages are available for claims of retaliation under the Equal Pay Act and Fair Labor Standards Act, and distinguishing ADEA actions, where punitive damages are not available for any claim).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The Court held that a willful violation could not be found under the circumstances, as the company had sought advice of counsel in advance of the implementation of the policy, and was told that the policy would not violate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Where an employer makes a decision such as termination of an employee because of age, the employer will or should have known that the conduct violated the Act. Nonetheless, in order that the liquidated damages be based on evidence that does not merely duplicate that needed for the compensatory damages, there must be some additional evidence of outrageous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Biggins,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If an employer incorrectly but in good faith and nonrecklessly believes that the statute permits a particular age-based decision, then liquidated damages should not be imposed.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w:t>
      </w:r>
      <w:r w:rsidRPr="000F2ECD">
        <w:lastRenderedPageBreak/>
        <w:t xml:space="preserve">ADEA to hold that, in cases where an employer more likely knows its conduct to be illegal, knowledge alone does not suffice for liquidated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507 U.S. at 616. Accordingly, the instruction does not include any requirement that the defendant’s conduct must have been outrageous. </w:t>
      </w:r>
      <w:r w:rsidRPr="000F2ECD">
        <w:rPr>
          <w:i/>
          <w:iCs/>
        </w:rPr>
        <w:t xml:space="preserve">See Starceski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r w:rsidRPr="000F2ECD">
        <w:rPr>
          <w:i/>
          <w:iCs/>
        </w:rPr>
        <w:t xml:space="preserve">Potence v. Hazleton Area School District, </w:t>
      </w:r>
      <w:r w:rsidRPr="000F2ECD">
        <w:t>357 F.3d 366 (3d Cir. 2004), the court held that the ADEA authorizes the imposition of liquidated damages against government employers who engage in willful age discrimination.</w:t>
      </w:r>
    </w:p>
    <w:p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r w:rsidRPr="000F2ECD">
        <w:rPr>
          <w:b/>
          <w:bCs/>
        </w:rPr>
        <w:t xml:space="preserve">  </w:t>
      </w:r>
      <w:r w:rsidRPr="000F2ECD">
        <w:rPr>
          <w:b/>
          <w:bCs/>
          <w:sz w:val="28"/>
          <w:szCs w:val="28"/>
        </w:rPr>
        <w:t>ADEA Damages — Front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8"/>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ab/>
        <w:t xml:space="preserve">Front pay may be awarded if reinstatement is not possible. In </w:t>
      </w:r>
      <w:r w:rsidRPr="000F2ECD">
        <w:rPr>
          <w:i/>
          <w:iCs/>
        </w:rPr>
        <w:t xml:space="preserve">Maxfield v. Sinclair Int’l, </w:t>
      </w:r>
      <w:r w:rsidRPr="000F2ECD">
        <w:t>766 F.2d 788, 795-96 (3d Cir. 1985), the court  rejected the defendant’s argument that an award of front pay is not permitted in an ADEA action, and discussed the role of a front pay award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ADEA, . . .  the line of cases we find most persuasive allows such an award. As Judge Weinfeld wrote in </w:t>
      </w:r>
      <w:r w:rsidRPr="000F2ECD">
        <w:rPr>
          <w:i/>
          <w:iCs/>
        </w:rPr>
        <w:t>Koyen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29 U.S.C. § 626(b). The inclusion of equitable relief strengthens the conclusion that Congress intended victims of age discrimination to be made whole by restoring them to the position they would have been in had the discrimination never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backpay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r w:rsidRPr="000F2ECD">
        <w:rPr>
          <w:i/>
          <w:iCs/>
        </w:rPr>
        <w:t xml:space="preserve">Maxfield, supra, </w:t>
      </w:r>
      <w:r w:rsidRPr="000F2ECD">
        <w:t xml:space="preserve">the court declared that once the court finds that reinstatement is not feasible, it is for the jury to determine the amount of “damages” available as front pay. Thus, it appears in the Third Circuit </w:t>
      </w:r>
      <w:r w:rsidRPr="000F2ECD">
        <w:lastRenderedPageBreak/>
        <w:t xml:space="preserve">that the parties have the right to a jury trial to determine the amount of front pay — though this is not the case in actions brought under Title VII or Section 1981.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A person whose federal rights were violated is entitled to a recognition of that violation, even if [he] suffered no compensable injury.  Nominal damages (of $1.00) are designed to acknowledge the deprivation of a federal right, even where no compensable injury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29"/>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“[n]ominal damages normally are not appropriate in ADEA cases” and explains as follows:</w:t>
      </w:r>
    </w:p>
    <w:p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r w:rsidRPr="000F2ECD">
        <w:rPr>
          <w:i/>
          <w:iCs/>
        </w:rPr>
        <w:t>Drez v. E.R. Squibb &amp; Sons, Inc.</w:t>
      </w:r>
      <w:r w:rsidRPr="000F2ECD">
        <w:t xml:space="preserve">, 674 F. Supp. 1432, 1438 (D. Kan. 1987) (ADEA); </w:t>
      </w:r>
      <w:r w:rsidRPr="000F2ECD">
        <w:rPr>
          <w:i/>
          <w:iCs/>
        </w:rPr>
        <w:t>Graefenhain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A3" w:rsidRDefault="007B48A3">
      <w:r>
        <w:separator/>
      </w:r>
    </w:p>
  </w:endnote>
  <w:endnote w:type="continuationSeparator" w:id="0">
    <w:p w:rsidR="007B48A3" w:rsidRDefault="007B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03" w:rsidRDefault="006B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FC6D6A">
      <w:rPr>
        <w:rFonts w:ascii="Century Schoolbook" w:hAnsi="Century Schoolbook"/>
        <w:i/>
        <w:iCs/>
      </w:rPr>
      <w:t>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03" w:rsidRDefault="006B76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FC6D6A">
      <w:rPr>
        <w:rFonts w:ascii="Century Schoolbook" w:hAnsi="Century Schoolbook"/>
        <w:i/>
        <w:iCs/>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A3" w:rsidRDefault="007B48A3">
      <w:r>
        <w:separator/>
      </w:r>
    </w:p>
  </w:footnote>
  <w:footnote w:type="continuationSeparator" w:id="0">
    <w:p w:rsidR="007B48A3" w:rsidRDefault="007B48A3">
      <w:r>
        <w:continuationSeparator/>
      </w:r>
    </w:p>
  </w:footnote>
  <w:footnote w:id="1">
    <w:p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at 110 (“Congress intended the ADEA to be the exclusive remedy for claims of age discrimination in employment.”).</w:t>
      </w:r>
    </w:p>
  </w:footnote>
  <w:footnote w:id="2">
    <w:p w:rsidR="0048254A" w:rsidRDefault="0048254A">
      <w:pPr>
        <w:pStyle w:val="FootnoteText"/>
      </w:pPr>
      <w:r>
        <w:rPr>
          <w:rStyle w:val="FootnoteReference"/>
        </w:rPr>
        <w:footnoteRef/>
      </w:r>
      <w:r>
        <w:t xml:space="preserve"> </w:t>
      </w:r>
      <w:r w:rsidR="00BC7C5F" w:rsidRPr="00BC7C5F">
        <w:rPr>
          <w:i/>
          <w:sz w:val="24"/>
          <w:szCs w:val="24"/>
        </w:rPr>
        <w:t>See, e.g</w:t>
      </w:r>
      <w:r w:rsidR="00BC7C5F" w:rsidRPr="00BC7C5F">
        <w:rPr>
          <w:sz w:val="24"/>
          <w:szCs w:val="24"/>
        </w:rPr>
        <w:t xml:space="preserve">., </w:t>
      </w:r>
      <w:r w:rsidR="00BC7C5F" w:rsidRPr="00BC7C5F">
        <w:rPr>
          <w:i/>
          <w:sz w:val="24"/>
          <w:szCs w:val="24"/>
        </w:rPr>
        <w:t>C.I.R. v. Schleier</w:t>
      </w:r>
      <w:r w:rsidR="00BC7C5F" w:rsidRPr="00BC7C5F">
        <w:rPr>
          <w:sz w:val="24"/>
          <w:szCs w:val="24"/>
        </w:rPr>
        <w:t xml:space="preserve">, 515 U.S. 323, 325-26 (1995) (observing that “[t]he ADEA incorporates many of the enforcement and remedial mechanisms of the” FLSA, but also noting distinctions between the two statutory schemes), </w:t>
      </w:r>
      <w:r w:rsidR="00BC7C5F" w:rsidRPr="00BC7C5F">
        <w:rPr>
          <w:i/>
          <w:sz w:val="24"/>
          <w:szCs w:val="24"/>
        </w:rPr>
        <w:t>superseded by statute on other grounds as noted in Eshelman v. Agere Sys., Inc</w:t>
      </w:r>
      <w:r w:rsidR="00BC7C5F" w:rsidRPr="00BC7C5F">
        <w:rPr>
          <w:sz w:val="24"/>
          <w:szCs w:val="24"/>
        </w:rPr>
        <w:t xml:space="preserve">., 554 F.3d 426, 441 (3d Cir. 2009); </w:t>
      </w:r>
      <w:r w:rsidR="00BC7C5F" w:rsidRPr="00BC7C5F">
        <w:rPr>
          <w:i/>
          <w:sz w:val="24"/>
          <w:szCs w:val="24"/>
        </w:rPr>
        <w:t>Halle v. W. Penn Allegheny Health Sys. Inc.</w:t>
      </w:r>
      <w:r w:rsidR="00BC7C5F" w:rsidRPr="00BC7C5F">
        <w:rPr>
          <w:sz w:val="24"/>
          <w:szCs w:val="24"/>
        </w:rPr>
        <w:t>, 842 F.3d 215, 224 n.8 (3d Cir. 2016) (observing that “the ADEA incorporates enforcement provisions of the FLSA, including the collective action provisions of 29 U.S.C. §</w:t>
      </w:r>
      <w:r w:rsidR="00BC7C5F">
        <w:rPr>
          <w:sz w:val="24"/>
          <w:szCs w:val="24"/>
        </w:rPr>
        <w:t> </w:t>
      </w:r>
      <w:r w:rsidR="00BC7C5F" w:rsidRPr="00BC7C5F">
        <w:rPr>
          <w:sz w:val="24"/>
          <w:szCs w:val="24"/>
        </w:rPr>
        <w:t>216(b)”).</w:t>
      </w:r>
    </w:p>
  </w:footnote>
  <w:footnote w:id="3">
    <w:p w:rsidR="00301EA4" w:rsidRDefault="00301EA4">
      <w:pPr>
        <w:pStyle w:val="FootnoteText"/>
      </w:pPr>
      <w:r>
        <w:rPr>
          <w:rStyle w:val="FootnoteReference"/>
        </w:rPr>
        <w:footnoteRef/>
      </w:r>
      <w:r>
        <w:t xml:space="preserve"> </w:t>
      </w:r>
      <w:r w:rsidRPr="00301EA4">
        <w:rPr>
          <w:sz w:val="24"/>
          <w:szCs w:val="24"/>
        </w:rPr>
        <w:t xml:space="preserve">“The elements of a </w:t>
      </w:r>
      <w:r w:rsidRPr="00301EA4">
        <w:rPr>
          <w:i/>
          <w:sz w:val="24"/>
          <w:szCs w:val="24"/>
        </w:rPr>
        <w:t>prima facie</w:t>
      </w:r>
      <w:r w:rsidRPr="00301EA4">
        <w:rPr>
          <w:sz w:val="24"/>
          <w:szCs w:val="24"/>
        </w:rPr>
        <w:t xml:space="preserve"> case of age discrimination are that: (1) the plaintiff is at least forty years old; (2) the plaintiff suffered an adverse employment decision; (3) the plaintiff was qualified for the position in question; and (4) the plaintiff was ultimately replaced by another employee who was sufficiently younger so as to support an inference of a discriminatory motive.” </w:t>
      </w:r>
      <w:r w:rsidRPr="00301EA4">
        <w:rPr>
          <w:i/>
          <w:sz w:val="24"/>
          <w:szCs w:val="24"/>
        </w:rPr>
        <w:t>Willis v. UPMC Children's Hosp. of Pittsburgh</w:t>
      </w:r>
      <w:r w:rsidRPr="00301EA4">
        <w:rPr>
          <w:sz w:val="24"/>
          <w:szCs w:val="24"/>
        </w:rPr>
        <w:t xml:space="preserve">, 808 F.3d 638, 644 (3d Cir. 2015). But the test “is not ‘intended to be rigid’”; “[w]here the plaintiff is not directly replaced, the fourth element is satisfied if the plaintiff can provide facts which ‘if otherwise unexplained, are more likely than not based on the consideration of impermissible factors.’” </w:t>
      </w:r>
      <w:r w:rsidRPr="00301EA4">
        <w:rPr>
          <w:i/>
          <w:sz w:val="24"/>
          <w:szCs w:val="24"/>
        </w:rPr>
        <w:t>Id</w:t>
      </w:r>
      <w:r w:rsidRPr="00301EA4">
        <w:rPr>
          <w:sz w:val="24"/>
          <w:szCs w:val="24"/>
        </w:rPr>
        <w:t xml:space="preserve">. (quoting </w:t>
      </w:r>
      <w:r w:rsidRPr="00301EA4">
        <w:rPr>
          <w:i/>
          <w:sz w:val="24"/>
          <w:szCs w:val="24"/>
        </w:rPr>
        <w:t>Pivirotto v. Innovative Sys., Inc.</w:t>
      </w:r>
      <w:r w:rsidRPr="00301EA4">
        <w:rPr>
          <w:sz w:val="24"/>
          <w:szCs w:val="24"/>
        </w:rPr>
        <w:t xml:space="preserve">, 191 F.3d 344, 352 (3d Cir. 1999) (quoting </w:t>
      </w:r>
      <w:r w:rsidRPr="00301EA4">
        <w:rPr>
          <w:i/>
          <w:sz w:val="24"/>
          <w:szCs w:val="24"/>
        </w:rPr>
        <w:t>Furnco Const. Corp. v. Waters</w:t>
      </w:r>
      <w:r w:rsidRPr="00301EA4">
        <w:rPr>
          <w:sz w:val="24"/>
          <w:szCs w:val="24"/>
        </w:rPr>
        <w:t>, 438 U.S. 567, 577 (1978))).</w:t>
      </w:r>
    </w:p>
  </w:footnote>
  <w:footnote w:id="4">
    <w:p w:rsidR="00633254" w:rsidRPr="00633254" w:rsidRDefault="00633254" w:rsidP="00633254">
      <w:pPr>
        <w:pStyle w:val="FootnoteText"/>
        <w:rPr>
          <w:sz w:val="24"/>
          <w:szCs w:val="24"/>
        </w:rPr>
      </w:pPr>
      <w:r>
        <w:rPr>
          <w:rStyle w:val="FootnoteReference"/>
        </w:rPr>
        <w:footnoteRef/>
      </w:r>
      <w:r>
        <w:t xml:space="preserve"> </w:t>
      </w:r>
      <w:r w:rsidRPr="00633254">
        <w:rPr>
          <w:i/>
          <w:sz w:val="24"/>
          <w:szCs w:val="24"/>
        </w:rPr>
        <w:t>See also Burton v. Teleflex Inc.</w:t>
      </w:r>
      <w:r w:rsidRPr="00633254">
        <w:rPr>
          <w:sz w:val="24"/>
          <w:szCs w:val="24"/>
        </w:rPr>
        <w:t xml:space="preserve">, 707 F.3d 417, 427 (3d Cir. 2013) (ADEA and Title VII case)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sidRPr="00633254">
        <w:rPr>
          <w:i/>
          <w:sz w:val="24"/>
          <w:szCs w:val="24"/>
        </w:rPr>
        <w:t>Fuentes v. Perskie</w:t>
      </w:r>
      <w:r w:rsidRPr="00633254">
        <w:rPr>
          <w:sz w:val="24"/>
          <w:szCs w:val="24"/>
        </w:rPr>
        <w:t xml:space="preserve">, 32 F.3d 759, 764 (3d Cir. 1994)).). The second of these two numbered alternatives was not at issue in </w:t>
      </w:r>
      <w:r w:rsidRPr="00633254">
        <w:rPr>
          <w:i/>
          <w:sz w:val="24"/>
          <w:szCs w:val="24"/>
        </w:rPr>
        <w:t>Burton</w:t>
      </w:r>
      <w:r w:rsidRPr="00633254">
        <w:rPr>
          <w:sz w:val="24"/>
          <w:szCs w:val="24"/>
        </w:rPr>
        <w:t xml:space="preserve">, because the court relied on the first alternative, holding that there was evidence that would justify a factfinder in disbelieving the employer’s stated reason. </w:t>
      </w:r>
      <w:r w:rsidRPr="00633254">
        <w:rPr>
          <w:i/>
          <w:sz w:val="24"/>
          <w:szCs w:val="24"/>
        </w:rPr>
        <w:t>See id.</w:t>
      </w:r>
      <w:r w:rsidRPr="00633254">
        <w:rPr>
          <w:sz w:val="24"/>
          <w:szCs w:val="24"/>
        </w:rPr>
        <w:t xml:space="preserve"> at 431.</w:t>
      </w:r>
    </w:p>
    <w:p w:rsidR="003912CE" w:rsidRPr="003912CE" w:rsidRDefault="003912CE" w:rsidP="003912CE">
      <w:pPr>
        <w:pStyle w:val="FootnoteText"/>
        <w:ind w:firstLine="720"/>
        <w:rPr>
          <w:sz w:val="24"/>
          <w:szCs w:val="24"/>
        </w:rPr>
      </w:pPr>
      <w:r w:rsidRPr="003912CE">
        <w:rPr>
          <w:sz w:val="24"/>
          <w:szCs w:val="24"/>
        </w:rPr>
        <w:t xml:space="preserve">In </w:t>
      </w:r>
      <w:r w:rsidRPr="003912CE">
        <w:rPr>
          <w:i/>
          <w:sz w:val="24"/>
          <w:szCs w:val="24"/>
        </w:rPr>
        <w:t>Willis v. UPMC Children's Hosp. of Pittsburgh</w:t>
      </w:r>
      <w:r w:rsidRPr="003912CE">
        <w:rPr>
          <w:sz w:val="24"/>
          <w:szCs w:val="24"/>
        </w:rPr>
        <w:t xml:space="preserve">, 808 F.3d 638 (3d Cir. 2015), the Court of Appeals offered more detail concerning the second alternative:  “Pointing to evidence demonstrating any of the following satisfies this second way to prove pretext: (1) the defendant previously discriminated against the plaintiff; (2) the defendant discriminated against others within the plaintiff's protected class; or (3) the defendant has treated similarly situated, substantially younger individuals more favorably.” </w:t>
      </w:r>
      <w:r w:rsidRPr="00CF3228">
        <w:rPr>
          <w:i/>
          <w:sz w:val="24"/>
          <w:szCs w:val="24"/>
        </w:rPr>
        <w:t>Id.</w:t>
      </w:r>
      <w:r w:rsidRPr="003912CE">
        <w:rPr>
          <w:sz w:val="24"/>
          <w:szCs w:val="24"/>
        </w:rPr>
        <w:t xml:space="preserve"> at 645; </w:t>
      </w:r>
      <w:r w:rsidRPr="00CF3228">
        <w:rPr>
          <w:i/>
          <w:sz w:val="24"/>
          <w:szCs w:val="24"/>
        </w:rPr>
        <w:t>see also id.</w:t>
      </w:r>
      <w:r w:rsidRPr="003912CE">
        <w:rPr>
          <w:sz w:val="24"/>
          <w:szCs w:val="24"/>
        </w:rPr>
        <w:t xml:space="preserve"> at 649 (holding that the plaintiff “has not presented evidence that supports any of the three categories that would allow a factfinder to believe unlawful discrimination was more likely than not a motivating or determinative cause of her termination”).</w:t>
      </w:r>
    </w:p>
    <w:p w:rsidR="00633254" w:rsidRDefault="003912CE" w:rsidP="003912CE">
      <w:pPr>
        <w:pStyle w:val="FootnoteText"/>
      </w:pPr>
      <w:r w:rsidRPr="003912CE">
        <w:rPr>
          <w:sz w:val="24"/>
          <w:szCs w:val="24"/>
        </w:rPr>
        <w:tab/>
        <w:t xml:space="preserve">Although the </w:t>
      </w:r>
      <w:r w:rsidRPr="003912CE">
        <w:rPr>
          <w:i/>
          <w:sz w:val="24"/>
          <w:szCs w:val="24"/>
        </w:rPr>
        <w:t>Burton</w:t>
      </w:r>
      <w:r w:rsidRPr="003912CE">
        <w:rPr>
          <w:sz w:val="24"/>
          <w:szCs w:val="24"/>
        </w:rPr>
        <w:t xml:space="preserve"> and </w:t>
      </w:r>
      <w:r w:rsidRPr="003912CE">
        <w:rPr>
          <w:i/>
          <w:sz w:val="24"/>
          <w:szCs w:val="24"/>
        </w:rPr>
        <w:t>Willis</w:t>
      </w:r>
      <w:r w:rsidRPr="003912CE">
        <w:rPr>
          <w:sz w:val="24"/>
          <w:szCs w:val="24"/>
        </w:rPr>
        <w:t xml:space="preserve"> courts phrased the second alternative in terms that seem to permit a finding of liability based on proof that discrimination was “a motivating … cause,” such an approach would appear to contravene the </w:t>
      </w:r>
      <w:r w:rsidRPr="003912CE">
        <w:rPr>
          <w:i/>
          <w:sz w:val="24"/>
          <w:szCs w:val="24"/>
        </w:rPr>
        <w:t>Gross</w:t>
      </w:r>
      <w:r w:rsidRPr="003912CE">
        <w:rPr>
          <w:sz w:val="24"/>
          <w:szCs w:val="24"/>
        </w:rPr>
        <w:t xml:space="preserve"> Court’s requirement of but-for causation.</w:t>
      </w:r>
    </w:p>
  </w:footnote>
  <w:footnote w:id="5">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2</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6">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3</w:t>
      </w:r>
      <w:r>
        <w:t xml:space="preserve">  As Comment 8.1.3 notes (by analogy to the framework for Title VII hostile environment claims) the employer may raise an affirmative defense under </w:t>
      </w:r>
      <w:r>
        <w:rPr>
          <w:i/>
          <w:iCs/>
        </w:rPr>
        <w:t>Faragher v. Boca Raton</w:t>
      </w:r>
      <w:r>
        <w:t xml:space="preserve">, 524 U.S. 775 (1998), and </w:t>
      </w:r>
      <w:r>
        <w:rPr>
          <w:i/>
          <w:iCs/>
        </w:rPr>
        <w:t>Burlington Industries, Inc. v. Ellerth</w:t>
      </w:r>
      <w:r>
        <w:t xml:space="preserve">, 524 U.S. 742 (1998), if no tangible employment action has been taken against the plaintiff.  In </w:t>
      </w:r>
      <w:r>
        <w:rPr>
          <w:i/>
          <w:iCs/>
        </w:rPr>
        <w:t>Pennsylvania State Police v. Suders</w:t>
      </w:r>
      <w:r>
        <w:t xml:space="preserve">, 542 U.S. 129, 140-41 (2004), the Court addressed the question of constructive discharge in a Title VII case, holding “that an employer does not have recourse to the </w:t>
      </w:r>
      <w:r>
        <w:rPr>
          <w:i/>
          <w:iCs/>
        </w:rPr>
        <w:t xml:space="preserve">Ellerth/ 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footnote>
  <w:footnote w:id="7">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4</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University</w:t>
      </w:r>
      <w:r>
        <w:t xml:space="preserve">, 133 S. Ct. 2434, 2439 (2013).  For further discussion of </w:t>
      </w:r>
      <w:r>
        <w:rPr>
          <w:i/>
          <w:iCs/>
        </w:rPr>
        <w:t>Vance</w:t>
      </w:r>
      <w:r>
        <w:t>, see Comment 5.1.5.</w:t>
      </w:r>
    </w:p>
  </w:footnote>
  <w:footnote w:id="8">
    <w:p w:rsidR="008F0095" w:rsidRDefault="008F0095">
      <w:pPr>
        <w:pStyle w:val="FootnoteText"/>
      </w:pPr>
      <w:r>
        <w:rPr>
          <w:rStyle w:val="FootnoteReference"/>
        </w:rPr>
        <w:footnoteRef/>
      </w:r>
      <w:r>
        <w:t xml:space="preserve"> </w:t>
      </w:r>
      <w:r w:rsidRPr="008F0095">
        <w:rPr>
          <w:i/>
          <w:sz w:val="24"/>
          <w:szCs w:val="24"/>
        </w:rPr>
        <w:t>See</w:t>
      </w:r>
      <w:r w:rsidRPr="008F0095">
        <w:rPr>
          <w:sz w:val="24"/>
          <w:szCs w:val="24"/>
        </w:rPr>
        <w:t xml:space="preserve"> 29 U.S.C. § 631(a) (“The prohibitions in this chapter shall be limited to individuals who are at least 40 years of age.”).</w:t>
      </w:r>
    </w:p>
  </w:footnote>
  <w:footnote w:id="9">
    <w:p w:rsidR="001A1A08" w:rsidRDefault="001A1A08">
      <w:pPr>
        <w:pStyle w:val="FootnoteText"/>
      </w:pPr>
      <w:r>
        <w:rPr>
          <w:rStyle w:val="FootnoteReference"/>
        </w:rPr>
        <w:footnoteRef/>
      </w:r>
      <w:r>
        <w:t xml:space="preserve"> </w:t>
      </w:r>
      <w:r w:rsidRPr="001A1A08">
        <w:rPr>
          <w:sz w:val="24"/>
          <w:szCs w:val="24"/>
        </w:rPr>
        <w:t xml:space="preserve">This “subgroup” approach to ADEA disparate-impact claims works for “subgroups with ‘lower boundaries,’ not ‘upper boundaries.’” </w:t>
      </w:r>
      <w:r w:rsidRPr="001A1A08">
        <w:rPr>
          <w:i/>
          <w:sz w:val="24"/>
          <w:szCs w:val="24"/>
        </w:rPr>
        <w:t>Karlo</w:t>
      </w:r>
      <w:r w:rsidRPr="001A1A08">
        <w:rPr>
          <w:sz w:val="24"/>
          <w:szCs w:val="24"/>
        </w:rPr>
        <w:t xml:space="preserve">, </w:t>
      </w:r>
      <w:r>
        <w:rPr>
          <w:sz w:val="24"/>
          <w:szCs w:val="24"/>
        </w:rPr>
        <w:t>849 F.3d</w:t>
      </w:r>
      <w:r w:rsidRPr="001A1A08">
        <w:rPr>
          <w:sz w:val="24"/>
          <w:szCs w:val="24"/>
        </w:rPr>
        <w:t xml:space="preserve"> at </w:t>
      </w:r>
      <w:r w:rsidR="00710965">
        <w:rPr>
          <w:sz w:val="24"/>
          <w:szCs w:val="24"/>
        </w:rPr>
        <w:t>77</w:t>
      </w:r>
      <w:r w:rsidRPr="001A1A08">
        <w:rPr>
          <w:sz w:val="24"/>
          <w:szCs w:val="24"/>
        </w:rPr>
        <w:t xml:space="preserve">. Thus, for example, the approach would not permit comparison of the impact on “a ‘banded’ 50-to-55 subgroup” to the impact on those outside the banded subgroup. </w:t>
      </w:r>
      <w:r w:rsidRPr="00710965">
        <w:rPr>
          <w:i/>
          <w:sz w:val="24"/>
          <w:szCs w:val="24"/>
        </w:rPr>
        <w:t>Id</w:t>
      </w:r>
      <w:r w:rsidRPr="001A1A08">
        <w:rPr>
          <w:sz w:val="24"/>
          <w:szCs w:val="24"/>
        </w:rPr>
        <w:t xml:space="preserve">. (noting that “the ADEA protects only ‘relatively old worker[s] from discrimination that works to the advantage of the relatively young’” (quoting </w:t>
      </w:r>
      <w:r w:rsidRPr="00710965">
        <w:rPr>
          <w:i/>
          <w:sz w:val="24"/>
          <w:szCs w:val="24"/>
        </w:rPr>
        <w:t>Gen. Dynamics Land Sys., Inc. v. Cline</w:t>
      </w:r>
      <w:r w:rsidRPr="001A1A08">
        <w:rPr>
          <w:sz w:val="24"/>
          <w:szCs w:val="24"/>
        </w:rPr>
        <w:t>, 540 U.S. 581, 590–91 (2004))).</w:t>
      </w:r>
    </w:p>
  </w:footnote>
  <w:footnote w:id="10">
    <w:p w:rsidR="00BE69F4" w:rsidRDefault="00BE69F4">
      <w:pPr>
        <w:pStyle w:val="FootnoteText"/>
      </w:pPr>
      <w:r>
        <w:rPr>
          <w:rStyle w:val="FootnoteReference"/>
        </w:rPr>
        <w:footnoteRef/>
      </w:r>
      <w:r>
        <w:t xml:space="preserve"> </w:t>
      </w:r>
      <w:r w:rsidRPr="00BE69F4">
        <w:rPr>
          <w:i/>
          <w:sz w:val="24"/>
          <w:szCs w:val="24"/>
        </w:rPr>
        <w:t>See also Karlo</w:t>
      </w:r>
      <w:r w:rsidRPr="00BE69F4">
        <w:rPr>
          <w:sz w:val="24"/>
          <w:szCs w:val="24"/>
        </w:rPr>
        <w:t xml:space="preserve">, </w:t>
      </w:r>
      <w:r>
        <w:rPr>
          <w:sz w:val="24"/>
          <w:szCs w:val="24"/>
        </w:rPr>
        <w:t>849 F.3d</w:t>
      </w:r>
      <w:r w:rsidRPr="00BE69F4">
        <w:rPr>
          <w:sz w:val="24"/>
          <w:szCs w:val="24"/>
        </w:rPr>
        <w:t xml:space="preserve"> at </w:t>
      </w:r>
      <w:r>
        <w:rPr>
          <w:sz w:val="24"/>
          <w:szCs w:val="24"/>
        </w:rPr>
        <w:t>84</w:t>
      </w:r>
      <w:r w:rsidRPr="00BE69F4">
        <w:rPr>
          <w:sz w:val="24"/>
          <w:szCs w:val="24"/>
        </w:rPr>
        <w:t xml:space="preserve"> (“When a defendant proffers a RFOA, the plaintiff can rebut it by showing that </w:t>
      </w:r>
      <w:r w:rsidRPr="00BE69F4">
        <w:rPr>
          <w:i/>
          <w:sz w:val="24"/>
          <w:szCs w:val="24"/>
        </w:rPr>
        <w:t>the factor relied upon</w:t>
      </w:r>
      <w:r w:rsidRPr="00BE69F4">
        <w:rPr>
          <w:sz w:val="24"/>
          <w:szCs w:val="24"/>
        </w:rPr>
        <w:t xml:space="preserve"> is unreasonable, not by identifying twenty </w:t>
      </w:r>
      <w:r w:rsidRPr="00BE69F4">
        <w:rPr>
          <w:i/>
          <w:sz w:val="24"/>
          <w:szCs w:val="24"/>
        </w:rPr>
        <w:t>other</w:t>
      </w:r>
      <w:r w:rsidRPr="00BE69F4">
        <w:rPr>
          <w:sz w:val="24"/>
          <w:szCs w:val="24"/>
        </w:rPr>
        <w:t xml:space="preserve"> practices that would have been reasonable instead.”).</w:t>
      </w:r>
    </w:p>
  </w:footnote>
  <w:footnote w:id="11">
    <w:p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 w:id="12">
    <w:p w:rsidR="00046780" w:rsidRPr="00046780" w:rsidRDefault="00046780">
      <w:pPr>
        <w:pStyle w:val="FootnoteText"/>
        <w:rPr>
          <w:sz w:val="24"/>
          <w:szCs w:val="24"/>
        </w:rPr>
      </w:pPr>
      <w:r>
        <w:rPr>
          <w:rStyle w:val="FootnoteReference"/>
        </w:rPr>
        <w:footnoteRef/>
      </w:r>
      <w:r>
        <w:t xml:space="preserve"> </w:t>
      </w:r>
      <w:r w:rsidRPr="00046780">
        <w:rPr>
          <w:sz w:val="24"/>
          <w:szCs w:val="24"/>
        </w:rPr>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ADEA’s anti-retaliation provision: “[R]efusing to sign a release … does not communicate opposition sufficiently specific to qualify as protected employee activity…. Because Allstate's Release barred its signatories from bringing </w:t>
      </w:r>
      <w:r w:rsidRPr="004361C2">
        <w:rPr>
          <w:i/>
          <w:sz w:val="24"/>
          <w:szCs w:val="24"/>
        </w:rPr>
        <w:t>any</w:t>
      </w:r>
      <w:r w:rsidRPr="00046780">
        <w:rPr>
          <w:sz w:val="24"/>
          <w:szCs w:val="24"/>
        </w:rPr>
        <w:t xml:space="preserve"> claims against Allstate concerning their employment or termination, employee agents who refused to sign it might have done so for any number of reasons unrelated to discrimination.” </w:t>
      </w:r>
      <w:r w:rsidRPr="00046780">
        <w:rPr>
          <w:i/>
          <w:sz w:val="24"/>
          <w:szCs w:val="24"/>
        </w:rPr>
        <w:t>E.E.O.C. v. Allstate Ins. Co.</w:t>
      </w:r>
      <w:r w:rsidRPr="00046780">
        <w:rPr>
          <w:sz w:val="24"/>
          <w:szCs w:val="24"/>
        </w:rPr>
        <w:t>, 778 F.3d 444, 452 (3d Cir. 2015).</w:t>
      </w:r>
    </w:p>
  </w:footnote>
  <w:footnote w:id="13">
    <w:p w:rsidR="00A40F99" w:rsidRDefault="00A40F99">
      <w:pPr>
        <w:pStyle w:val="FootnoteText"/>
      </w:pPr>
      <w:r>
        <w:rPr>
          <w:rStyle w:val="FootnoteReference"/>
        </w:rPr>
        <w:footnoteRef/>
      </w:r>
      <w:r>
        <w:t xml:space="preserve"> </w:t>
      </w:r>
      <w:r w:rsidRPr="00A40F99">
        <w:rPr>
          <w:sz w:val="24"/>
          <w:szCs w:val="24"/>
        </w:rPr>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ADEA’s anti-retaliation provision. </w:t>
      </w:r>
      <w:r w:rsidRPr="00A40F99">
        <w:rPr>
          <w:i/>
          <w:sz w:val="24"/>
          <w:szCs w:val="24"/>
        </w:rPr>
        <w:t>E.E.O.C. v. Allstate Ins. Co.</w:t>
      </w:r>
      <w:r w:rsidRPr="00A40F99">
        <w:rPr>
          <w:sz w:val="24"/>
          <w:szCs w:val="24"/>
        </w:rPr>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4">
    <w:p w:rsidR="00782D48" w:rsidRPr="00782D48" w:rsidRDefault="00782D48">
      <w:pPr>
        <w:pStyle w:val="FootnoteText"/>
        <w:rPr>
          <w:sz w:val="24"/>
          <w:szCs w:val="24"/>
        </w:rPr>
      </w:pPr>
      <w:r>
        <w:rPr>
          <w:rStyle w:val="FootnoteReference"/>
        </w:rPr>
        <w:footnoteRef/>
      </w:r>
      <w:r>
        <w:t xml:space="preserve"> </w:t>
      </w:r>
      <w:r w:rsidRPr="00782D48">
        <w:rPr>
          <w:sz w:val="24"/>
          <w:szCs w:val="24"/>
        </w:rPr>
        <w:t xml:space="preserve">“It is hornbook law that employers can require terminated employees to release claims in exchange for benefits to which they would not otherwise be entitled.”  </w:t>
      </w:r>
      <w:r w:rsidRPr="00782D48">
        <w:rPr>
          <w:i/>
          <w:sz w:val="24"/>
          <w:szCs w:val="24"/>
        </w:rPr>
        <w:t>E.E.O.C. v. Allstate Ins. Co.</w:t>
      </w:r>
      <w:r w:rsidRPr="00782D48">
        <w:rPr>
          <w:sz w:val="24"/>
          <w:szCs w:val="24"/>
        </w:rPr>
        <w:t xml:space="preserve">, 778 F.3d 444, 449 (3d Cir. 2015). In </w:t>
      </w:r>
      <w:r w:rsidRPr="00782D48">
        <w:rPr>
          <w:i/>
          <w:sz w:val="24"/>
          <w:szCs w:val="24"/>
        </w:rPr>
        <w:t>Allstate</w:t>
      </w:r>
      <w:r w:rsidRPr="00782D48">
        <w:rPr>
          <w:sz w:val="24"/>
          <w:szCs w:val="24"/>
        </w:rPr>
        <w:t xml:space="preserve">, the employer conditioned its conversion of terminated at-will employees into independent contractors on the employees’ signing releases of all existing claims (including but not limited to discrimination claims). The Court of Appeals rejected the EEOC’s argument that there was inadequate consideration for such releases, reasoning that there was no “good reason why an employer cannot require a release of discrimination claims by a terminated employee in exchange for a new business relationship with the employer.” </w:t>
      </w:r>
      <w:r w:rsidRPr="00782D48">
        <w:rPr>
          <w:i/>
          <w:sz w:val="24"/>
          <w:szCs w:val="24"/>
        </w:rPr>
        <w:t>Allstate</w:t>
      </w:r>
      <w:r w:rsidRPr="00782D48">
        <w:rPr>
          <w:sz w:val="24"/>
          <w:szCs w:val="24"/>
        </w:rPr>
        <w:t>, 778 F.3d at 451.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03" w:rsidRDefault="006B76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86" w:rsidRPr="00F90ED5" w:rsidRDefault="00152686"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2.1</w:t>
    </w:r>
    <w:r w:rsidRPr="00F90ED5">
      <w:rPr>
        <w:rFonts w:ascii="Century Schoolbook" w:hAnsi="Century Schoolbook"/>
        <w:b/>
      </w:rPr>
      <w:t xml:space="preserve">   </w:t>
    </w:r>
    <w:r>
      <w:rPr>
        <w:rFonts w:ascii="Century Schoolbook" w:hAnsi="Century Schoolbook"/>
        <w:b/>
      </w:rPr>
      <w:t>Hostile or Abusive Work Environment</w:t>
    </w:r>
  </w:p>
  <w:p w:rsidR="00152686" w:rsidRDefault="00152686" w:rsidP="00F90ED5">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2.2</w:t>
    </w:r>
    <w:r w:rsidRPr="00F90ED5">
      <w:rPr>
        <w:rFonts w:ascii="Century Schoolbook" w:hAnsi="Century Schoolbook"/>
        <w:b/>
      </w:rPr>
      <w:t xml:space="preserve">   </w:t>
    </w:r>
    <w:r>
      <w:rPr>
        <w:rFonts w:ascii="Century Schoolbook" w:hAnsi="Century Schoolbook"/>
        <w:b/>
      </w:rPr>
      <w:t>Constructive Discharge</w:t>
    </w:r>
  </w:p>
  <w:p w:rsidR="001B779D" w:rsidRDefault="001B779D" w:rsidP="00F90ED5">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3.1</w:t>
    </w:r>
    <w:r w:rsidRPr="00F90ED5">
      <w:rPr>
        <w:rFonts w:ascii="Century Schoolbook" w:hAnsi="Century Schoolbook"/>
        <w:b/>
      </w:rPr>
      <w:t xml:space="preserve">   </w:t>
    </w:r>
    <w:r>
      <w:rPr>
        <w:rFonts w:ascii="Century Schoolbook" w:hAnsi="Century Schoolbook"/>
        <w:b/>
      </w:rPr>
      <w:t>Bona Fide Occupational Qualification</w:t>
    </w:r>
  </w:p>
  <w:p w:rsidR="001B779D" w:rsidRDefault="001B779D" w:rsidP="00F90ED5">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3.2</w:t>
    </w:r>
    <w:r w:rsidRPr="00F90ED5">
      <w:rPr>
        <w:rFonts w:ascii="Century Schoolbook" w:hAnsi="Century Schoolbook"/>
        <w:b/>
      </w:rPr>
      <w:t xml:space="preserve">   </w:t>
    </w:r>
    <w:r>
      <w:rPr>
        <w:rFonts w:ascii="Century Schoolbook" w:hAnsi="Century Schoolbook"/>
        <w:b/>
      </w:rPr>
      <w:t>Bona Fide Seniority System</w:t>
    </w:r>
  </w:p>
  <w:p w:rsidR="001B779D" w:rsidRDefault="001B779D" w:rsidP="00F90ED5">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3.3</w:t>
    </w:r>
    <w:r w:rsidRPr="00F90ED5">
      <w:rPr>
        <w:rFonts w:ascii="Century Schoolbook" w:hAnsi="Century Schoolbook"/>
        <w:b/>
      </w:rPr>
      <w:t xml:space="preserve">   </w:t>
    </w:r>
    <w:r>
      <w:rPr>
        <w:rFonts w:ascii="Century Schoolbook" w:hAnsi="Century Schoolbook"/>
        <w:b/>
      </w:rPr>
      <w:t>Waiver</w:t>
    </w:r>
  </w:p>
  <w:p w:rsidR="001B779D" w:rsidRDefault="001B779D" w:rsidP="00F90ED5">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4.1</w:t>
    </w:r>
    <w:r w:rsidRPr="00F90ED5">
      <w:rPr>
        <w:rFonts w:ascii="Century Schoolbook" w:hAnsi="Century Schoolbook"/>
        <w:b/>
      </w:rPr>
      <w:t xml:space="preserve">   </w:t>
    </w:r>
    <w:r>
      <w:rPr>
        <w:rFonts w:ascii="Century Schoolbook" w:hAnsi="Century Schoolbook"/>
        <w:b/>
      </w:rPr>
      <w:t>General Compensatory Damages</w:t>
    </w:r>
  </w:p>
  <w:p w:rsidR="001B779D" w:rsidRDefault="001B779D" w:rsidP="00F90ED5">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4.2</w:t>
    </w:r>
    <w:r w:rsidRPr="00F90ED5">
      <w:rPr>
        <w:rFonts w:ascii="Century Schoolbook" w:hAnsi="Century Schoolbook"/>
        <w:b/>
      </w:rPr>
      <w:t xml:space="preserve">   </w:t>
    </w:r>
    <w:r>
      <w:rPr>
        <w:rFonts w:ascii="Century Schoolbook" w:hAnsi="Century Schoolbook"/>
        <w:b/>
      </w:rPr>
      <w:t>Back Pay</w:t>
    </w:r>
  </w:p>
  <w:p w:rsidR="001B779D" w:rsidRDefault="001B779D" w:rsidP="00F90ED5">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4.3</w:t>
    </w:r>
    <w:r w:rsidRPr="00F90ED5">
      <w:rPr>
        <w:rFonts w:ascii="Century Schoolbook" w:hAnsi="Century Schoolbook"/>
        <w:b/>
      </w:rPr>
      <w:t xml:space="preserve">   </w:t>
    </w:r>
    <w:r>
      <w:rPr>
        <w:rFonts w:ascii="Century Schoolbook" w:hAnsi="Century Schoolbook"/>
        <w:b/>
      </w:rPr>
      <w:t>Liquidated Damages</w:t>
    </w:r>
  </w:p>
  <w:p w:rsidR="001B779D" w:rsidRDefault="001B779D" w:rsidP="00F90ED5">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C9" w:rsidRPr="00F90ED5" w:rsidRDefault="004C47C9"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4.4</w:t>
    </w:r>
    <w:r w:rsidRPr="00F90ED5">
      <w:rPr>
        <w:rFonts w:ascii="Century Schoolbook" w:hAnsi="Century Schoolbook"/>
        <w:b/>
      </w:rPr>
      <w:t xml:space="preserve">   </w:t>
    </w:r>
    <w:r>
      <w:rPr>
        <w:rFonts w:ascii="Century Schoolbook" w:hAnsi="Century Schoolbook"/>
        <w:b/>
      </w:rPr>
      <w:t>Front Pay</w:t>
    </w:r>
  </w:p>
  <w:p w:rsidR="004C47C9" w:rsidRDefault="004C47C9" w:rsidP="00F90ED5">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D" w:rsidRPr="00F90ED5" w:rsidRDefault="00EA413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4.5</w:t>
    </w:r>
    <w:r w:rsidRPr="00F90ED5">
      <w:rPr>
        <w:rFonts w:ascii="Century Schoolbook" w:hAnsi="Century Schoolbook"/>
        <w:b/>
      </w:rPr>
      <w:t xml:space="preserve">   </w:t>
    </w:r>
    <w:r>
      <w:rPr>
        <w:rFonts w:ascii="Century Schoolbook" w:hAnsi="Century Schoolbook"/>
        <w:b/>
      </w:rPr>
      <w:t>Nominal Damages</w:t>
    </w:r>
  </w:p>
  <w:p w:rsidR="00EA413D" w:rsidRDefault="00EA413D" w:rsidP="00F90E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03" w:rsidRDefault="006B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03" w:rsidRDefault="006B76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8.0   ADEA Introductory Instruction</w:t>
    </w:r>
  </w:p>
  <w:p w:rsidR="00F90ED5" w:rsidRDefault="00F90ED5" w:rsidP="00F90ED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1.1</w:t>
    </w:r>
    <w:r w:rsidRPr="00F90ED5">
      <w:rPr>
        <w:rFonts w:ascii="Century Schoolbook" w:hAnsi="Century Schoolbook"/>
        <w:b/>
      </w:rPr>
      <w:t xml:space="preserve">   </w:t>
    </w:r>
    <w:r>
      <w:rPr>
        <w:rFonts w:ascii="Century Schoolbook" w:hAnsi="Century Schoolbook"/>
        <w:b/>
      </w:rPr>
      <w:t>Disparate Treatment</w:t>
    </w:r>
  </w:p>
  <w:p w:rsidR="00F90ED5" w:rsidRDefault="00F90ED5" w:rsidP="00F90ED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1.2</w:t>
    </w:r>
    <w:r w:rsidRPr="00F90ED5">
      <w:rPr>
        <w:rFonts w:ascii="Century Schoolbook" w:hAnsi="Century Schoolbook"/>
        <w:b/>
      </w:rPr>
      <w:t xml:space="preserve">   </w:t>
    </w:r>
    <w:r>
      <w:rPr>
        <w:rFonts w:ascii="Century Schoolbook" w:hAnsi="Century Schoolbook"/>
        <w:b/>
      </w:rPr>
      <w:t>Harassment – Hostile Work Environment – Tangible Employment Action</w:t>
    </w:r>
  </w:p>
  <w:p w:rsidR="00B30B94" w:rsidRDefault="00B30B94" w:rsidP="00F90ED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1.3</w:t>
    </w:r>
    <w:r w:rsidRPr="00F90ED5">
      <w:rPr>
        <w:rFonts w:ascii="Century Schoolbook" w:hAnsi="Century Schoolbook"/>
        <w:b/>
      </w:rPr>
      <w:t xml:space="preserve">   </w:t>
    </w:r>
    <w:r>
      <w:rPr>
        <w:rFonts w:ascii="Century Schoolbook" w:hAnsi="Century Schoolbook"/>
        <w:b/>
      </w:rPr>
      <w:t>Harassment – Hostile Work Environment – No Tangible Employment Action</w:t>
    </w:r>
  </w:p>
  <w:p w:rsidR="00B30B94" w:rsidRDefault="00B30B94" w:rsidP="00F90ED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1.4</w:t>
    </w:r>
    <w:r w:rsidRPr="00F90ED5">
      <w:rPr>
        <w:rFonts w:ascii="Century Schoolbook" w:hAnsi="Century Schoolbook"/>
        <w:b/>
      </w:rPr>
      <w:t xml:space="preserve">   </w:t>
    </w:r>
    <w:r>
      <w:rPr>
        <w:rFonts w:ascii="Century Schoolbook" w:hAnsi="Century Schoolbook"/>
        <w:b/>
      </w:rPr>
      <w:t>Disparate Impact</w:t>
    </w:r>
  </w:p>
  <w:p w:rsidR="00B30B94" w:rsidRDefault="00B30B94" w:rsidP="00F90ED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sidR="00152686">
      <w:rPr>
        <w:rFonts w:ascii="Century Schoolbook" w:hAnsi="Century Schoolbook"/>
        <w:b/>
      </w:rPr>
      <w:t>1</w:t>
    </w:r>
    <w:r>
      <w:rPr>
        <w:rFonts w:ascii="Century Schoolbook" w:hAnsi="Century Schoolbook"/>
        <w:b/>
      </w:rPr>
      <w:t>.</w:t>
    </w:r>
    <w:r w:rsidR="00152686">
      <w:rPr>
        <w:rFonts w:ascii="Century Schoolbook" w:hAnsi="Century Schoolbook"/>
        <w:b/>
      </w:rPr>
      <w:t>5</w:t>
    </w:r>
    <w:r w:rsidRPr="00F90ED5">
      <w:rPr>
        <w:rFonts w:ascii="Century Schoolbook" w:hAnsi="Century Schoolbook"/>
        <w:b/>
      </w:rPr>
      <w:t xml:space="preserve">   </w:t>
    </w:r>
    <w:r w:rsidR="00152686">
      <w:rPr>
        <w:rFonts w:ascii="Century Schoolbook" w:hAnsi="Century Schoolbook"/>
        <w:b/>
      </w:rPr>
      <w:t>Retaliation</w:t>
    </w:r>
  </w:p>
  <w:p w:rsidR="00B30B94" w:rsidRDefault="00B30B94" w:rsidP="00F90E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0ED0"/>
    <w:multiLevelType w:val="hybridMultilevel"/>
    <w:tmpl w:val="9F060F5E"/>
    <w:lvl w:ilvl="0" w:tplc="4EF2E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05"/>
    <w:rsid w:val="00046780"/>
    <w:rsid w:val="00063536"/>
    <w:rsid w:val="000800DC"/>
    <w:rsid w:val="00083505"/>
    <w:rsid w:val="000F2ECD"/>
    <w:rsid w:val="000F44F9"/>
    <w:rsid w:val="00105A45"/>
    <w:rsid w:val="00145AFE"/>
    <w:rsid w:val="00152686"/>
    <w:rsid w:val="00155F66"/>
    <w:rsid w:val="00187F76"/>
    <w:rsid w:val="001A1A08"/>
    <w:rsid w:val="001B779D"/>
    <w:rsid w:val="0025075D"/>
    <w:rsid w:val="00256591"/>
    <w:rsid w:val="0027038B"/>
    <w:rsid w:val="00273AF6"/>
    <w:rsid w:val="00281AFD"/>
    <w:rsid w:val="00285621"/>
    <w:rsid w:val="002A70D7"/>
    <w:rsid w:val="002B6809"/>
    <w:rsid w:val="00301EA4"/>
    <w:rsid w:val="0030621D"/>
    <w:rsid w:val="00315172"/>
    <w:rsid w:val="003912CE"/>
    <w:rsid w:val="003A318E"/>
    <w:rsid w:val="00434072"/>
    <w:rsid w:val="004361C2"/>
    <w:rsid w:val="004817C7"/>
    <w:rsid w:val="0048254A"/>
    <w:rsid w:val="004A1C6E"/>
    <w:rsid w:val="004C0671"/>
    <w:rsid w:val="004C47C9"/>
    <w:rsid w:val="004C56AD"/>
    <w:rsid w:val="00500592"/>
    <w:rsid w:val="005147B5"/>
    <w:rsid w:val="00537019"/>
    <w:rsid w:val="00543005"/>
    <w:rsid w:val="00570D6B"/>
    <w:rsid w:val="005A1BE1"/>
    <w:rsid w:val="005A5175"/>
    <w:rsid w:val="005A6662"/>
    <w:rsid w:val="005E027F"/>
    <w:rsid w:val="00601AAD"/>
    <w:rsid w:val="00632211"/>
    <w:rsid w:val="00633254"/>
    <w:rsid w:val="00665E46"/>
    <w:rsid w:val="006B7603"/>
    <w:rsid w:val="00710965"/>
    <w:rsid w:val="007411A5"/>
    <w:rsid w:val="00746BE7"/>
    <w:rsid w:val="00756103"/>
    <w:rsid w:val="00782D48"/>
    <w:rsid w:val="00787F15"/>
    <w:rsid w:val="007B48A3"/>
    <w:rsid w:val="00872190"/>
    <w:rsid w:val="008F0095"/>
    <w:rsid w:val="009028DC"/>
    <w:rsid w:val="00917449"/>
    <w:rsid w:val="009762D9"/>
    <w:rsid w:val="0097690E"/>
    <w:rsid w:val="00983F47"/>
    <w:rsid w:val="00987D7D"/>
    <w:rsid w:val="00A40F99"/>
    <w:rsid w:val="00A53D1F"/>
    <w:rsid w:val="00AA5C6E"/>
    <w:rsid w:val="00AE246E"/>
    <w:rsid w:val="00B12011"/>
    <w:rsid w:val="00B2348C"/>
    <w:rsid w:val="00B30B94"/>
    <w:rsid w:val="00BA6422"/>
    <w:rsid w:val="00BB2224"/>
    <w:rsid w:val="00BC0F77"/>
    <w:rsid w:val="00BC3624"/>
    <w:rsid w:val="00BC7C5F"/>
    <w:rsid w:val="00BE69F4"/>
    <w:rsid w:val="00CF009D"/>
    <w:rsid w:val="00CF3228"/>
    <w:rsid w:val="00D43E8A"/>
    <w:rsid w:val="00E13696"/>
    <w:rsid w:val="00E23C8A"/>
    <w:rsid w:val="00E32C19"/>
    <w:rsid w:val="00E6186B"/>
    <w:rsid w:val="00E8434B"/>
    <w:rsid w:val="00E87D09"/>
    <w:rsid w:val="00EA413D"/>
    <w:rsid w:val="00EA7858"/>
    <w:rsid w:val="00EB3005"/>
    <w:rsid w:val="00EB5D76"/>
    <w:rsid w:val="00EB624D"/>
    <w:rsid w:val="00F10EDC"/>
    <w:rsid w:val="00F730B6"/>
    <w:rsid w:val="00F90ED5"/>
    <w:rsid w:val="00FA53E7"/>
    <w:rsid w:val="00FC6D6A"/>
    <w:rsid w:val="00FD3625"/>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 w:type="paragraph" w:styleId="ListParagraph">
    <w:name w:val="List Paragraph"/>
    <w:basedOn w:val="Normal"/>
    <w:uiPriority w:val="34"/>
    <w:qFormat/>
    <w:rsid w:val="00633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15476</Words>
  <Characters>88215</Characters>
  <Application>Microsoft Office Word</Application>
  <DocSecurity>0</DocSecurity>
  <Lines>735</Lines>
  <Paragraphs>206</Paragraphs>
  <ScaleCrop>false</ScaleCrop>
  <Company/>
  <LinksUpToDate>false</LinksUpToDate>
  <CharactersWithSpaces>103485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2017-05-19T16:44:00Z</dcterms:created>
  <dcterms:modified xsi:type="dcterms:W3CDTF">2017-05-19T16:44:00Z</dcterms:modified>
</cp:coreProperties>
</file>