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5B" w:rsidRDefault="00CE475B" w:rsidP="005D448A">
      <w:pPr>
        <w:tabs>
          <w:tab w:val="center" w:pos="4680"/>
        </w:tabs>
        <w:jc w:val="both"/>
      </w:pPr>
      <w:bookmarkStart w:id="0" w:name="_GoBack"/>
      <w:bookmarkEnd w:id="0"/>
      <w:r>
        <w:rPr>
          <w:b/>
          <w:sz w:val="28"/>
        </w:rPr>
        <w:tab/>
        <w:t>Instructions Regarding Section 1983 Employment Claims</w:t>
      </w:r>
    </w:p>
    <w:p w:rsidR="00E54E59" w:rsidRDefault="00E54E59" w:rsidP="005D448A">
      <w:pPr>
        <w:jc w:val="both"/>
        <w:sectPr w:rsidR="00E54E59" w:rsidSect="005D448A">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p>
    <w:p w:rsidR="00CE475B" w:rsidRDefault="00CE475B" w:rsidP="005D448A">
      <w:pPr>
        <w:jc w:val="both"/>
      </w:pPr>
    </w:p>
    <w:p w:rsidR="00CE475B" w:rsidRDefault="00CE475B" w:rsidP="005D448A">
      <w:pPr>
        <w:jc w:val="both"/>
        <w:rPr>
          <w:b/>
          <w:sz w:val="28"/>
        </w:rPr>
      </w:pPr>
    </w:p>
    <w:p w:rsidR="00CE475B" w:rsidRDefault="00CE475B" w:rsidP="005D448A">
      <w:pPr>
        <w:tabs>
          <w:tab w:val="center" w:pos="4680"/>
        </w:tabs>
        <w:jc w:val="both"/>
      </w:pPr>
      <w:r>
        <w:rPr>
          <w:b/>
          <w:sz w:val="28"/>
        </w:rPr>
        <w:tab/>
        <w:t>Numbering of Section 1983 Employment Instructions</w:t>
      </w:r>
    </w:p>
    <w:p w:rsidR="00CE475B" w:rsidRDefault="00CE475B" w:rsidP="005D448A">
      <w:pPr>
        <w:jc w:val="both"/>
      </w:pPr>
      <w:r>
        <w:tab/>
      </w:r>
      <w:r>
        <w:tab/>
      </w:r>
      <w:r>
        <w:tab/>
      </w:r>
      <w:r>
        <w:tab/>
      </w:r>
      <w:r>
        <w:tab/>
      </w:r>
      <w:r>
        <w:tab/>
      </w:r>
    </w:p>
    <w:p w:rsidR="00CE475B" w:rsidRDefault="00CE475B" w:rsidP="005D448A">
      <w:pPr>
        <w:ind w:left="720" w:hanging="720"/>
        <w:jc w:val="both"/>
      </w:pPr>
      <w:r>
        <w:t>7.0</w:t>
      </w:r>
      <w:r>
        <w:tab/>
        <w:t>Section 1983 Employment Discrimination</w:t>
      </w:r>
    </w:p>
    <w:p w:rsidR="00CE475B" w:rsidRDefault="00CE475B" w:rsidP="005D448A">
      <w:pPr>
        <w:jc w:val="both"/>
      </w:pPr>
    </w:p>
    <w:p w:rsidR="00CE475B" w:rsidRDefault="00CE475B" w:rsidP="005D448A">
      <w:pPr>
        <w:ind w:left="720" w:hanging="720"/>
        <w:jc w:val="both"/>
      </w:pPr>
      <w:r>
        <w:t>7.1</w:t>
      </w:r>
      <w:r>
        <w:tab/>
        <w:t>Section 1983 Employment Discrimination – Mixed Motive</w:t>
      </w:r>
    </w:p>
    <w:p w:rsidR="00CE475B" w:rsidRDefault="00CE475B" w:rsidP="005D448A">
      <w:pPr>
        <w:jc w:val="both"/>
      </w:pPr>
    </w:p>
    <w:p w:rsidR="00CE475B" w:rsidRDefault="00CE475B" w:rsidP="005D448A">
      <w:pPr>
        <w:ind w:left="720" w:hanging="720"/>
        <w:jc w:val="both"/>
      </w:pPr>
      <w:r>
        <w:t>7.2</w:t>
      </w:r>
      <w:r>
        <w:tab/>
        <w:t>Section 1983 Employment Discrimination – Pretext</w:t>
      </w:r>
    </w:p>
    <w:p w:rsidR="00CE475B" w:rsidRDefault="00CE475B" w:rsidP="005D448A">
      <w:pPr>
        <w:jc w:val="both"/>
      </w:pPr>
    </w:p>
    <w:p w:rsidR="00CE475B" w:rsidRDefault="00CE475B" w:rsidP="005D448A">
      <w:pPr>
        <w:ind w:left="720" w:hanging="720"/>
        <w:jc w:val="both"/>
      </w:pPr>
      <w:r>
        <w:t>7.3</w:t>
      </w:r>
      <w:r>
        <w:tab/>
        <w:t>Section 1983 Employment Discrimination – Harassment</w:t>
      </w:r>
    </w:p>
    <w:p w:rsidR="00CE475B" w:rsidRDefault="00CE475B" w:rsidP="005D448A">
      <w:pPr>
        <w:jc w:val="both"/>
      </w:pPr>
    </w:p>
    <w:p w:rsidR="00CE475B" w:rsidRDefault="00CE475B" w:rsidP="005D448A">
      <w:pPr>
        <w:ind w:left="720" w:hanging="720"/>
        <w:jc w:val="both"/>
      </w:pPr>
      <w:r>
        <w:t>7.4</w:t>
      </w:r>
      <w:r>
        <w:tab/>
        <w:t>Section 1983 Employment – Retaliation – First Amendment</w:t>
      </w:r>
    </w:p>
    <w:p w:rsidR="00CE475B" w:rsidRDefault="00CE475B" w:rsidP="005D448A">
      <w:pPr>
        <w:jc w:val="both"/>
      </w:pPr>
    </w:p>
    <w:p w:rsidR="00CE475B" w:rsidRDefault="00CE475B" w:rsidP="005D448A">
      <w:pPr>
        <w:ind w:left="720" w:hanging="720"/>
        <w:jc w:val="both"/>
      </w:pPr>
      <w:r>
        <w:t>7.5</w:t>
      </w:r>
      <w:r>
        <w:tab/>
        <w:t>Section 1983 – Employment – Damages</w:t>
      </w:r>
    </w:p>
    <w:p w:rsidR="00036ABB" w:rsidRDefault="00036ABB" w:rsidP="005D448A">
      <w:pPr>
        <w:jc w:val="both"/>
      </w:pPr>
    </w:p>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Default="00036ABB" w:rsidP="005D448A">
      <w:pPr>
        <w:jc w:val="both"/>
      </w:pPr>
    </w:p>
    <w:p w:rsidR="00036ABB" w:rsidRPr="00036ABB" w:rsidRDefault="00036ABB" w:rsidP="00036ABB"/>
    <w:p w:rsidR="00036ABB" w:rsidRDefault="00036ABB" w:rsidP="005D448A">
      <w:pPr>
        <w:jc w:val="both"/>
      </w:pPr>
    </w:p>
    <w:p w:rsidR="00036ABB" w:rsidRDefault="00036ABB" w:rsidP="005D448A">
      <w:pPr>
        <w:jc w:val="both"/>
      </w:pPr>
    </w:p>
    <w:p w:rsidR="00036ABB" w:rsidRDefault="00036ABB" w:rsidP="00036ABB">
      <w:pPr>
        <w:tabs>
          <w:tab w:val="left" w:pos="8563"/>
        </w:tabs>
        <w:jc w:val="both"/>
      </w:pPr>
      <w:r>
        <w:tab/>
      </w:r>
    </w:p>
    <w:p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rsidR="00E54E59" w:rsidRDefault="00E54E59" w:rsidP="005D448A">
      <w:pPr>
        <w:jc w:val="both"/>
        <w:rPr>
          <w:b/>
          <w:sz w:val="28"/>
        </w:rPr>
      </w:pPr>
    </w:p>
    <w:p w:rsidR="00E54E59" w:rsidRDefault="00E54E59" w:rsidP="005D448A">
      <w:pPr>
        <w:jc w:val="both"/>
        <w:rPr>
          <w:b/>
          <w:sz w:val="28"/>
        </w:rPr>
        <w:sectPr w:rsidR="00E54E59" w:rsidSect="005D448A">
          <w:headerReference w:type="default" r:id="rId12"/>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1"/>
      </w:r>
      <w:r>
        <w:t xml:space="preserve">  Instruction 7.4 addresses First Amendment retaliation claims.  Comment 7.5 concerns damages.</w:t>
      </w:r>
    </w:p>
    <w:p w:rsidR="00CE475B" w:rsidRDefault="00CE475B" w:rsidP="005D448A">
      <w:pPr>
        <w:jc w:val="both"/>
      </w:pPr>
    </w:p>
    <w:p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rsidR="00CE475B" w:rsidRDefault="00CE475B" w:rsidP="005D448A">
      <w:pPr>
        <w:jc w:val="both"/>
      </w:pPr>
    </w:p>
    <w:p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2"/>
      </w:r>
      <w:r>
        <w:t xml:space="preserve">  By contrast, Section 1983 applies only to defendants who acted under color of state law.</w:t>
      </w:r>
      <w:r>
        <w:rPr>
          <w:rStyle w:val="FootnoteReference"/>
        </w:rPr>
        <w:footnoteReference w:id="3"/>
      </w:r>
      <w:r>
        <w:t xml:space="preserve">  </w:t>
      </w:r>
      <w:r>
        <w:rPr>
          <w:i/>
        </w:rPr>
        <w:t>See, e.g.,</w:t>
      </w:r>
      <w:r>
        <w:t xml:space="preserve"> </w:t>
      </w:r>
      <w:r>
        <w:rPr>
          <w:i/>
        </w:rPr>
        <w:t>Krynicky v. University of Pittsburgh</w:t>
      </w:r>
      <w:r>
        <w:t xml:space="preserve">, 742 F.2d 94, 103 (3d Cir. 1984) (holding that University of Pittsburgh and Temple University acted under color of state law); </w:t>
      </w:r>
      <w:r>
        <w:rPr>
          <w:i/>
        </w:rPr>
        <w:t xml:space="preserve">see also supra </w:t>
      </w:r>
      <w:r>
        <w:t>Comment 4.4.</w:t>
      </w:r>
    </w:p>
    <w:p w:rsidR="00CE475B" w:rsidRDefault="00CE475B" w:rsidP="005D448A">
      <w:pPr>
        <w:jc w:val="both"/>
      </w:pPr>
    </w:p>
    <w:p w:rsidR="00CE475B" w:rsidRDefault="00CE475B" w:rsidP="005D448A">
      <w:pPr>
        <w:jc w:val="both"/>
      </w:pPr>
      <w:r>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w:t>
      </w:r>
      <w:r>
        <w:lastRenderedPageBreak/>
        <w:t>Clause,</w:t>
      </w:r>
      <w:r>
        <w:rPr>
          <w:rStyle w:val="FootnoteReference"/>
        </w:rPr>
        <w:footnoteReference w:id="4"/>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rsidR="00CE475B" w:rsidRDefault="00CE475B" w:rsidP="005D448A">
      <w:pPr>
        <w:jc w:val="both"/>
      </w:pPr>
    </w:p>
    <w:p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5"/>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rsidR="00CE475B" w:rsidRDefault="00CE475B" w:rsidP="005D448A">
      <w:pPr>
        <w:jc w:val="both"/>
      </w:pPr>
    </w:p>
    <w:p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6"/>
      </w:r>
      <w:r>
        <w:t xml:space="preserve">  </w:t>
      </w:r>
      <w:r>
        <w:rPr>
          <w:i/>
        </w:rPr>
        <w:t>See</w:t>
      </w:r>
      <w:r>
        <w:t xml:space="preserve"> </w:t>
      </w:r>
      <w:r>
        <w:rPr>
          <w:i/>
        </w:rPr>
        <w:t>Bonenberger v. Plymouth Tp.</w:t>
      </w:r>
      <w:r>
        <w:t xml:space="preserve">, 132 F.3d 20, 23 (3d Cir. 1997) (“There is simply no 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other.”).  To establish a Section 1983 claim against a supervisor based on the activity of a subordinate, the plaintiff must also satisfy the requirements for supervisory liability under Section 1983.  </w:t>
      </w:r>
      <w:r>
        <w:rPr>
          <w:i/>
        </w:rPr>
        <w:t>See supra</w:t>
      </w:r>
      <w:r>
        <w:t xml:space="preserve"> Comment 4.6.1.</w:t>
      </w:r>
    </w:p>
    <w:p w:rsidR="008D2026" w:rsidRDefault="008D2026" w:rsidP="005D448A">
      <w:pPr>
        <w:jc w:val="both"/>
      </w:pPr>
    </w:p>
    <w:p w:rsidR="00CE475B" w:rsidRDefault="00CE475B" w:rsidP="005D448A">
      <w:pPr>
        <w:jc w:val="both"/>
      </w:pPr>
      <w:r>
        <w:lastRenderedPageBreak/>
        <w:tab/>
        <w:t>Qualified immunity, when applicable, provides a defense to Section 1983 claims against state and local officials sued in their individual capacities.</w:t>
      </w:r>
      <w:r>
        <w:rPr>
          <w:rStyle w:val="FootnoteReference"/>
        </w:rPr>
        <w:footnoteReference w:id="7"/>
      </w:r>
      <w:r>
        <w:t xml:space="preserve">  </w:t>
      </w:r>
      <w:r>
        <w:rPr>
          <w:i/>
        </w:rPr>
        <w:t>See supra</w:t>
      </w:r>
      <w:r>
        <w:t xml:space="preserve"> Comment 4.7.2; </w:t>
      </w:r>
      <w:r>
        <w:rPr>
          <w:i/>
        </w:rPr>
        <w:t>see also</w:t>
      </w:r>
      <w:r>
        <w:t xml:space="preserve"> Comment 4.7.1 (concerning absolute immunity).</w:t>
      </w:r>
    </w:p>
    <w:p w:rsidR="00594F9C" w:rsidRDefault="00594F9C" w:rsidP="005D448A">
      <w:pPr>
        <w:jc w:val="both"/>
      </w:pPr>
    </w:p>
    <w:p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respondeat superior liability.  </w:t>
      </w:r>
      <w:r>
        <w:rPr>
          <w:i/>
        </w:rPr>
        <w:t>See supra</w:t>
      </w:r>
      <w:r>
        <w:t xml:space="preserve"> Comments 5.1.3 - 5.1.5.</w:t>
      </w:r>
    </w:p>
    <w:p w:rsidR="00CE475B" w:rsidRDefault="00CE475B" w:rsidP="005D448A">
      <w:pPr>
        <w:jc w:val="both"/>
      </w:pPr>
    </w:p>
    <w:p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8"/>
      </w:r>
      <w:r>
        <w:t xml:space="preserve">  By contrast, Title VII authorizes claims against state governments.  </w:t>
      </w:r>
      <w:r>
        <w:rPr>
          <w:i/>
        </w:rPr>
        <w:t>See</w:t>
      </w:r>
      <w:r>
        <w:t xml:space="preserve"> </w:t>
      </w:r>
      <w:r>
        <w:rPr>
          <w:i/>
        </w:rPr>
        <w:t>Fitzpatrick v. Bitzer</w:t>
      </w:r>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9"/>
      </w:r>
    </w:p>
    <w:p w:rsidR="00CE475B" w:rsidRDefault="00CE475B" w:rsidP="005D448A">
      <w:pPr>
        <w:jc w:val="both"/>
      </w:pPr>
    </w:p>
    <w:p w:rsidR="00CE475B" w:rsidRDefault="00CE475B" w:rsidP="005D448A">
      <w:pPr>
        <w:jc w:val="both"/>
      </w:pPr>
      <w:r>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130 F.3d 568, 573 (3d Cir. 1997) (“In Title VII actions, failure to exhaust administrative remedies is an affirmative defense in the nature of statute of limitations.”).  There is no such exhaustion requirement for a Section 1983 employment discrimination claim.</w:t>
      </w:r>
      <w:r>
        <w:rPr>
          <w:rStyle w:val="FootnoteReference"/>
        </w:rPr>
        <w:footnoteReference w:id="10"/>
      </w:r>
    </w:p>
    <w:p w:rsidR="00CE475B" w:rsidRDefault="00CE475B" w:rsidP="005D448A">
      <w:pPr>
        <w:jc w:val="both"/>
      </w:pPr>
    </w:p>
    <w:p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w:t>
      </w:r>
      <w:r>
        <w:lastRenderedPageBreak/>
        <w:t xml:space="preserve">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rsidR="00CE475B" w:rsidRDefault="00CE475B" w:rsidP="005D448A">
      <w:pPr>
        <w:jc w:val="both"/>
      </w:pPr>
    </w:p>
    <w:p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rsidR="00CE475B" w:rsidRDefault="00CE475B" w:rsidP="005D448A">
      <w:pPr>
        <w:jc w:val="both"/>
      </w:pPr>
    </w:p>
    <w:p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1"/>
      </w:r>
      <w:r>
        <w:t xml:space="preserve">  Although </w:t>
      </w:r>
      <w:r>
        <w:rPr>
          <w:i/>
        </w:rPr>
        <w:t>Bradley</w:t>
      </w:r>
      <w:r>
        <w:t xml:space="preserve"> predated the Civil Rights Act of 1991,</w:t>
      </w:r>
      <w:r>
        <w:rPr>
          <w:rStyle w:val="FootnoteReference"/>
        </w:rPr>
        <w:footnoteReference w:id="12"/>
      </w:r>
      <w:r>
        <w:t xml:space="preserve"> district courts within the Third Circuit have continued to 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 xml:space="preserve">757 F.3d 99 (3d Cir. 2014) </w:t>
      </w:r>
      <w:r w:rsidR="00594F9C" w:rsidRPr="00594F9C">
        <w:lastRenderedPageBreak/>
        <w:t>(holding that the Age Discrimination in Employment Act precludes an action for age discrimination under section 1983).</w:t>
      </w:r>
    </w:p>
    <w:p w:rsidR="00CE475B" w:rsidRDefault="00CE475B" w:rsidP="005D448A">
      <w:pPr>
        <w:jc w:val="both"/>
      </w:pPr>
    </w:p>
    <w:p w:rsidR="00E54E59" w:rsidRDefault="00CE475B" w:rsidP="005D448A">
      <w:pPr>
        <w:jc w:val="both"/>
        <w:sectPr w:rsidR="00E54E59" w:rsidSect="005D448A">
          <w:headerReference w:type="default" r:id="rId13"/>
          <w:type w:val="continuous"/>
          <w:pgSz w:w="12240" w:h="15840"/>
          <w:pgMar w:top="1440" w:right="1440" w:bottom="1440" w:left="1440" w:header="1440" w:footer="1440" w:gutter="0"/>
          <w:lnNumType w:countBy="1" w:distance="576"/>
          <w:cols w:space="720"/>
          <w:docGrid w:linePitch="326"/>
        </w:sectPr>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Gierlinger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r>
        <w:br w:type="page"/>
      </w:r>
    </w:p>
    <w:p w:rsidR="0068193B" w:rsidRDefault="00CE475B" w:rsidP="005D448A">
      <w:pPr>
        <w:jc w:val="both"/>
        <w:rPr>
          <w:b/>
          <w:sz w:val="28"/>
        </w:rPr>
      </w:pPr>
      <w:r>
        <w:rPr>
          <w:b/>
          <w:sz w:val="28"/>
        </w:rPr>
        <w:lastRenderedPageBreak/>
        <w:t>7.1</w:t>
      </w:r>
      <w:r>
        <w:rPr>
          <w:b/>
          <w:sz w:val="28"/>
        </w:rPr>
        <w:tab/>
        <w:t>Section 1983 Employment Discrimination – Mixed Motive</w:t>
      </w:r>
    </w:p>
    <w:p w:rsidR="00E54E59" w:rsidRDefault="00E54E59"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 and</w:t>
      </w:r>
    </w:p>
    <w:p w:rsidR="00CE475B" w:rsidRDefault="00CE475B" w:rsidP="005D448A">
      <w:pPr>
        <w:jc w:val="both"/>
      </w:pPr>
    </w:p>
    <w:p w:rsidR="00CE475B" w:rsidRDefault="00CE475B" w:rsidP="005D448A">
      <w:pPr>
        <w:ind w:left="720"/>
        <w:jc w:val="both"/>
      </w:pPr>
      <w:r>
        <w:t>Second: [Plaintiff’s] [protected status] was a motivating factor in [defendant's] decision.</w:t>
      </w:r>
    </w:p>
    <w:p w:rsidR="00CE475B" w:rsidRDefault="00CE475B" w:rsidP="005D448A">
      <w:pPr>
        <w:jc w:val="both"/>
      </w:pPr>
    </w:p>
    <w:p w:rsidR="00CE475B" w:rsidRDefault="00CE475B" w:rsidP="005D448A">
      <w:pPr>
        <w:jc w:val="both"/>
      </w:pPr>
      <w:r>
        <w:tab/>
        <w:t>Although [plaintiff]  must prove that [defendant] acted with the intent to discriminate, [plaintiff] is not required to prove that [defendant] acted  with the particular intent to violate [plaintiff’s] federal civil rights.</w:t>
      </w:r>
    </w:p>
    <w:p w:rsidR="00CE475B" w:rsidRDefault="00CE475B" w:rsidP="005D448A">
      <w:pPr>
        <w:jc w:val="both"/>
      </w:pPr>
    </w:p>
    <w:p w:rsidR="00CE475B" w:rsidRDefault="00CE475B" w:rsidP="005D448A">
      <w:pPr>
        <w:jc w:val="both"/>
      </w:pPr>
      <w:r>
        <w:tab/>
        <w:t xml:space="preserve">In showing that [plaintiff's] [protected class] was a motivating factor for [defendant’s] action, [plaintiff]  is not required to prove that [his/her] [protected status] was the sole motivation or even the primary motivation for [defendant's] decision.  [Plaintiff]  need only prove that [plaintiff’s protected class] played a motivating part in [defendant's] decision even though other factors may also have motivated [defendant]. </w:t>
      </w:r>
    </w:p>
    <w:p w:rsidR="00CE475B" w:rsidRDefault="00CE475B" w:rsidP="005D448A">
      <w:pPr>
        <w:jc w:val="both"/>
      </w:pPr>
    </w:p>
    <w:p w:rsidR="00CE475B" w:rsidRDefault="00CE475B" w:rsidP="005D448A">
      <w:pPr>
        <w:jc w:val="both"/>
      </w:pPr>
      <w:r>
        <w:tab/>
        <w:t xml:space="preserve">As used in this instruction, [plaintiff’s] [protected status] was a “motivating factor” if [his/her]  [protected status] played a part [or played a role] in [defendant’s] decision to [state adverse employment action] [plaintiff]. </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13"/>
      </w:r>
    </w:p>
    <w:p w:rsidR="00CE475B" w:rsidRDefault="00CE475B" w:rsidP="005D448A">
      <w:pPr>
        <w:jc w:val="both"/>
      </w:pPr>
      <w:r>
        <w:tab/>
        <w:t xml:space="preserve">However, if you find that [defendant's] treatment of [plaintiff] was motivated by both discriminatory and lawful reasons, you must consider [defendant’s] “same decision” defense.  If [defendant] proves by a preponderance of the evidence that  [defendant] would have treated </w:t>
      </w:r>
      <w:r>
        <w:lastRenderedPageBreak/>
        <w:t>[plaintiff] the same even if [plaintiff's]  [protected class] had played no role in the employment decision, then your verdict must be for [defendant] on this claim.</w:t>
      </w:r>
      <w:r>
        <w:rPr>
          <w:b/>
        </w:rPr>
        <w:t>]</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4"/>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rsidR="00FC08AD" w:rsidRPr="00FC08AD" w:rsidRDefault="00FC08AD" w:rsidP="00FC08AD">
      <w:pPr>
        <w:jc w:val="both"/>
      </w:pPr>
    </w:p>
    <w:p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rsidR="00CE475B" w:rsidRDefault="00CE475B" w:rsidP="005D448A">
      <w:pPr>
        <w:jc w:val="both"/>
      </w:pPr>
    </w:p>
    <w:p w:rsidR="00CE475B" w:rsidRDefault="00CE475B" w:rsidP="005D448A">
      <w:pPr>
        <w:jc w:val="both"/>
      </w:pPr>
    </w:p>
    <w:p w:rsidR="00CE475B" w:rsidRDefault="00CE475B" w:rsidP="005D448A">
      <w:pPr>
        <w:jc w:val="both"/>
        <w:rPr>
          <w:u w:val="single"/>
        </w:rPr>
      </w:pPr>
      <w:r>
        <w:tab/>
        <w:t xml:space="preserve">In </w:t>
      </w:r>
      <w:r>
        <w:rPr>
          <w:i/>
        </w:rPr>
        <w:t>Gross v. FBL Financial Services, Inc.</w:t>
      </w:r>
      <w:r>
        <w:t xml:space="preserve">, 129 S. Ct. 2343 (2009), the Supreme Court rejected the use of a mixed-motive framework for claims under the Age Discrimination in Employment Act (ADEA).  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w:t>
      </w:r>
      <w:r>
        <w:lastRenderedPageBreak/>
        <w:t xml:space="preserve">this interpretation was bolstered by the fact that when Congress in 1991 provided the statutory mixed-motive framework codified at Section 2000e-5(g)(2)(B), that provision was not drafted so as to cover ADEA claims.  In </w:t>
      </w:r>
      <w:r>
        <w:rPr>
          <w:i/>
        </w:rPr>
        <w:t xml:space="preserve">University of Texas Southwestern Medical Center v. </w:t>
      </w:r>
      <w:bookmarkStart w:id="1" w:name="fiveonesevennassar"/>
      <w:bookmarkEnd w:id="1"/>
      <w:r>
        <w:rPr>
          <w:i/>
        </w:rPr>
        <w:t>Nassar</w:t>
      </w:r>
      <w:r>
        <w:t xml:space="preserve">, 133 S. Ct. 2517 (2013), the Court built upon </w:t>
      </w:r>
      <w:r>
        <w:rPr>
          <w:i/>
        </w:rPr>
        <w:t>Gross</w:t>
      </w:r>
      <w:r>
        <w:t xml:space="preserve"> and ruled out the possibility of using a mixed-motive framework for claims under Title VII’s retaliation provision.  (</w:t>
      </w:r>
      <w:r>
        <w:rPr>
          <w:i/>
        </w:rPr>
        <w:t>Nassar</w:t>
      </w:r>
      <w:r>
        <w:t xml:space="preserve"> is discussed fully in Comment 5.1.7).</w:t>
      </w:r>
    </w:p>
    <w:p w:rsidR="00CE475B" w:rsidRDefault="00CE475B" w:rsidP="005D448A">
      <w:pPr>
        <w:jc w:val="both"/>
        <w:rPr>
          <w:u w:val="single"/>
        </w:rPr>
      </w:pPr>
    </w:p>
    <w:p w:rsidR="00CE475B" w:rsidRDefault="00CE475B" w:rsidP="005D448A">
      <w:pPr>
        <w:jc w:val="both"/>
      </w:pPr>
      <w:r>
        <w:tab/>
        <w:t xml:space="preserve">The decisions in </w:t>
      </w:r>
      <w:r>
        <w:rPr>
          <w:i/>
        </w:rPr>
        <w:t>Gross</w:t>
      </w:r>
      <w:r>
        <w:t xml:space="preserve"> and </w:t>
      </w:r>
      <w:r>
        <w:rPr>
          <w:i/>
        </w:rPr>
        <w:t>Nassar</w:t>
      </w:r>
      <w:r>
        <w:t xml:space="preserve"> 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Pr>
          <w:i/>
        </w:rPr>
        <w:t>see also Price Waterhouse v. Hopkins</w:t>
      </w:r>
      <w:r>
        <w:t xml:space="preserve">, 490 U.S. 228, 269 (1989) (O’Connor, J., concurring in the judgment) (“[W]here a public employee brings a ‘disparate treatment’ claim under 42 U.S.C. § 1983 and the Equal Protection Clause the employee is entitled to the favorable evidentiary framework of </w:t>
      </w:r>
      <w:r>
        <w:rPr>
          <w:i/>
        </w:rPr>
        <w:t>Arlington Heights</w:t>
      </w:r>
      <w:r>
        <w:t xml:space="preserve">.”).  Moreover, the </w:t>
      </w:r>
      <w:r>
        <w:rPr>
          <w:i/>
        </w:rPr>
        <w:t>Nassar</w:t>
      </w:r>
      <w:r>
        <w:t xml:space="preserve"> Court distinguished decisions under other statutory schemes that assimilated retaliation claims to discrimination claims.  For example, the Court’s conclusion in </w:t>
      </w:r>
      <w:r>
        <w:rPr>
          <w:i/>
        </w:rPr>
        <w:t>CBOCS West, Inc. v. Humphries</w:t>
      </w:r>
      <w:r>
        <w:t xml:space="preserve">, 553 U.S. 442, 452–53 (2008), that 42 U.S.C. § 1981 forbids retaliation was based on the broad language of Section 1981, which the </w:t>
      </w:r>
      <w:r>
        <w:rPr>
          <w:i/>
        </w:rPr>
        <w:t>Nassar</w:t>
      </w:r>
      <w:r>
        <w:t xml:space="preserve"> Court contrasted with the more specific language of Title VII.  </w:t>
      </w:r>
      <w:r>
        <w:rPr>
          <w:i/>
        </w:rPr>
        <w:t>See Nassar</w:t>
      </w:r>
      <w:r>
        <w:t>, 133 S. Ct. at 2530 (reasoning that decisions interpreting “broad, general bars on discrimination” are inapposite to the interpretation of “a statute as precise, complex, and exhaustive as Title VII”).</w:t>
      </w:r>
    </w:p>
    <w:p w:rsidR="00CE475B" w:rsidRDefault="00CE475B" w:rsidP="005D448A">
      <w:pPr>
        <w:jc w:val="both"/>
      </w:pPr>
    </w:p>
    <w:p w:rsidR="00CE475B" w:rsidRDefault="00CE475B" w:rsidP="005D448A">
      <w:pPr>
        <w:jc w:val="both"/>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rsidR="00FC3113" w:rsidRDefault="00FC3113" w:rsidP="005D448A">
      <w:pPr>
        <w:jc w:val="both"/>
      </w:pPr>
    </w:p>
    <w:p w:rsidR="00CE475B" w:rsidRDefault="00CE475B" w:rsidP="005D448A">
      <w:pPr>
        <w:jc w:val="both"/>
      </w:pPr>
      <w:r>
        <w:rPr>
          <w:i/>
        </w:rPr>
        <w:t>Animus of Employee Who Was Not the Ultimate Decisionmaker</w:t>
      </w:r>
    </w:p>
    <w:p w:rsidR="00CE475B" w:rsidRDefault="00CE475B" w:rsidP="005D448A">
      <w:pPr>
        <w:jc w:val="both"/>
      </w:pPr>
    </w:p>
    <w:p w:rsidR="0020013B" w:rsidRDefault="00CE475B" w:rsidP="005D448A">
      <w:pPr>
        <w:jc w:val="both"/>
      </w:pPr>
      <w:r>
        <w:lastRenderedPageBreak/>
        <w:tab/>
        <w:t xml:space="preserve">For a discussion of the Court’s treatment in </w:t>
      </w:r>
      <w:r>
        <w:rPr>
          <w:i/>
        </w:rPr>
        <w:t>Staub v. Proctor Hosp.</w:t>
      </w:r>
      <w:r>
        <w:t xml:space="preserve">, 131 S. Ct. 1186 (2011), of the animus of an employee who was not the ultimate decisionmaker, see Comment 5.1.7.  </w:t>
      </w:r>
      <w:r>
        <w:rPr>
          <w:i/>
        </w:rPr>
        <w:t>Staub</w:t>
      </w:r>
      <w:r>
        <w:t xml:space="preserve"> concerned a statute that used the term “motivating factor,” and it is unclear whether the ruling in </w:t>
      </w:r>
      <w:r>
        <w:rPr>
          <w:i/>
        </w:rPr>
        <w:t>Staub</w:t>
      </w:r>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rsidR="005E7864" w:rsidRDefault="005E7864" w:rsidP="005D448A">
      <w:pPr>
        <w:jc w:val="both"/>
      </w:pPr>
    </w:p>
    <w:p w:rsidR="0020013B" w:rsidRDefault="0020013B" w:rsidP="005D448A">
      <w:pPr>
        <w:tabs>
          <w:tab w:val="center" w:pos="4680"/>
        </w:tabs>
        <w:jc w:val="both"/>
        <w:sectPr w:rsidR="0020013B" w:rsidSect="005D448A">
          <w:headerReference w:type="default" r:id="rId14"/>
          <w:type w:val="continuous"/>
          <w:pgSz w:w="12240" w:h="15840"/>
          <w:pgMar w:top="1440" w:right="1440" w:bottom="1440" w:left="1440" w:header="1440" w:footer="1440" w:gutter="0"/>
          <w:lnNumType w:countBy="1" w:distance="576"/>
          <w:cols w:space="720"/>
          <w:docGrid w:linePitch="326"/>
        </w:sectPr>
      </w:pPr>
    </w:p>
    <w:p w:rsidR="00CE475B" w:rsidRDefault="00CE475B" w:rsidP="005D448A">
      <w:pPr>
        <w:tabs>
          <w:tab w:val="center" w:pos="4680"/>
        </w:tabs>
        <w:jc w:val="both"/>
        <w:rPr>
          <w:b/>
          <w:sz w:val="28"/>
        </w:rPr>
      </w:pPr>
      <w:r>
        <w:br w:type="page"/>
      </w:r>
      <w:r>
        <w:rPr>
          <w:b/>
          <w:sz w:val="28"/>
        </w:rPr>
        <w:lastRenderedPageBreak/>
        <w:t>7.2</w:t>
      </w:r>
      <w:r>
        <w:rPr>
          <w:b/>
          <w:sz w:val="28"/>
        </w:rPr>
        <w:tab/>
        <w:t>Section 1983 Employment Discrimination – Pretext</w:t>
      </w:r>
    </w:p>
    <w:p w:rsidR="0068193B" w:rsidRDefault="0068193B"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 and</w:t>
      </w:r>
    </w:p>
    <w:p w:rsidR="00CE475B" w:rsidRDefault="00CE475B" w:rsidP="005D448A">
      <w:pPr>
        <w:jc w:val="both"/>
      </w:pPr>
    </w:p>
    <w:p w:rsidR="00CE475B" w:rsidRDefault="00CE475B" w:rsidP="005D448A">
      <w:pPr>
        <w:ind w:left="720"/>
        <w:jc w:val="both"/>
      </w:pPr>
      <w:r>
        <w:t>Second:  [Plaintiff’s] [protected status] was a determinative factor in [defendant's] decision.</w:t>
      </w:r>
    </w:p>
    <w:p w:rsidR="00CE475B" w:rsidRDefault="00CE475B" w:rsidP="005D448A">
      <w:pPr>
        <w:jc w:val="both"/>
      </w:pPr>
    </w:p>
    <w:p w:rsidR="00CE475B" w:rsidRDefault="00CE475B" w:rsidP="005D448A">
      <w:pPr>
        <w:jc w:val="both"/>
      </w:pPr>
    </w:p>
    <w:p w:rsidR="00CE475B" w:rsidRDefault="00CE475B" w:rsidP="005D448A">
      <w:pPr>
        <w:jc w:val="both"/>
      </w:pPr>
      <w:r>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CE475B" w:rsidRDefault="00CE475B" w:rsidP="005D448A">
      <w:pPr>
        <w:jc w:val="both"/>
      </w:pPr>
    </w:p>
    <w:p w:rsidR="00CE475B" w:rsidRDefault="00CE475B" w:rsidP="005D448A">
      <w:pPr>
        <w:jc w:val="both"/>
      </w:pPr>
      <w:r>
        <w:tab/>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 received in the case in deciding whether [defendant] intentionally discriminated against [plaintiff]].</w:t>
      </w:r>
    </w:p>
    <w:p w:rsidR="00CE475B" w:rsidRDefault="00CE475B" w:rsidP="005D448A">
      <w:pPr>
        <w:jc w:val="both"/>
      </w:pPr>
    </w:p>
    <w:p w:rsidR="00CE475B" w:rsidRDefault="00CE475B" w:rsidP="005D448A">
      <w:pPr>
        <w:jc w:val="both"/>
      </w:pPr>
      <w:r>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managerial judgment.  You cannot find intentional discrimination simply because you disagree with the managerial judgment of [defendant] or believe it is harsh or unreasonable.  You are not to consider [defendant's] wisdom.  However, you may consider whether [defendant's] reason is merely a cover-up for discrimination.</w:t>
      </w:r>
    </w:p>
    <w:p w:rsidR="00CE475B" w:rsidRDefault="00CE475B" w:rsidP="005D448A">
      <w:pPr>
        <w:jc w:val="both"/>
      </w:pPr>
    </w:p>
    <w:p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Pr>
          <w:i/>
        </w:rPr>
        <w:t>St. Mary's Honor Center v. Hicks</w:t>
      </w:r>
      <w:r>
        <w:t xml:space="preserve">, 509 U.S. 502, 506 n.1 (1993) (assuming “that the </w:t>
      </w:r>
      <w:r>
        <w:rPr>
          <w:i/>
        </w:rPr>
        <w:t xml:space="preserve">McDonnell Douglas </w:t>
      </w:r>
      <w:r>
        <w:t xml:space="preserve">framework is fully applicable to racial-discrimination-in-employment claims under 42 U.S.C. § 1983”); </w:t>
      </w:r>
      <w:r>
        <w:rPr>
          <w:i/>
        </w:rPr>
        <w:t>Stewart v. Rutgers, The State University</w:t>
      </w:r>
      <w:r>
        <w:t xml:space="preserve">, 120 F.3d 426, 432 (3d Cir. 1997) (“Our application of the </w:t>
      </w:r>
      <w:r>
        <w:rPr>
          <w:i/>
        </w:rPr>
        <w:t xml:space="preserve">McDonnell Douglas-Burdine </w:t>
      </w:r>
      <w:r>
        <w:t xml:space="preserve">framework is applicable to Stewart's allegation of racial discrimination under 42 U.S.C. §§ 1981 and 1983.”); </w:t>
      </w:r>
      <w:r>
        <w:rPr>
          <w:i/>
        </w:rPr>
        <w:t>McKenna v. Pacific Rail Service</w:t>
      </w:r>
      <w:r>
        <w:t xml:space="preserve">, 32 F.3d 820, 826 n.3 (3d Cir. 1994) (“Although </w:t>
      </w:r>
      <w:r>
        <w:rPr>
          <w:i/>
        </w:rPr>
        <w:t xml:space="preserve">McDonnell Douglas </w:t>
      </w:r>
      <w:r>
        <w:t xml:space="preserve">itself involved [Title VII claims], the shifting burden analysis with which the case name is now synonymous also has been applied in section 1983 cases . . . .”); </w:t>
      </w:r>
      <w:r>
        <w:rPr>
          <w:i/>
        </w:rPr>
        <w:t>Lewis v. University of Pittsburgh</w:t>
      </w:r>
      <w:r>
        <w:t>, 725 F.2d 910, 915 &amp; n.5 (3d Cir. 1983) .</w:t>
      </w:r>
    </w:p>
    <w:p w:rsidR="00CE475B" w:rsidRDefault="00CE475B" w:rsidP="005D448A">
      <w:pPr>
        <w:jc w:val="both"/>
      </w:pPr>
    </w:p>
    <w:p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rsidR="00FC08AD" w:rsidRPr="00FC08AD" w:rsidRDefault="00FC08AD" w:rsidP="00FC08AD">
      <w:pPr>
        <w:jc w:val="both"/>
      </w:pPr>
    </w:p>
    <w:p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rsidR="00CE475B" w:rsidRDefault="00CE475B" w:rsidP="005D448A">
      <w:pPr>
        <w:jc w:val="both"/>
      </w:pPr>
    </w:p>
    <w:p w:rsidR="0078295F" w:rsidRDefault="00CE475B" w:rsidP="005D448A">
      <w:pPr>
        <w:jc w:val="both"/>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rsidR="005E7864" w:rsidRDefault="005E7864" w:rsidP="005D448A">
      <w:pPr>
        <w:jc w:val="both"/>
      </w:pPr>
    </w:p>
    <w:p w:rsidR="005E7864" w:rsidRDefault="005E7864" w:rsidP="005D448A">
      <w:pPr>
        <w:jc w:val="both"/>
        <w:sectPr w:rsidR="005E7864" w:rsidSect="005D448A">
          <w:headerReference w:type="default" r:id="rId15"/>
          <w:type w:val="continuous"/>
          <w:pgSz w:w="12240" w:h="15840"/>
          <w:pgMar w:top="1440" w:right="1440" w:bottom="1440" w:left="1440" w:header="1440" w:footer="1440" w:gutter="0"/>
          <w:lnNumType w:countBy="1" w:distance="576"/>
          <w:cols w:space="720"/>
          <w:docGrid w:linePitch="326"/>
        </w:sectPr>
      </w:pPr>
    </w:p>
    <w:p w:rsidR="005E7864" w:rsidRDefault="005E7864" w:rsidP="005D448A">
      <w:pPr>
        <w:jc w:val="both"/>
      </w:pPr>
    </w:p>
    <w:p w:rsidR="005E7864" w:rsidRDefault="005E7864" w:rsidP="005D448A">
      <w:pPr>
        <w:jc w:val="both"/>
      </w:pPr>
    </w:p>
    <w:p w:rsidR="0068193B" w:rsidRDefault="00CE475B" w:rsidP="005D448A">
      <w:pPr>
        <w:jc w:val="both"/>
        <w:rPr>
          <w:b/>
          <w:i/>
        </w:rPr>
      </w:pPr>
      <w:r>
        <w:br w:type="page"/>
      </w:r>
      <w:r>
        <w:rPr>
          <w:b/>
          <w:sz w:val="28"/>
        </w:rPr>
        <w:lastRenderedPageBreak/>
        <w:t>7.3</w:t>
      </w:r>
      <w:r>
        <w:rPr>
          <w:b/>
          <w:sz w:val="28"/>
        </w:rPr>
        <w:tab/>
        <w:t>Section 1983 Employment Discrimination – Harassment</w:t>
      </w:r>
    </w:p>
    <w:p w:rsidR="0068193B" w:rsidRDefault="0068193B" w:rsidP="005D448A">
      <w:pPr>
        <w:jc w:val="both"/>
        <w:rPr>
          <w:b/>
          <w:i/>
        </w:rPr>
      </w:pPr>
    </w:p>
    <w:p w:rsidR="00CE475B" w:rsidRDefault="00CE475B" w:rsidP="005D448A">
      <w:pPr>
        <w:jc w:val="both"/>
      </w:pPr>
      <w:r>
        <w:rPr>
          <w:b/>
          <w:i/>
        </w:rPr>
        <w:t>No Instruction</w:t>
      </w:r>
    </w:p>
    <w:p w:rsidR="00CE475B" w:rsidRDefault="00CE475B" w:rsidP="005D448A">
      <w:pPr>
        <w:jc w:val="both"/>
      </w:pPr>
    </w:p>
    <w:p w:rsidR="00CE475B" w:rsidRDefault="00CE475B" w:rsidP="005D448A">
      <w:pPr>
        <w:jc w:val="both"/>
      </w:pPr>
    </w:p>
    <w:p w:rsidR="00CE475B" w:rsidRDefault="00CE475B" w:rsidP="005D448A">
      <w:pPr>
        <w:jc w:val="both"/>
        <w:rPr>
          <w:sz w:val="28"/>
        </w:rPr>
      </w:pPr>
      <w:r>
        <w:rPr>
          <w:b/>
          <w:sz w:val="28"/>
        </w:rPr>
        <w:t>Comment</w:t>
      </w:r>
    </w:p>
    <w:p w:rsidR="00CE475B" w:rsidRDefault="00CE475B" w:rsidP="005D448A">
      <w:pPr>
        <w:jc w:val="both"/>
      </w:pPr>
    </w:p>
    <w:p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rsidR="00CE475B" w:rsidRDefault="00CE475B" w:rsidP="005D448A">
      <w:pPr>
        <w:jc w:val="both"/>
      </w:pPr>
    </w:p>
    <w:p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xml:space="preserve">, 477 U.S. 57, 64 (1986) (stating in Title VII case that “[w]ithout question, when a supervisor sexually harasses a subordinate because of the subordinate's sex, that supervisor ‘discriminate[s]’ on the basis of sex”); </w:t>
      </w:r>
      <w:r>
        <w:rPr>
          <w:i/>
        </w:rPr>
        <w:t>Azzaro v. County of Allegheny</w:t>
      </w:r>
      <w:r>
        <w:t>, 110 F.3d 968, 978 (3d Cir. 1997) (en banc) (in assessing retaliation claim, explaining that “[t]he harassment [reported by the plaintiff] was a form of gender discrimination since Fusaro presumably would not have behaved in the same manner toward a supplicant male spouse of a female employee.”).</w:t>
      </w:r>
      <w:r>
        <w:rPr>
          <w:rStyle w:val="FootnoteReference"/>
        </w:rPr>
        <w:footnoteReference w:id="15"/>
      </w:r>
    </w:p>
    <w:p w:rsidR="00CE475B" w:rsidRDefault="00CE475B" w:rsidP="005D448A">
      <w:pPr>
        <w:jc w:val="both"/>
      </w:pPr>
    </w:p>
    <w:p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r>
        <w:rPr>
          <w:i/>
        </w:rPr>
        <w:t>Bonenberger v. Plymouth Twp.</w:t>
      </w:r>
      <w:r>
        <w:t>, 132 F.3d 20, 24 (3d Cir. 1997) (“Under these circumstances La Penta's role within the departmental structure afforded him sufficient authority over Bonenberger to satisfy the color of law requirement of section 1983.”).</w:t>
      </w:r>
      <w:r>
        <w:rPr>
          <w:rStyle w:val="FootnoteReference"/>
        </w:rPr>
        <w:footnoteReference w:id="16"/>
      </w:r>
      <w:r>
        <w:t xml:space="preserve">  However, the Court of Appeals has made clear that this requirement can be met even if </w:t>
      </w:r>
      <w:r>
        <w:lastRenderedPageBreak/>
        <w:t xml:space="preserve">the defendant is not the plaintiff’s formal supervisor: “A state employee may, under certain circumstances, wield considerable control over a subordinate whose work he regularly supervises, even if he does not hire, fire, or issue regular evaluations of her work.”  </w:t>
      </w:r>
      <w:r>
        <w:rPr>
          <w:i/>
        </w:rPr>
        <w:t>Bonenberger</w:t>
      </w:r>
      <w:r>
        <w:t>, 132 F.3d at 23.</w:t>
      </w:r>
    </w:p>
    <w:p w:rsidR="00CE475B" w:rsidRDefault="00CE475B" w:rsidP="005D448A">
      <w:pPr>
        <w:jc w:val="both"/>
      </w:pPr>
    </w:p>
    <w:p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  </w:t>
      </w:r>
      <w:r>
        <w:rPr>
          <w:i/>
        </w:rPr>
        <w:t>See, e.g., Robinson v. City of Pittsburgh</w:t>
      </w:r>
      <w:r>
        <w:t xml:space="preserve">, 120 F.3d 1286, 1296-99 &amp; n.14 (3d Cir. 1997) (discussing merits of Title VII quid pro quo claim at length and briefly stating in footnote that “our discussion in this section applies equally to” a Section 1983 quid pro quo claim by the plaintiff), </w:t>
      </w:r>
      <w:r>
        <w:rPr>
          <w:i/>
        </w:rPr>
        <w:t>abrogated on other grounds by Burlington Northern &amp; Santa Fe Ry. Co. v. White</w:t>
      </w:r>
      <w:r>
        <w:t>, 548 U.S. 53 (2006).  The instruction for such a Section 1983 claim would probably be quite similar, in most respects, to Instruction 5.1.3.</w:t>
      </w:r>
      <w:r>
        <w:rPr>
          <w:rStyle w:val="FootnoteReference"/>
        </w:rPr>
        <w:footnoteReference w:id="17"/>
      </w:r>
    </w:p>
    <w:p w:rsidR="00CE475B" w:rsidRDefault="00CE475B" w:rsidP="005D448A">
      <w:pPr>
        <w:jc w:val="both"/>
      </w:pPr>
    </w:p>
    <w:p w:rsidR="00CE475B" w:rsidRDefault="00CE475B" w:rsidP="005D448A">
      <w:pPr>
        <w:jc w:val="both"/>
      </w:pPr>
      <w:r>
        <w:tab/>
        <w:t>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action</w:t>
      </w:r>
      <w:r>
        <w:rPr>
          <w:rStyle w:val="FootnoteReference"/>
        </w:rPr>
        <w:footnoteReference w:id="18"/>
      </w:r>
      <w:r>
        <w:t xml:space="preserve"> against the plaintiff, that evidence should also establish that the defendant acted under color of state law.</w:t>
      </w:r>
      <w:r>
        <w:rPr>
          <w:rStyle w:val="FootnoteReference"/>
        </w:rPr>
        <w:footnoteReference w:id="19"/>
      </w:r>
    </w:p>
    <w:p w:rsidR="00CE475B" w:rsidRDefault="00CE475B" w:rsidP="005D448A">
      <w:pPr>
        <w:jc w:val="both"/>
      </w:pPr>
    </w:p>
    <w:p w:rsidR="00CE475B" w:rsidRDefault="00CE475B" w:rsidP="005D448A">
      <w:pPr>
        <w:jc w:val="both"/>
      </w:pPr>
      <w:r>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0"/>
      </w:r>
      <w:r>
        <w:t xml:space="preserve">  In </w:t>
      </w:r>
      <w:r>
        <w:rPr>
          <w:i/>
        </w:rPr>
        <w:t>Andrews v. City of Philadelphia</w:t>
      </w:r>
      <w:r>
        <w:t xml:space="preserve">, the court enumerated five elements “for a sexually </w:t>
      </w:r>
      <w:r>
        <w:lastRenderedPageBreak/>
        <w:t xml:space="preserve">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respondeat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rsidR="00CE475B" w:rsidRDefault="00CE475B" w:rsidP="005D448A">
      <w:pPr>
        <w:jc w:val="both"/>
      </w:pPr>
    </w:p>
    <w:p w:rsidR="00CE475B" w:rsidRDefault="00CE475B" w:rsidP="005D448A">
      <w:pPr>
        <w:ind w:left="720"/>
        <w:jc w:val="both"/>
      </w:pPr>
      <w:r>
        <w:t>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VII elements, and although the judge's decision here may be affected by certain findings of the jury, they are ultimately a decision of the court.</w:t>
      </w:r>
    </w:p>
    <w:p w:rsidR="00CE475B" w:rsidRDefault="00CE475B" w:rsidP="005D448A">
      <w:pPr>
        <w:jc w:val="both"/>
      </w:pPr>
    </w:p>
    <w:p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Pr>
          <w:rStyle w:val="FootnoteReference"/>
        </w:rPr>
        <w:footnoteReference w:id="21"/>
      </w:r>
      <w:r>
        <w:t xml:space="preserve"> and it is unclear how an equal protection hostile environment claim should be affected, if at all, by later developments in sexual harassment law under Title VII.  The paragraphs that follow, however, attempt to draw together existing Third Circuit doctrine on equal protection hostile environment claims.</w:t>
      </w:r>
    </w:p>
    <w:p w:rsidR="00CE475B" w:rsidRDefault="00CE475B" w:rsidP="005D448A">
      <w:pPr>
        <w:jc w:val="both"/>
      </w:pPr>
    </w:p>
    <w:p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2"/>
      </w:r>
      <w:r>
        <w:t xml:space="preserve">  In addition, the normal rules of supervisory and municipal liability apply in order to </w:t>
      </w:r>
      <w:r>
        <w:lastRenderedPageBreak/>
        <w:t>determine whether the harasser’s supervisor and/or municipal employer are liable under Section 1983 for the harasser’s equal protection violation.</w:t>
      </w:r>
      <w:r>
        <w:rPr>
          <w:rStyle w:val="FootnoteReference"/>
        </w:rPr>
        <w:footnoteReference w:id="23"/>
      </w:r>
    </w:p>
    <w:p w:rsidR="0023730D" w:rsidRDefault="0023730D" w:rsidP="005D448A">
      <w:pPr>
        <w:jc w:val="both"/>
      </w:pPr>
    </w:p>
    <w:p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4"/>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question of what level of action or indifference suffices to show intent to discriminate on the part of the supervisor or the municipality.</w:t>
      </w:r>
    </w:p>
    <w:p w:rsidR="00CE475B" w:rsidRDefault="00CE475B" w:rsidP="005D448A">
      <w:pPr>
        <w:jc w:val="both"/>
      </w:pPr>
    </w:p>
    <w:p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rsidR="00CE475B" w:rsidRDefault="00CE475B" w:rsidP="005D448A">
      <w:pPr>
        <w:jc w:val="both"/>
      </w:pPr>
    </w:p>
    <w:p w:rsidR="00CE475B" w:rsidRDefault="00CE475B" w:rsidP="005D448A">
      <w:pPr>
        <w:ind w:left="720"/>
        <w:jc w:val="both"/>
      </w:pPr>
      <w:r>
        <w:t xml:space="preserve">There is evidence that Liciardello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w:t>
      </w:r>
      <w:r>
        <w:lastRenderedPageBreak/>
        <w:t>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rsidR="00CE475B" w:rsidRDefault="00CE475B" w:rsidP="005D448A">
      <w:pPr>
        <w:jc w:val="both"/>
      </w:pPr>
    </w:p>
    <w:p w:rsidR="00CE475B" w:rsidRDefault="00CE475B" w:rsidP="005D448A">
      <w:pPr>
        <w:jc w:val="both"/>
      </w:pPr>
      <w:r>
        <w:rPr>
          <w:i/>
        </w:rPr>
        <w:t>Andrews</w:t>
      </w:r>
      <w:r>
        <w:t>, 895 F.2d at 1479.</w:t>
      </w:r>
    </w:p>
    <w:p w:rsidR="00CE475B" w:rsidRDefault="00CE475B" w:rsidP="005D448A">
      <w:pPr>
        <w:jc w:val="both"/>
      </w:pPr>
    </w:p>
    <w:p w:rsidR="00CE475B" w:rsidRDefault="00CE475B" w:rsidP="005D448A">
      <w:pPr>
        <w:jc w:val="both"/>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5"/>
      </w:r>
      <w:r>
        <w:t xml:space="preserve"> </w:t>
      </w:r>
    </w:p>
    <w:p w:rsidR="0078295F" w:rsidRDefault="0078295F" w:rsidP="005D448A">
      <w:pPr>
        <w:jc w:val="both"/>
        <w:sectPr w:rsidR="0078295F" w:rsidSect="005D448A">
          <w:headerReference w:type="default" r:id="rId16"/>
          <w:type w:val="continuous"/>
          <w:pgSz w:w="12240" w:h="15840"/>
          <w:pgMar w:top="1440" w:right="1440" w:bottom="1440" w:left="1440" w:header="1440" w:footer="1440" w:gutter="0"/>
          <w:lnNumType w:countBy="1" w:distance="576"/>
          <w:cols w:space="720"/>
          <w:docGrid w:linePitch="326"/>
        </w:sectPr>
      </w:pPr>
    </w:p>
    <w:p w:rsidR="0078295F" w:rsidRDefault="0078295F" w:rsidP="005D448A">
      <w:pPr>
        <w:jc w:val="both"/>
      </w:pPr>
    </w:p>
    <w:p w:rsidR="0068193B" w:rsidRDefault="00CE475B" w:rsidP="005D448A">
      <w:pPr>
        <w:jc w:val="both"/>
        <w:rPr>
          <w:b/>
          <w:sz w:val="28"/>
        </w:rPr>
      </w:pPr>
      <w:r>
        <w:br w:type="page"/>
      </w:r>
      <w:r>
        <w:rPr>
          <w:b/>
          <w:sz w:val="28"/>
        </w:rPr>
        <w:lastRenderedPageBreak/>
        <w:t>7.4</w:t>
      </w:r>
      <w:r>
        <w:rPr>
          <w:b/>
          <w:sz w:val="28"/>
        </w:rPr>
        <w:tab/>
        <w:t>Employment Discrimination – Retaliation – First Amendment</w:t>
      </w: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6"/>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27"/>
      </w:r>
    </w:p>
    <w:p w:rsidR="00CE475B" w:rsidRDefault="00CE475B" w:rsidP="005D448A">
      <w:pPr>
        <w:jc w:val="both"/>
      </w:pPr>
    </w:p>
    <w:p w:rsidR="00CE475B" w:rsidRDefault="00CE475B" w:rsidP="005D448A">
      <w:pPr>
        <w:jc w:val="both"/>
      </w:pPr>
      <w:r>
        <w:tab/>
        <w:t>It is my duty to instruct you on whether [plaintiff] engaged in activity that was protected by the First Amendment.  In this case, I instruct you that the following activity was protected by the First Amendment:</w:t>
      </w:r>
    </w:p>
    <w:p w:rsidR="00CE475B" w:rsidRDefault="00CE475B" w:rsidP="005D448A">
      <w:pPr>
        <w:jc w:val="both"/>
      </w:pPr>
    </w:p>
    <w:p w:rsidR="00CE475B" w:rsidRDefault="00CE475B" w:rsidP="005D448A">
      <w:pPr>
        <w:ind w:left="1440" w:hanging="720"/>
        <w:jc w:val="both"/>
      </w:pPr>
      <w:r>
        <w:rPr>
          <w:rFonts w:ascii="WP TypographicSymbols" w:hAnsi="WP TypographicSymbols"/>
        </w:rPr>
        <w:t>!</w:t>
      </w:r>
      <w:r>
        <w:tab/>
        <w:t>[Describe specifically the plaintiff’s protected activity].  In the rest of this instruction, I will refer to these events as “[plaintiff’s] protected activity.”</w:t>
      </w:r>
    </w:p>
    <w:p w:rsidR="00CE475B" w:rsidRDefault="00CE475B" w:rsidP="005D448A">
      <w:pPr>
        <w:jc w:val="both"/>
      </w:pPr>
    </w:p>
    <w:p w:rsidR="00CE475B" w:rsidRDefault="00CE475B" w:rsidP="005D448A">
      <w:pPr>
        <w:jc w:val="both"/>
      </w:pPr>
      <w:r>
        <w:tab/>
        <w:t>In order for [plaintiff] to recover on this claim against [defendant], [plaintiff] must prove both of the following by a preponderance of the evidence:</w:t>
      </w:r>
    </w:p>
    <w:p w:rsidR="00CE475B" w:rsidRDefault="00CE475B" w:rsidP="005D448A">
      <w:pPr>
        <w:jc w:val="both"/>
      </w:pPr>
    </w:p>
    <w:p w:rsidR="00CE475B" w:rsidRDefault="00CE475B" w:rsidP="005D448A">
      <w:pPr>
        <w:ind w:left="720"/>
        <w:jc w:val="both"/>
      </w:pPr>
      <w:r>
        <w:t xml:space="preserve"> First: [Defendant] [failed to promote] [terminated] [constructively discharged]</w:t>
      </w:r>
      <w:r>
        <w:rPr>
          <w:rStyle w:val="FootnoteReference"/>
        </w:rPr>
        <w:footnoteReference w:id="28"/>
      </w:r>
      <w:r>
        <w:t xml:space="preserve"> [plaintiff]; and</w:t>
      </w:r>
    </w:p>
    <w:p w:rsidR="00FB4C26" w:rsidRDefault="00FB4C26" w:rsidP="005D448A">
      <w:pPr>
        <w:ind w:left="720"/>
        <w:jc w:val="both"/>
      </w:pPr>
    </w:p>
    <w:p w:rsidR="00CE475B" w:rsidRDefault="00CE475B" w:rsidP="005D448A">
      <w:pPr>
        <w:ind w:left="720"/>
        <w:jc w:val="both"/>
      </w:pPr>
      <w:r>
        <w:t>Second: [Plaintiff’s] protected activity was a motivating factor in [defendant's] decision.</w:t>
      </w:r>
    </w:p>
    <w:p w:rsidR="00CE475B" w:rsidRDefault="00CE475B" w:rsidP="005D448A">
      <w:pPr>
        <w:jc w:val="both"/>
      </w:pPr>
    </w:p>
    <w:p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29"/>
      </w:r>
    </w:p>
    <w:p w:rsidR="00CE475B" w:rsidRDefault="00CE475B" w:rsidP="005D448A">
      <w:pPr>
        <w:jc w:val="both"/>
      </w:pPr>
    </w:p>
    <w:p w:rsidR="00CE475B" w:rsidRDefault="00CE475B" w:rsidP="005D448A">
      <w:pPr>
        <w:jc w:val="both"/>
      </w:pPr>
      <w:r>
        <w:tab/>
        <w:t>However, [defendant] argues that [he/she] would have made the same decision to [describe adverse action] whether or not [plaintiff] had engaged in the protected activity.  If [defendant] proves by a preponderance of the evidence that  [defendant] would have treated [plaintiff] the same even if [plaintiff's] protected activity had played no role in the employment decision, then your verdict must be for [defendant] on this claim.</w:t>
      </w:r>
      <w:r>
        <w:rPr>
          <w:b/>
        </w:rPr>
        <w:t>]</w:t>
      </w:r>
      <w:r>
        <w:tab/>
      </w:r>
    </w:p>
    <w:p w:rsidR="00CE475B" w:rsidRDefault="00CE475B" w:rsidP="005D448A">
      <w:pPr>
        <w:jc w:val="both"/>
      </w:pP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 xml:space="preserve">abrogated on other </w:t>
      </w:r>
      <w:r>
        <w:rPr>
          <w:i/>
        </w:rPr>
        <w:lastRenderedPageBreak/>
        <w:t>grounds by Borough of Duryea v. Guarnieri</w:t>
      </w:r>
      <w:r>
        <w:t>, 131 S. Ct. 2488 (2011).</w:t>
      </w:r>
      <w:r>
        <w:rPr>
          <w:rStyle w:val="FootnoteReference"/>
        </w:rPr>
        <w:footnoteReference w:id="30"/>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1"/>
      </w:r>
      <w:r>
        <w:t xml:space="preserve">  “Second, the employee must show that the protected activity ‘was a substantial factor in the alleged retaliatory action.’”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p>
    <w:p w:rsidR="00CE475B" w:rsidRDefault="00CE475B" w:rsidP="005D448A">
      <w:pPr>
        <w:jc w:val="both"/>
      </w:pPr>
    </w:p>
    <w:p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See, e.g., Zelinski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rsidR="00CE475B" w:rsidRDefault="00CE475B" w:rsidP="005D448A">
      <w:pPr>
        <w:pStyle w:val="ListParagra"/>
      </w:pPr>
    </w:p>
    <w:p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abrogated on other grounds by Borough of Duryea v. Guarnieri</w:t>
      </w:r>
      <w:r>
        <w:t xml:space="preserve">, 131 S. Ct. 2488 (2011). On other occasions, however, it used distinct tests for each.  </w:t>
      </w:r>
      <w:r>
        <w:rPr>
          <w:i/>
        </w:rPr>
        <w:t>See</w:t>
      </w:r>
      <w:r>
        <w:t xml:space="preserve"> </w:t>
      </w:r>
      <w:r>
        <w:rPr>
          <w:i/>
        </w:rPr>
        <w:t>Azzaro v. County of Allegheny</w:t>
      </w:r>
      <w:r>
        <w:t xml:space="preserve">, 110 F.3d 968, 973-75 (3d Cir. 1997) (en banc).  In </w:t>
      </w:r>
      <w:r>
        <w:rPr>
          <w:i/>
        </w:rPr>
        <w:t>University of Texas Southwestern Medical Center v. Nassar</w:t>
      </w:r>
      <w:r>
        <w:t xml:space="preserve">, 133 S. Ct. 2517 (2013), the Court  rejected the motivating-factor standard for claims under Title VII’s retaliation provision. </w:t>
      </w:r>
      <w:r>
        <w:rPr>
          <w:i/>
        </w:rPr>
        <w:t>Nassar</w:t>
      </w:r>
      <w:r>
        <w:t xml:space="preserve">, however, did not disturb the standard used for First Amendment retaliation claims. As a result, the causation standard for 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that an employee may not recover in a dual-motives case if the employer shows that it would have taken the same action even absent the protected speech.”).</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tab/>
      </w:r>
      <w:r>
        <w:tab/>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‘“the interest of the State, as an employer, in promoting the efficiency of the public services it performs through its employees.”’” </w:t>
      </w:r>
      <w:r>
        <w:rPr>
          <w:i/>
        </w:rPr>
        <w:t>Waters v. Churchill</w:t>
      </w:r>
      <w:r>
        <w:t xml:space="preserve">, 511 U.S. 661, 668 (1994) (plurality opinion) (quoting </w:t>
      </w:r>
      <w:r>
        <w:rPr>
          <w:i/>
        </w:rPr>
        <w:t>Connick v. Myers</w:t>
      </w:r>
      <w:r>
        <w:t xml:space="preserve">, 461 U.S. 138, 142 (1983) (quoting </w:t>
      </w:r>
      <w:r>
        <w:rPr>
          <w:i/>
        </w:rPr>
        <w:t xml:space="preserve">Pickering v. Board of Ed. </w:t>
      </w:r>
      <w:r>
        <w:rPr>
          <w:i/>
        </w:rPr>
        <w:lastRenderedPageBreak/>
        <w:t>of Township High School Dist. 205, Will Cty.</w:t>
      </w:r>
      <w:r>
        <w:t>, 391 U.S. 563, 568 (1968))).</w:t>
      </w:r>
      <w:r>
        <w:rPr>
          <w:rStyle w:val="FootnoteReference"/>
        </w:rPr>
        <w:footnoteReference w:id="32"/>
      </w:r>
    </w:p>
    <w:p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3"/>
      </w:r>
      <w:r>
        <w:t xml:space="preserve"> must not be made pursuant to the plaintiff’s job responsibilities</w:t>
      </w:r>
      <w:r>
        <w:rPr>
          <w:rStyle w:val="FootnoteReference"/>
        </w:rPr>
        <w:footnoteReference w:id="34"/>
      </w:r>
      <w:r>
        <w:t xml:space="preserve"> as a government employee:  A closely divided Court held in </w:t>
      </w:r>
      <w:r>
        <w:rPr>
          <w:i/>
        </w:rPr>
        <w:t>Garcetti v. Ceballos</w:t>
      </w:r>
      <w:r>
        <w:t xml:space="preserve">, 126 S. Ct. 1951 (2006), that  “when public employees make statements pursuant to their official duties, the employees are not speaking as citizens for First Amendment purposes, and the Constitution does not insulate their communications from employer discipline.”  </w:t>
      </w:r>
      <w:r>
        <w:rPr>
          <w:i/>
        </w:rPr>
        <w:t>Id.</w:t>
      </w:r>
      <w:r>
        <w:t xml:space="preserve"> at 1960.</w:t>
      </w:r>
      <w:r>
        <w:rPr>
          <w:rStyle w:val="FootnoteReference"/>
        </w:rPr>
        <w:footnoteReference w:id="35"/>
      </w:r>
      <w:r>
        <w:t xml:space="preserve">   The Court of Appeals has since held </w:t>
      </w:r>
      <w:r>
        <w:lastRenderedPageBreak/>
        <w:t xml:space="preserve">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Reilly v. 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r w:rsidRPr="00A3164E">
        <w:rPr>
          <w:i/>
        </w:rPr>
        <w:t>Garcetti</w:t>
      </w:r>
      <w:r w:rsidRPr="00A3164E">
        <w:t xml:space="preserve"> “precludes First Amendment protection for speech that ‘owes its existence to a public employee's professional responsibilities,’”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w:t>
      </w:r>
      <w:r w:rsidRPr="00A3164E">
        <w:lastRenderedPageBreak/>
        <w:t xml:space="preserve">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employee's duties—might narrow the range of employee speech left unprotected by </w:t>
      </w:r>
      <w:r w:rsidRPr="00A3164E">
        <w:rPr>
          <w:i/>
        </w:rPr>
        <w:t>Garcetti</w:t>
      </w:r>
      <w:r w:rsidRPr="00A3164E">
        <w:t xml:space="preserve">. </w:t>
      </w:r>
      <w:r w:rsidRPr="00A3164E">
        <w:rPr>
          <w:i/>
        </w:rPr>
        <w:t>Id</w:t>
      </w:r>
      <w:r w:rsidRPr="00A3164E">
        <w:t xml:space="preserve"> at 990.  </w:t>
      </w:r>
      <w:r w:rsidRPr="00A3164E">
        <w:rPr>
          <w:i/>
        </w:rPr>
        <w:t>See also</w:t>
      </w:r>
      <w:r w:rsidRPr="00A3164E">
        <w:t xml:space="preserve"> </w:t>
      </w:r>
      <w:r w:rsidRPr="00A3164E">
        <w:rPr>
          <w:i/>
        </w:rPr>
        <w:t>Flora v. County of Luzerne</w:t>
      </w:r>
      <w:r w:rsidRPr="00A3164E">
        <w:t xml:space="preserve">, 776 F.3d 169, 180 (3d Cir. 2015) (relying on </w:t>
      </w:r>
      <w:r w:rsidRPr="00A3164E">
        <w:rPr>
          <w:i/>
        </w:rPr>
        <w:t xml:space="preserve">Dougherty </w:t>
      </w:r>
      <w:r w:rsidRPr="00A3164E">
        <w:t xml:space="preserve">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 For a discussion (albeit without resolution) of the difficulties involved in applying </w:t>
      </w:r>
      <w:r w:rsidRPr="00A3164E">
        <w:rPr>
          <w:i/>
        </w:rPr>
        <w:t>Garcetti</w:t>
      </w:r>
      <w:r w:rsidRPr="00A3164E">
        <w:t xml:space="preserve"> to speech by an elected official, see </w:t>
      </w:r>
      <w:r w:rsidRPr="00A3164E">
        <w:rPr>
          <w:i/>
        </w:rPr>
        <w:t>Werkheiser v. Pocono Twp.,</w:t>
      </w:r>
      <w:r w:rsidRPr="00A3164E">
        <w:t xml:space="preserve"> 780 F.3d 172 (3d Cir. 2015).</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r>
        <w:rPr>
          <w:i/>
        </w:rPr>
        <w:t>Connick</w:t>
      </w:r>
      <w:r>
        <w:t xml:space="preserve"> / </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court must apply the </w:t>
      </w:r>
      <w:r>
        <w:rPr>
          <w:i/>
        </w:rPr>
        <w:t>Connick</w:t>
      </w:r>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36"/>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w:t>
      </w:r>
      <w:r>
        <w:lastRenderedPageBreak/>
        <w:t>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37"/>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38"/>
      </w:r>
      <w:r>
        <w:t xml:space="preserve">  However, the plurality’s application of its test is indicative: 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39"/>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Whether the plaintiff’s statements were protected by the First Amendment is a question of law for the court.  </w:t>
      </w:r>
      <w:r>
        <w:rPr>
          <w:i/>
        </w:rPr>
        <w:t>See Azzaro v. County of Allegheny</w:t>
      </w:r>
      <w:r>
        <w:t>, 110 F.3d 968, 975 (3d Cir. 1997) (en banc) (“We must first inquire whether Azzaro's reports to Fox and Sirabella were protected by the First Amendment. This is a question of law.”).</w:t>
      </w:r>
      <w:r>
        <w:rPr>
          <w:rStyle w:val="FootnoteReference"/>
        </w:rPr>
        <w:footnoteReference w:id="40"/>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 </w:t>
      </w:r>
      <w:r>
        <w:rPr>
          <w:i/>
        </w:rPr>
        <w:t>Azzaro</w:t>
      </w:r>
      <w:r>
        <w:t xml:space="preserve">, 110 F.3d at 976 (quoting </w:t>
      </w:r>
      <w:r>
        <w:rPr>
          <w:i/>
        </w:rPr>
        <w:t>Connick v. Myers</w:t>
      </w:r>
      <w:r>
        <w:t>, 461 U.S. 138, 147-48 (1983)).</w:t>
      </w:r>
      <w:r>
        <w:rPr>
          <w:rStyle w:val="FootnoteReference"/>
        </w:rPr>
        <w:footnoteReference w:id="41"/>
      </w:r>
      <w:r>
        <w:t xml:space="preserve">  Second, the employee’s expressive conduct must not have been part of the employee’s job duties.  </w:t>
      </w:r>
      <w:r>
        <w:rPr>
          <w:i/>
        </w:rPr>
        <w:t>See supra</w:t>
      </w:r>
      <w:r>
        <w:t xml:space="preserve"> (discussing </w:t>
      </w:r>
      <w:r>
        <w:rPr>
          <w:i/>
        </w:rPr>
        <w:t>Garcetti v. Ceballos</w:t>
      </w:r>
      <w:r>
        <w:t xml:space="preserve">, 126 S. Ct. 1951 (2006)).  Third, “the value of that expression must outweigh ‘the government's interest in the effective and efficient </w:t>
      </w:r>
      <w:r>
        <w:lastRenderedPageBreak/>
        <w:t xml:space="preserve">fulfillment of its responsibilities to the public.’” </w:t>
      </w:r>
      <w:r>
        <w:rPr>
          <w:i/>
        </w:rPr>
        <w:t>Azzaro</w:t>
      </w:r>
      <w:r>
        <w:t xml:space="preserve">, 110 F.3d at 976 (quoting </w:t>
      </w:r>
      <w:r>
        <w:rPr>
          <w:i/>
        </w:rPr>
        <w:t>Connick</w:t>
      </w:r>
      <w:r>
        <w:t>, 461 U.S. at 150).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r>
        <w:rPr>
          <w:i/>
        </w:rPr>
        <w:t>Azzaro</w:t>
      </w:r>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Azzaro had made, in her capacity as the spouse of an employee, to plead for her husband's job.”  </w:t>
      </w:r>
      <w:r>
        <w:rPr>
          <w:i/>
        </w:rPr>
        <w:t>Azzaro</w:t>
      </w:r>
      <w:r>
        <w:t xml:space="preserve">, 110 F.3d at 978.  Reasoning that the plaintiff’s reports “brought to light actual wrongdoing on the part of one exercising public authority that would be relevant to the electorate's evaluation of the performance of the office of an elected official,” the en banc majority held that the reports “should be regarded as a matter of public concern unless something in their form or context deprived them of their value to the process of self-governance.”  </w:t>
      </w:r>
      <w:r>
        <w:rPr>
          <w:i/>
        </w:rPr>
        <w:t>Id.</w:t>
      </w:r>
      <w:r>
        <w:t xml:space="preserve"> at 978-79.  Under </w:t>
      </w:r>
      <w:r>
        <w:rPr>
          <w:i/>
        </w:rPr>
        <w:t>Azzaro</w:t>
      </w:r>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Scirica,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r>
        <w:rPr>
          <w:i/>
        </w:rPr>
        <w:t>Montone v. City of Jersey City</w:t>
      </w:r>
      <w:r>
        <w:t>, 709 F.3d 181, 194-95 (3d Cir. 2013) (holding that plaintiff’s “speech involved a matter of public concern,” even though “no elected figure [wa]s involved,” where there were “at least three separate instances of alleged sexual harassment . . .  and the inappropriate conduct was not directed solely at Montone”).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2"/>
      </w:r>
      <w:r>
        <w:t xml:space="preserve"> against “the government's interest as an employer in promoting the efficiency of the services it performs through its employees.”</w:t>
      </w:r>
      <w:r>
        <w:rPr>
          <w:rStyle w:val="FootnoteReference"/>
        </w:rPr>
        <w:footnoteReference w:id="43"/>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abrogated on other grounds by Borough of Duryea v. Guarnieri</w:t>
      </w:r>
      <w:r>
        <w:t>, 131 S. Ct. 2488 (2011).</w:t>
      </w:r>
      <w:r>
        <w:rPr>
          <w:rStyle w:val="FootnoteReference"/>
        </w:rPr>
        <w:footnoteReference w:id="44"/>
      </w:r>
      <w:r w:rsidR="00A3164E">
        <w:t xml:space="preserve"> </w:t>
      </w:r>
      <w:r w:rsidR="00A3164E" w:rsidRPr="00A3164E">
        <w:t xml:space="preserve">In applying the </w:t>
      </w:r>
      <w:r w:rsidR="00A3164E" w:rsidRPr="00A3164E">
        <w:rPr>
          <w:i/>
        </w:rPr>
        <w:t>Pickering</w:t>
      </w:r>
      <w:r w:rsidR="00A3164E" w:rsidRPr="00A3164E">
        <w:t xml:space="preserve"> balancing test, the district court should be aware that “[s]ome disruption is almost certainly inevitable,” and that it “is against [Third Circuit] precedent to find against an employee where the disruption ‘was primarily the result, not of the plaintiff's exercise of speech, but of his superiors’ attempts to suppress it.’” </w:t>
      </w:r>
      <w:r w:rsidR="00A3164E" w:rsidRPr="00A3164E">
        <w:rPr>
          <w:i/>
        </w:rPr>
        <w:t xml:space="preserve">Dougherty v. School Dist. of Philadelphia, </w:t>
      </w:r>
      <w:r w:rsidR="00A3164E" w:rsidRPr="00A3164E">
        <w:t xml:space="preserve">772 F.3d 979, 992 (3d Cir. 2014) (quoting </w:t>
      </w:r>
      <w:r w:rsidR="00A3164E" w:rsidRPr="00A3164E">
        <w:rPr>
          <w:i/>
          <w:iCs/>
        </w:rPr>
        <w:t>Czurlanis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r>
      <w:r>
        <w:rPr>
          <w:u w:val="single"/>
        </w:rPr>
        <w:t>Second element: substantial factor.</w:t>
      </w:r>
      <w:r>
        <w:rPr>
          <w:rStyle w:val="FootnoteReference"/>
        </w:rPr>
        <w:footnoteReference w:id="45"/>
      </w:r>
      <w:r>
        <w:t xml:space="preserve">  The plaintiff must show a “causal link” between the protected speech and the adverse employment action.  </w:t>
      </w:r>
      <w:r>
        <w:rPr>
          <w:i/>
        </w:rPr>
        <w:t>See, e.g., Thomas v. Town of Hammonton</w:t>
      </w:r>
      <w:r>
        <w:t xml:space="preserve">, 351 F.3d 108, 114 (3d Cir. 2003); </w:t>
      </w:r>
      <w:r>
        <w:rPr>
          <w:i/>
        </w:rPr>
        <w:t>see also Azzaro</w:t>
      </w:r>
      <w:r>
        <w:t>, 110 F.3d at 981 (reversing summary judgment dismissing First Amendment retaliation claim, because there existed “a material dispute of fact as to whether [plaintiff’s] reports were a motivating factor in the discharge decision”).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de minimis</w:t>
      </w:r>
      <w:r>
        <w:t xml:space="preserve">.  </w:t>
      </w:r>
      <w:r>
        <w:rPr>
          <w:i/>
        </w:rPr>
        <w:t>See McKee v. Hart</w:t>
      </w:r>
      <w:r>
        <w:t xml:space="preserve">, 436 F.3d 165,170 (3d Cir. 2006) (“[N]ot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minimis </w:t>
      </w:r>
      <w:r>
        <w:t xml:space="preserve">by itself or if viewed in isolation.”  </w:t>
      </w:r>
      <w:r>
        <w:rPr>
          <w:i/>
        </w:rPr>
        <w:t>Brennan v. Norton</w:t>
      </w:r>
      <w:r>
        <w:t xml:space="preserve">, 350 F.3d 399, 419 n.16 (3d Cir. 2003), </w:t>
      </w:r>
      <w:r>
        <w:rPr>
          <w:i/>
        </w:rPr>
        <w:t>abrogated on other grounds by Borough of Duryea v. Guarnieri</w:t>
      </w:r>
      <w:r>
        <w:t xml:space="preserve">, 131 S. Ct. 2488 (2011); </w:t>
      </w:r>
      <w:r>
        <w:rPr>
          <w:i/>
        </w:rPr>
        <w:t>see also Suppan v. Dadonna</w:t>
      </w:r>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r>
        <w:rPr>
          <w:i/>
        </w:rPr>
        <w:t>Suppan</w:t>
      </w:r>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r w:rsidR="00A3164E" w:rsidRPr="00A3164E">
        <w:rPr>
          <w:i/>
        </w:rPr>
        <w:t>Werkheiser v. Pocono Twp.,</w:t>
      </w:r>
      <w:r w:rsidR="00A3164E" w:rsidRPr="00A3164E">
        <w:t xml:space="preserve"> 780 F.3d 172 (3d Cir. 2015) (discussing but not resolving what kinds of political retaliation by elected officials against their peers violate the First Amendment).</w:t>
      </w:r>
      <w:r>
        <w:rPr>
          <w:rStyle w:val="FootnoteReference"/>
        </w:rPr>
        <w:footnoteReference w:id="46"/>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decisionmakers must be aware of the protected conduct.”  </w:t>
      </w:r>
      <w:r>
        <w:rPr>
          <w:i/>
        </w:rPr>
        <w:t>Ambrose v. Township of Robinson, Pa.</w:t>
      </w:r>
      <w:r>
        <w:t xml:space="preserve">, 303 F.3d 488, 493 (3d Cir. 2002).  If the plaintiff shows that the decisionmaker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xml:space="preserve">, 351 F.3d at 114, but “[e]ven if timing alone could ever be sufficient to establish a causal link, . . . the timing of the alleged retaliatory action must be 'unusually suggestive' of retaliatory motive before a causal link will be inferred."  </w:t>
      </w:r>
      <w:r>
        <w:rPr>
          <w:i/>
        </w:rPr>
        <w:t>Estate of Smith v. Marasco</w:t>
      </w:r>
      <w:r>
        <w:t xml:space="preserve">, 318 F.3d 497, 512 (3d Cir. </w:t>
      </w:r>
      <w:r>
        <w:lastRenderedPageBreak/>
        <w:t xml:space="preserve">2003) (quoting </w:t>
      </w:r>
      <w:r>
        <w:rPr>
          <w:i/>
        </w:rPr>
        <w:t>Krouse v. Am. Sterilizer Co.</w:t>
      </w:r>
      <w:r>
        <w:t>, 126 F.3d 494, 503 (3d Cir. 1997)).</w:t>
      </w:r>
      <w:r>
        <w:rPr>
          <w:rStyle w:val="FootnoteReference"/>
        </w:rPr>
        <w:footnoteReference w:id="47"/>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Lauren W. v. DeFlaminis</w:t>
      </w:r>
      <w:r>
        <w:t>, 480 F.3d 259 (3d Cir. 2007) – a case involving retaliation claims under both the First Amendment and the Rehabilitation Act – the Court of Appeals noted three options for proving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t>Id.</w:t>
      </w:r>
      <w:r>
        <w:t xml:space="preserve"> at 267.</w:t>
      </w:r>
      <w:r>
        <w:rPr>
          <w:rStyle w:val="FootnoteReference"/>
        </w:rPr>
        <w:footnoteReference w:id="48"/>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49"/>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50"/>
      </w:r>
      <w:r>
        <w:t xml:space="preserve">  In other words, “the defendant[], in proving ‘same decision,’ must prove that the protected conduct was </w:t>
      </w:r>
      <w:r>
        <w:rPr>
          <w:i/>
        </w:rPr>
        <w:t>not</w:t>
      </w:r>
      <w:r>
        <w:t xml:space="preserve"> the but-for cause.”  </w:t>
      </w:r>
      <w:r>
        <w:rPr>
          <w:i/>
        </w:rPr>
        <w:t>Suppan v. Dadonna</w:t>
      </w:r>
      <w:r>
        <w:t>, 203 F.3d 228, 236 (3d Cir. 2000).</w:t>
      </w: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7"/>
          <w:headerReference w:type="default" r:id="rId18"/>
          <w:footerReference w:type="even" r:id="rId19"/>
          <w:type w:val="continuous"/>
          <w:pgSz w:w="12240" w:h="15840"/>
          <w:pgMar w:top="1440" w:right="1440" w:bottom="1440" w:left="1440" w:header="1440" w:footer="1440" w:gutter="0"/>
          <w:lnNumType w:countBy="1" w:distance="576"/>
          <w:cols w:space="720"/>
          <w:docGrid w:linePitch="326"/>
        </w:sectPr>
      </w:pP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1"/>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2"/>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3"/>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4"/>
      </w:r>
      <w:r>
        <w:t xml:space="preserve">  Specifically, the Court held that there is a Seventh Amendment right</w:t>
      </w:r>
      <w:r>
        <w:rPr>
          <w:rStyle w:val="FootnoteReference"/>
        </w:rPr>
        <w:footnoteReference w:id="55"/>
      </w:r>
      <w:r>
        <w:t xml:space="preserve"> to a jury determination of the question of liability in a Section 1983 suit seeking damages reflecting just compensation for a regulatory taking.  </w:t>
      </w:r>
      <w:r>
        <w:rPr>
          <w:i/>
        </w:rPr>
        <w:t xml:space="preserve">See id. </w:t>
      </w:r>
      <w:r>
        <w:t xml:space="preserve">at 721.  As the Court explained, “[e]ven when viewed as a simple suit for just compensation, . . . Del Monte Dunes' action sought </w:t>
      </w:r>
      <w:r>
        <w:lastRenderedPageBreak/>
        <w:t xml:space="preserve">essentially legal relief.”  </w:t>
      </w:r>
      <w:r>
        <w:rPr>
          <w:i/>
        </w:rPr>
        <w:t>Id.</w:t>
      </w:r>
      <w:r>
        <w:t xml:space="preserve"> at 710.  The Court relied on “the ‘general rule’ that monetary relief is legal,” </w:t>
      </w:r>
      <w:r>
        <w:rPr>
          <w:i/>
        </w:rPr>
        <w:t xml:space="preserve">id. </w:t>
      </w:r>
      <w:r>
        <w:t xml:space="preserve">(quoting </w:t>
      </w:r>
      <w:r>
        <w:rPr>
          <w:i/>
        </w:rPr>
        <w:t>Feltner v. Columbia Pictures Television, Inc.</w:t>
      </w:r>
      <w:r>
        <w:t xml:space="preserve">, 523 U.S. 340, 352 (1998) (quoting </w:t>
      </w:r>
      <w:r>
        <w:rPr>
          <w:i/>
        </w:rPr>
        <w:t>Chauffeurs, Teamsters and Helpers, Local No. 391 v. Terry</w:t>
      </w:r>
      <w:r>
        <w:t xml:space="preserve">, 494 U.S. 558, 570 (1990))), and on the view that “[j]ust compensation . . . differs from equitable restitution and other monetary remedies available in equity, for in determining just compensation, ‘the question is what has the owner lost, not what has the taker gained,’” </w:t>
      </w:r>
      <w:r>
        <w:rPr>
          <w:i/>
        </w:rPr>
        <w:t>id.</w:t>
      </w:r>
      <w:r>
        <w:t xml:space="preserve"> (quoting </w:t>
      </w:r>
      <w:r>
        <w:rPr>
          <w:i/>
        </w:rPr>
        <w:t>Boston Chamber of Commerce v. Boston</w:t>
      </w:r>
      <w:r>
        <w:t>, 217 U.S. 189, 195 (1910)).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Once a court determines that a Section 1983 suit seeks legal relief – thus triggering the right to a jury – the court must next ascertain “whether the particular issues” in question are “proper for determination by the jury.”  </w:t>
      </w:r>
      <w:r>
        <w:rPr>
          <w:i/>
        </w:rPr>
        <w:t>Del Monte Dunes</w:t>
      </w:r>
      <w:r>
        <w:t xml:space="preserve">, 526 U.S. at 718 (citing </w:t>
      </w:r>
      <w:r>
        <w:rPr>
          <w:i/>
        </w:rPr>
        <w:t>Markman v. Westview Instruments, Inc.</w:t>
      </w:r>
      <w:r>
        <w:t>, 517 U.S. 370 (1996)).</w:t>
      </w:r>
      <w:r>
        <w:rPr>
          <w:rStyle w:val="FootnoteReference"/>
        </w:rPr>
        <w:footnoteReference w:id="56"/>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at 231 (“The courts of appeal have taken at least five different positions about the right of jury trial in back pay claims under §§ 1981 and 1983.”), and the Third Circuit caselaw is inconclusive.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See Laskaris v. Thornburgh</w:t>
      </w:r>
      <w:r>
        <w:t>, 733 F.2d 260, 263 (3d Cir. 1984) (“[A]lthough the request for back pay under section 1983 seeks only equitable relief . . . , a claim for compensatory and punitive damages is a legal claim entitling the plaintiff to a jury trial.”).</w:t>
      </w:r>
      <w:r>
        <w:rPr>
          <w:rStyle w:val="FootnoteReference"/>
        </w:rPr>
        <w:footnoteReference w:id="57"/>
      </w:r>
      <w:r>
        <w:t xml:space="preserve">  Thus, for example, in </w:t>
      </w:r>
      <w:r>
        <w:rPr>
          <w:i/>
        </w:rPr>
        <w:t>Savarese v. Agriss</w:t>
      </w:r>
      <w:r>
        <w:t xml:space="preserve">, the Court </w:t>
      </w:r>
      <w:r>
        <w:lastRenderedPageBreak/>
        <w:t xml:space="preserve">of Appeals (in vacating and remanding for a redetermination of damages and back pay) indicated that the question of compensatory damages was for the jury while the question of back pay was for the trial judge.  </w:t>
      </w:r>
      <w:r>
        <w:rPr>
          <w:i/>
        </w:rPr>
        <w:t>See Savarese v. Agriss</w:t>
      </w:r>
      <w:r>
        <w:t>, 883 F.2d 1194, 1206 (3d Cir. 1989) (“[W]e will vacate both Savarese's compensatory damage award and the equitable award of back pay for Savarese and remand to the district court for a new trial on compensatory damages and a recalculation of back pay by the district judge.”).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 at least one occasion, however, the Court of Appeals has appeared to contemplate a procedure by which both back pay and front pay were submitted to the jury.</w:t>
      </w:r>
      <w:r>
        <w:rPr>
          <w:rStyle w:val="FootnoteReference"/>
        </w:rPr>
        <w:footnoteReference w:id="58"/>
      </w:r>
      <w:r>
        <w:t xml:space="preserve">  In </w:t>
      </w:r>
      <w:r>
        <w:rPr>
          <w:i/>
        </w:rPr>
        <w:t>Squires v. Bonser</w:t>
      </w:r>
      <w:r>
        <w:t xml:space="preserve">, </w:t>
      </w:r>
      <w:r>
        <w:lastRenderedPageBreak/>
        <w:t xml:space="preserve">the Court of Appeals held that the district court abused its discretion in denying reinstatement.  </w:t>
      </w:r>
      <w:r>
        <w:rPr>
          <w:i/>
        </w:rPr>
        <w:t>Squires v. Bonser</w:t>
      </w:r>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 xml:space="preserve">at 176 n.15 (noting that in the previous trial the trial judge instructed the jury that the “[p]laintiff is entitled to be compensated for any wages that you find that he lost up to this date, or any wages that you find that he may lose in the future”); </w:t>
      </w:r>
      <w:r>
        <w:rPr>
          <w:i/>
        </w:rPr>
        <w:t>id.</w:t>
      </w:r>
      <w:r>
        <w:t xml:space="preserve"> at 176 n.16 (“[A]sking the jury for a lump-sum award which includes front-pay when the plaintiff also seeks reinstatement. . . .  wastes judicial resources in that if reinstatement is awarded a retrial is then required to parcel out the damages into component parts (i.e., front-pay versus back-pay).”).</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59"/>
      </w:r>
      <w:r>
        <w:t xml:space="preserve"> the court could draft an instruction on that issue by making appropriate adaptations to Instruction 5.4.3 (concerning back pay under Title VII).</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0"/>
      </w:r>
      <w:r>
        <w:t xml:space="preserve">  The determination concerning reinstatement is for the district court.</w:t>
      </w:r>
      <w:r>
        <w:rPr>
          <w:rStyle w:val="FootnoteReference"/>
        </w:rPr>
        <w:footnoteReference w:id="61"/>
      </w:r>
      <w:r>
        <w:t xml:space="preserve">  If the district court determines that reinstatement is appropriate, then the district court should award reinstatement and should not</w:t>
      </w:r>
      <w:r w:rsidR="005D448A">
        <w:t xml:space="preserve"> permit the award of front pay.</w:t>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Where an award of front pay is warranted, it may be the case that the amount of front pay </w:t>
      </w:r>
      <w:r>
        <w:lastRenderedPageBreak/>
        <w:t>should be determined by the jury,</w:t>
      </w:r>
      <w:r>
        <w:rPr>
          <w:rStyle w:val="FootnoteReference"/>
        </w:rPr>
        <w:footnoteReference w:id="62"/>
      </w:r>
      <w:r>
        <w:t xml:space="preserve"> though here, too, the Third Circuit caselaw is inconclusive.</w:t>
      </w:r>
      <w:r>
        <w:rPr>
          <w:rStyle w:val="FootnoteReference"/>
        </w:rPr>
        <w:footnoteReference w:id="63"/>
      </w:r>
      <w:r>
        <w:t xml:space="preserve">  In the context of the Age Discrimination in Employment Act, the Court of Appeals has treated the amount of front pay as a question for the jury.  </w:t>
      </w:r>
      <w:r>
        <w:rPr>
          <w:i/>
        </w:rPr>
        <w:t>See</w:t>
      </w:r>
      <w:r>
        <w:t xml:space="preserve"> </w:t>
      </w:r>
      <w:r>
        <w:rPr>
          <w:i/>
        </w:rPr>
        <w:t>Maxfield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r>
        <w:rPr>
          <w:i/>
        </w:rPr>
        <w:t>Maxfield</w:t>
      </w:r>
      <w:r>
        <w:t xml:space="preserve"> court’s reasoning suggests that front pay should be viewed as a legal remedy,</w:t>
      </w:r>
      <w:r>
        <w:rPr>
          <w:rStyle w:val="FootnoteReference"/>
        </w:rPr>
        <w:footnoteReference w:id="64"/>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w:t>
      </w:r>
      <w:r>
        <w:lastRenderedPageBreak/>
        <w:t>other elements of compensatory damages.</w:t>
      </w:r>
      <w:r>
        <w:rPr>
          <w:rStyle w:val="FootnoteReference"/>
        </w:rPr>
        <w:footnoteReference w:id="65"/>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66"/>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67"/>
      </w:r>
      <w:r>
        <w:t xml:space="preserve"> the court could draft an instruction on that issue by making appropriate adaptations to Instruction 5.4.4 (concerning front pay under Title VII).</w:t>
      </w:r>
    </w:p>
    <w:sectPr w:rsidR="005D448A" w:rsidSect="005D448A">
      <w:headerReference w:type="default" r:id="rId20"/>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64" w:rsidRDefault="00025964">
      <w:r>
        <w:separator/>
      </w:r>
    </w:p>
  </w:endnote>
  <w:endnote w:type="continuationSeparator" w:id="0">
    <w:p w:rsidR="00025964" w:rsidRDefault="0002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0" w:rsidRDefault="00146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0" w:rsidRDefault="001460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64" w:rsidRDefault="00025964">
      <w:r>
        <w:separator/>
      </w:r>
    </w:p>
  </w:footnote>
  <w:footnote w:type="continuationSeparator" w:id="0">
    <w:p w:rsidR="00025964" w:rsidRDefault="00025964">
      <w:r>
        <w:continuationSeparator/>
      </w:r>
    </w:p>
  </w:footnote>
  <w:footnote w:id="1">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r>
        <w:rPr>
          <w:i/>
        </w:rPr>
        <w:t>Engquist v. Oregon Department of Agriculture</w:t>
      </w:r>
      <w:r>
        <w:t>, 128 S.Ct. 2146, 2148-2149, 2157 (2008).</w:t>
      </w:r>
    </w:p>
  </w:footnote>
  <w:footnote w:id="2">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id. § 2000e(h) (defining “industry affecting commerce” to include “any governmental industry, business, or activity”).</w:t>
      </w:r>
    </w:p>
  </w:footnote>
  <w:footnote w:id="3">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Al-Khazraji</w:t>
      </w:r>
      <w:r>
        <w:t>, 481 U.S. 604, 609 (1987) (noting that “the Court has construed [Section 1981] to forbid all ‘racial’ discrimination in the making of private as well as public contracts”).</w:t>
      </w:r>
    </w:p>
  </w:footnote>
  <w:footnote w:id="4">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5">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6">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caselaw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92-98 (1998) (arguing that non-supervisory co-workers can violate equal protection by “us[ing] their position with a government employer as an opportunity to engage in severe and pervasive harassment of fellow employees”); </w:t>
      </w:r>
      <w:r>
        <w:rPr>
          <w:i/>
        </w:rPr>
        <w:t xml:space="preserve">see also infra </w:t>
      </w:r>
      <w:r>
        <w:t>Comment 7.3.</w:t>
      </w:r>
    </w:p>
  </w:footnote>
  <w:footnote w:id="7">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xml:space="preserve">, 895 F.2d at 1480 (“Liciardello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8">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9">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0">
    <w:p w:rsidR="004166CA" w:rsidRDefault="004166CA"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1">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F.Supp.2d 544, 558 (D. Del. 1999)  (“A claim of retaliation cannot be the sole basis for a § 1983 claim where there is no violation of the Constitution or federal law, other than the retaliation provision of Title VII.”).</w:t>
      </w:r>
    </w:p>
    <w:p w:rsidR="004166CA" w:rsidRDefault="004166CA"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r>
        <w:rPr>
          <w:i/>
        </w:rPr>
        <w:t>Bivens</w:t>
      </w:r>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Davis v. Passman</w:t>
      </w:r>
      <w:r>
        <w:t xml:space="preserve">, 442 U.S. 228, 248-49 (1979) (holding that personal staff member of Member of Congress could bring </w:t>
      </w:r>
      <w:r>
        <w:rPr>
          <w:i/>
        </w:rPr>
        <w:t>Bivens</w:t>
      </w:r>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2">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3">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4">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rsidR="004166CA" w:rsidRDefault="004166CA"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5">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Bohen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6">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r>
        <w:rPr>
          <w:i/>
        </w:rPr>
        <w:t>Bonenberger</w:t>
      </w:r>
      <w:r>
        <w:t xml:space="preserve"> court noted that “a state employee who pursues purely private motives and whose interaction with the victim is unconnected with his execution of official duties does not act under color of law.”  </w:t>
      </w:r>
      <w:r>
        <w:rPr>
          <w:i/>
        </w:rPr>
        <w:t>Bonenberger</w:t>
      </w:r>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r>
        <w:rPr>
          <w:i/>
        </w:rPr>
        <w:t>Bonenberger</w:t>
      </w:r>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17">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18">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19">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 Bonenberger</w:t>
      </w:r>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0">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r>
        <w:rPr>
          <w:i/>
        </w:rPr>
        <w:t>Bohen</w:t>
      </w:r>
      <w:r>
        <w:t xml:space="preserve">, 799 F.2d at 1187; </w:t>
      </w:r>
      <w:r>
        <w:rPr>
          <w:i/>
        </w:rPr>
        <w:t>see also Ascolese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r>
        <w:rPr>
          <w:i/>
        </w:rPr>
        <w:t>Bohen</w:t>
      </w:r>
      <w:r>
        <w:t>).</w:t>
      </w:r>
    </w:p>
    <w:p w:rsidR="004166CA" w:rsidRDefault="004166CA"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See, e.g., Tuggle v. Mangan</w:t>
      </w:r>
      <w:r>
        <w:t xml:space="preserve">, 348 F.3d 714, 720 (8th Cir. 2003) (applying elements of Title VII claim to Section 1983 harassment claim); </w:t>
      </w:r>
      <w:r>
        <w:rPr>
          <w:i/>
        </w:rPr>
        <w:t>cf. Ascolese</w:t>
      </w:r>
      <w:r>
        <w:t>, 902 F. Supp. at 548 (drawing upon Title VII caselaw concerning sexual harassment in order to address Section 1983 sexual harassment claim, while acknowledging that the Title VII precedent “does not apply directly”).</w:t>
      </w:r>
    </w:p>
    <w:p w:rsidR="004166CA" w:rsidRDefault="004166CA"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1">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caselaw recognizes that courts analyzing Title VII hostile-environment claims should look to whether the conduct in question was “severe or pervasive.”  See Comment 5.1.4.</w:t>
      </w:r>
    </w:p>
  </w:footnote>
  <w:footnote w:id="22">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3">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Bonenberger</w:t>
      </w:r>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4">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Zelinski v. Pennsylvania State Police</w:t>
      </w:r>
      <w:r>
        <w:t>, 108 Fed. Appx. 700, 703 (3d Cir. 2004) (non-precedential opinion) (holding that defendant did not act under color of law when committing alleged harassment because he had neither formal nor de facto supervisory authority over plaintiff).</w:t>
      </w:r>
    </w:p>
    <w:p w:rsidR="004166CA" w:rsidRDefault="004166CA"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See, e.g., Zelinski</w:t>
      </w:r>
      <w:r>
        <w:t>, 108 Fed.Appx. at 704 (holding that district court should not have granted summary judgment dismissing Title VII harassment claim).</w:t>
      </w:r>
    </w:p>
  </w:footnote>
  <w:footnote w:id="25">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Bohen</w:t>
      </w:r>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occurring--even in the absence of actual knowledge of its occurrence--constitutes deliberate indifference, where the employer has also failed to take any steps to encourage the reporting of such incidents”).</w:t>
      </w:r>
    </w:p>
  </w:footnote>
  <w:footnote w:id="26">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27">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166CA" w:rsidRDefault="004166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rsidR="007D4E4E" w:rsidRDefault="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D4E4E" w:rsidRPr="007D4E4E" w:rsidRDefault="007D4E4E"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rsidR="007D4E4E" w:rsidRDefault="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28">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minimis.  </w:t>
      </w:r>
      <w:r>
        <w:rPr>
          <w:i/>
        </w:rPr>
        <w:t>See</w:t>
      </w:r>
      <w:r>
        <w:t xml:space="preserve"> Comment.</w:t>
      </w:r>
    </w:p>
  </w:footnote>
  <w:footnote w:id="29">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0">
    <w:p w:rsidR="004166CA" w:rsidRDefault="004166C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1">
    <w:p w:rsidR="007D4E4E" w:rsidRDefault="007D4E4E">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sidR="008001C1">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2">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“[R]etaliation by a government employer for a public employee's exercise of the right of access to the courts may implicate the protections of the Petition Clause.”  </w:t>
      </w:r>
      <w:r>
        <w:rPr>
          <w:i/>
        </w:rPr>
        <w:t>Borough of Duryea v. Guarnieri</w:t>
      </w:r>
      <w:r>
        <w:t xml:space="preserve">, 131 S. Ct. 2488, 2494 (2011).  In </w:t>
      </w:r>
      <w:r>
        <w:rPr>
          <w:i/>
        </w:rPr>
        <w:t>Guarnieri</w:t>
      </w:r>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66CA" w:rsidRDefault="004166CA"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Pr="00433479">
        <w:t xml:space="preserve">A public employee may also have a retaliation claim based on the First Amendment right to freedom of association. </w:t>
      </w:r>
      <w:r w:rsidRPr="00433479">
        <w:rPr>
          <w:i/>
        </w:rPr>
        <w:t>See, e.g</w:t>
      </w:r>
      <w:r w:rsidRPr="00433479">
        <w:t xml:space="preserve">., </w:t>
      </w:r>
      <w:r w:rsidRPr="00433479">
        <w:rPr>
          <w:i/>
        </w:rPr>
        <w:t>Heffernan v. Paterson</w:t>
      </w:r>
      <w:r>
        <w:t xml:space="preserve">, </w:t>
      </w:r>
      <w:r w:rsidR="007D4E4E" w:rsidRPr="00CD3E58">
        <w:t>136 S. Ct. 1412 (2016)</w:t>
      </w:r>
      <w:r w:rsidRPr="00433479">
        <w:t>.</w:t>
      </w:r>
    </w:p>
  </w:footnote>
  <w:footnote w:id="33">
    <w:p w:rsidR="004166CA" w:rsidRDefault="004166CA"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r>
        <w:rPr>
          <w:i/>
        </w:rPr>
        <w:t>Garcetti v. Ceballos</w:t>
      </w:r>
      <w:r>
        <w:t xml:space="preserve">, 126 S. Ct. 1951, 1962 (2006).  In </w:t>
      </w:r>
      <w:r>
        <w:rPr>
          <w:i/>
        </w:rPr>
        <w:t>Garcetti</w:t>
      </w:r>
      <w:r>
        <w:t xml:space="preserve">, which involved a deputy district attorney who sued the County of Los Angeles, and also certain of his supervisors in the Los Angeles District Attorney's Office, the Court found it unnecessary to determine whether its analysis in </w:t>
      </w:r>
      <w:r>
        <w:rPr>
          <w:i/>
        </w:rPr>
        <w:t xml:space="preserve">Garcetti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r>
        <w:rPr>
          <w:i/>
        </w:rPr>
        <w:t xml:space="preserve">Garcetti </w:t>
      </w:r>
      <w:r>
        <w:t xml:space="preserve">applied to this case, Borden's speech would not be protected as it was made pursuant to his official duties as a coach of the EBHS football team and not as an ordinary citizen. However, even if </w:t>
      </w:r>
      <w:r>
        <w:rPr>
          <w:i/>
        </w:rPr>
        <w:t xml:space="preserve">Garcetti </w:t>
      </w:r>
      <w:r>
        <w:t>does not apply in the educational context, Borden's conduct is not on a matter of public concern for the reasons just described.”).</w:t>
      </w: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Court of Appeals has noted that “[t]he full implications of the Supreme Court's statements in </w:t>
      </w:r>
      <w:r>
        <w:rPr>
          <w:i/>
        </w:rPr>
        <w:t xml:space="preserve">Garcetti </w:t>
      </w:r>
      <w:r>
        <w:t xml:space="preserve">regarding ‘speech related to scholarship or teaching’ are not clear.... As a result, federal circuit courts differ over whether (and, if so, when) to apply </w:t>
      </w:r>
      <w:r>
        <w:rPr>
          <w:i/>
        </w:rPr>
        <w:t>Garcetti</w:t>
      </w:r>
      <w:r>
        <w:t xml:space="preserve">'s official-duty test to academic instructors.”  </w:t>
      </w:r>
      <w:r>
        <w:rPr>
          <w:i/>
        </w:rPr>
        <w:t>Gorum v. Sessoms</w:t>
      </w:r>
      <w:r>
        <w:t xml:space="preserve">, 561 F.3d 179, 186 n.6 (3d Cir. 2009).  The plaintiff in </w:t>
      </w:r>
      <w:r>
        <w:rPr>
          <w:i/>
        </w:rPr>
        <w:t>Gorum</w:t>
      </w:r>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r>
        <w:rPr>
          <w:i/>
        </w:rPr>
        <w:t>Gorum</w:t>
      </w:r>
      <w:r>
        <w:t xml:space="preserve"> court held that neither of these incidents involved citizen speech; rather, under </w:t>
      </w:r>
      <w:r>
        <w:rPr>
          <w:i/>
        </w:rPr>
        <w:t>Garcetti</w:t>
      </w:r>
      <w:r>
        <w:t xml:space="preserve">, these activities were undertaken pursuant to the plaintiff’s duties.  The court noted: “In determining that Gorum did not speak as a citizen.... we apply the official duty test because Gorum's actions so clearly were not ‘speech related to scholarship or teaching,’ ... and because we believe that such a determination here does not ‘imperil First Amendment protection of academic freedom in public colleges and universities.’” </w:t>
      </w:r>
      <w:r>
        <w:rPr>
          <w:i/>
        </w:rPr>
        <w:t>Gorum</w:t>
      </w:r>
      <w:r>
        <w:t xml:space="preserve">, 561 F.3d at 186 (quoting </w:t>
      </w:r>
      <w:r>
        <w:rPr>
          <w:i/>
        </w:rPr>
        <w:t>Garcetti</w:t>
      </w:r>
      <w:r>
        <w:t xml:space="preserve">, 547 U.S. at 425, and Justice Souter’s dissent in </w:t>
      </w:r>
      <w:r>
        <w:rPr>
          <w:i/>
        </w:rPr>
        <w:t>Garcetti</w:t>
      </w:r>
      <w:r>
        <w:t xml:space="preserve">, </w:t>
      </w:r>
      <w:r w:rsidRPr="002554FC">
        <w:rPr>
          <w:i/>
        </w:rPr>
        <w:t>id</w:t>
      </w:r>
      <w:r>
        <w:t>. at 438).</w:t>
      </w: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4">
    <w:p w:rsidR="004166CA" w:rsidRDefault="004166CA"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r>
        <w:rPr>
          <w:i/>
        </w:rPr>
        <w:t>Garcetti</w:t>
      </w:r>
      <w:r>
        <w:t>, 126 S. Ct. at 1961-62.</w:t>
      </w:r>
    </w:p>
  </w:footnote>
  <w:footnote w:id="35">
    <w:p w:rsidR="004166CA" w:rsidRDefault="004166CA"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r>
        <w:rPr>
          <w:i/>
        </w:rPr>
        <w:t xml:space="preserve">Garcetti </w:t>
      </w:r>
      <w:r>
        <w:t>test thus:</w:t>
      </w: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66CA" w:rsidRDefault="004166CA"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r>
        <w:rPr>
          <w:i/>
        </w:rPr>
        <w:t>Garcetti</w:t>
      </w:r>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abrogated on other grounds by Borough of Duryea v. Guarnieri</w:t>
      </w:r>
      <w:r>
        <w:t xml:space="preserve">, 131 S. Ct. 2488 (2011); </w:t>
      </w:r>
      <w:r>
        <w:rPr>
          <w:i/>
        </w:rPr>
        <w:t>see also Foraker</w:t>
      </w:r>
      <w:r>
        <w:t>, 501 F.3d at 250 (Pollak,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36">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xml:space="preserve">, 136 S.Ct.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37">
    <w:p w:rsidR="004166CA" w:rsidRDefault="004166CA"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38">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r>
        <w:rPr>
          <w:i/>
        </w:rPr>
        <w:t>Connick</w:t>
      </w:r>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r>
        <w:rPr>
          <w:i/>
        </w:rPr>
        <w:t>Connick</w:t>
      </w:r>
      <w:r>
        <w:t xml:space="preserve"> test to the speech as the employer reasonably found it to be; but the plurality did not explain who should determine any disputes of material fact as to what the employer actually believed.</w:t>
      </w:r>
    </w:p>
  </w:footnote>
  <w:footnote w:id="39">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See also Curinga v. City of Clairton</w:t>
      </w:r>
      <w:r>
        <w:t xml:space="preserve">, 357 F.3d 305, 310 (3d Cir. 2004) (“[T]he first factor is a question of law.”); </w:t>
      </w:r>
      <w:r>
        <w:rPr>
          <w:i/>
        </w:rPr>
        <w:t>Baldassare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 / Pickering </w:t>
      </w:r>
      <w:r>
        <w:t>tests is a matter of law for the court – not on the question of who should determine any underlying disputes of historical fact.</w:t>
      </w:r>
    </w:p>
  </w:footnote>
  <w:footnote w:id="40">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1">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r>
        <w:rPr>
          <w:i/>
        </w:rPr>
        <w:t>Gorum v. Sessoms</w:t>
      </w:r>
      <w:r>
        <w:t>, 561 F.3d 179, 187 (3d Cir. 2009) (professor’s assistance to student in connection with disciplinary proceeding was not speech on matter of public concern but, rather, “related to the personal grievance of one student”).</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p>
  </w:footnote>
  <w:footnote w:id="42">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 Baldassare v. State of N.J.</w:t>
      </w:r>
      <w:r>
        <w:t>, 250 F.3d 188, 198 (3d Cir. 2001) (“[T]he public's interest in exposing potential wrongdoing by public employees is especially powerful.”).</w:t>
      </w:r>
    </w:p>
  </w:footnote>
  <w:footnote w:id="43">
    <w:p w:rsidR="004166CA" w:rsidRDefault="004166CA"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abrogated on other grounds by Borough of Duryea v. Guarnieri</w:t>
      </w:r>
      <w:r>
        <w:t>, 131 S. Ct. 2488 (2011).</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r>
        <w:rPr>
          <w:i/>
        </w:rPr>
        <w:t>Azzaro</w:t>
      </w:r>
      <w:r>
        <w:t xml:space="preserve">, 110 F.3d at 980 (performing balancing analysis); </w:t>
      </w:r>
      <w:r>
        <w:rPr>
          <w:i/>
        </w:rPr>
        <w:t>id.</w:t>
      </w:r>
      <w:r>
        <w:t xml:space="preserve"> at 981 (finding “a material dispute of fact as to whether [plaintiff’s] reports were a motivating factor in the discharge decision”).</w:t>
      </w: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4">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Azzaro</w:t>
      </w:r>
      <w:r>
        <w:t xml:space="preserve">, noting the “substantial public interest in Azzaro’s revelations” and the “negligible” nature of any countervailing government interest, the Court of Appeals held that “the </w:t>
      </w:r>
      <w:r>
        <w:rPr>
          <w:i/>
        </w:rPr>
        <w:t>Pickering</w:t>
      </w:r>
      <w:r>
        <w:t xml:space="preserve"> balance falls in Azzaro's favor.”  </w:t>
      </w:r>
      <w:r>
        <w:rPr>
          <w:i/>
        </w:rPr>
        <w:t>Azzaro</w:t>
      </w:r>
      <w:r>
        <w:t>, 110 F.3d at 980.</w:t>
      </w:r>
    </w:p>
  </w:footnote>
  <w:footnote w:id="45">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“present[] question[s] of fact for the jury.”  </w:t>
      </w:r>
      <w:r>
        <w:rPr>
          <w:i/>
        </w:rPr>
        <w:t>McGreevy v. Stroup</w:t>
      </w:r>
      <w:r>
        <w:t>, 413 F.3d 359, 364 (3d Cir. 2005).</w:t>
      </w:r>
    </w:p>
  </w:footnote>
  <w:footnote w:id="46">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Lauren W. v. DeFlaminis</w:t>
      </w:r>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See also Brightwell v. Lehman</w:t>
      </w:r>
      <w:r>
        <w:t>, 637 F.3d 187, 194 (3d Cir. 2011) (holding that the alleged retaliation – a misconduct report (charging the plaintiff inmate with lying about an underlying incident) that was later dismissed – “does not rise to the level of ‘adverse action’” because it did not meet the ordinary-firmness standard).</w:t>
      </w:r>
    </w:p>
  </w:footnote>
  <w:footnote w:id="47">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48">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49">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“‘[S]ubstantial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0">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1">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2">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3">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4">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5">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56">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decisionmaker (judge or jury) should decide a remedies question, the analysis seems likely to turn principally on whether the remedy is equitable or legal in nature.</w:t>
      </w:r>
    </w:p>
  </w:footnote>
  <w:footnote w:id="57">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Laskaris</w:t>
      </w:r>
      <w:r>
        <w:t xml:space="preserve"> court cited </w:t>
      </w:r>
      <w:r>
        <w:rPr>
          <w:i/>
        </w:rPr>
        <w:t>Gurmankin v. Costanzo</w:t>
      </w:r>
      <w:r>
        <w:t xml:space="preserve">, 626 F.2d 1115, 1122-23 (3d Cir. 1980) as support for this proposition.  </w:t>
      </w:r>
      <w:r>
        <w:rPr>
          <w:i/>
        </w:rPr>
        <w:t>Gurmankin</w:t>
      </w:r>
      <w:r>
        <w:t xml:space="preserve">, however, did not concern the right to a jury trial.  In </w:t>
      </w:r>
      <w:r>
        <w:rPr>
          <w:i/>
        </w:rPr>
        <w:t>Gurmankin</w:t>
      </w:r>
      <w:r>
        <w:t xml:space="preserve">, the Court of Appeals held that the trial judge’s denial of back pay (after a bench trial) constituted an abuse of discretion.  </w:t>
      </w:r>
      <w:r>
        <w:rPr>
          <w:i/>
        </w:rPr>
        <w:t xml:space="preserve">See id. </w:t>
      </w:r>
      <w:r>
        <w:t xml:space="preserve">at 1124-25.  As support for the view that “backpay [is] an integral aspect of equitable relief to be awarded in a suit brought under section 1983 against a school district,” </w:t>
      </w:r>
      <w:r>
        <w:rPr>
          <w:i/>
        </w:rPr>
        <w:t>id.</w:t>
      </w:r>
      <w:r>
        <w:t xml:space="preserve"> at 1122, the Court of Appeals cited </w:t>
      </w:r>
      <w:r>
        <w:rPr>
          <w:i/>
        </w:rPr>
        <w:t>Harkless v. Sweeny Independent School District</w:t>
      </w:r>
      <w:r>
        <w:t xml:space="preserve">, 427 F.2d 319, 324 (5th Cir. 1970).  </w:t>
      </w:r>
      <w:r>
        <w:rPr>
          <w:i/>
        </w:rPr>
        <w:t>Harkless</w:t>
      </w:r>
      <w:r>
        <w:t xml:space="preserve">, by contrast, did concern the jury issue: the </w:t>
      </w:r>
      <w:r>
        <w:rPr>
          <w:i/>
        </w:rPr>
        <w:t>Harkless</w:t>
      </w:r>
      <w:r>
        <w:t xml:space="preserve"> court held that “a claim for back pay presented in an equitable action for reinstatement authorized by § 1983 is not for jury consideration nor are the factual issues which form the basis of the claim for reinstatement.”  </w:t>
      </w:r>
      <w:r>
        <w:rPr>
          <w:i/>
        </w:rPr>
        <w:t>Harkless</w:t>
      </w:r>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66CA" w:rsidRDefault="004166CA"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rsidR="004166CA" w:rsidRDefault="004166CA"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4166CA" w:rsidRDefault="004166CA"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58">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caselaw suggests that back pay may not be an equitable remedy when sought from an individual defendant.  In a Section 1983 case that focused on official immunity, rather than on the right to a jury, the Court of Appeals stated that “[a]s to backpay and attorneys fees . . . a recovery against individual defendants would be in the nature of damages, rather than as a part of the equitable remedy of reinstatement.”  </w:t>
      </w:r>
      <w:r>
        <w:rPr>
          <w:i/>
        </w:rPr>
        <w:t>Skehan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p>
  </w:footnote>
  <w:footnote w:id="59">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0">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xml:space="preserve">, 54 F.3d at 172.  “[R]einstatement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1">
    <w:p w:rsidR="004166CA" w:rsidRDefault="004166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r>
        <w:rPr>
          <w:i/>
        </w:rPr>
        <w:t>Versarge v. Township of Clinton, New Jersey</w:t>
      </w:r>
      <w:r>
        <w:t xml:space="preserve">, 984 F.2d 1359, 1368 (3d Cir. 1993)). </w:t>
      </w:r>
    </w:p>
  </w:footnote>
  <w:footnote w:id="62">
    <w:p w:rsidR="004166CA" w:rsidRDefault="004166CA"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rsidR="004166CA" w:rsidRDefault="004166CA"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r>
        <w:rPr>
          <w:i/>
        </w:rPr>
        <w:t>Blanciak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3">
    <w:p w:rsidR="004166CA" w:rsidRDefault="004166CA"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r>
        <w:rPr>
          <w:i/>
        </w:rPr>
        <w:t>Biondo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see also Grantham v. Trickey</w:t>
      </w:r>
      <w:r>
        <w:t>, 21 F.3d 289, 296 n.5 (8th Cir. 1994) (“When reinstatement is not feasible, the court may grant front pay as an alternative equitable remedy.”).</w:t>
      </w:r>
    </w:p>
    <w:p w:rsidR="004166CA" w:rsidRDefault="004166CA"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4">
    <w:p w:rsidR="004166CA" w:rsidRDefault="004166CA"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5">
    <w:p w:rsidR="004166CA" w:rsidRDefault="004166CA"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66">
    <w:p w:rsidR="004166CA" w:rsidRDefault="004166CA"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rsidR="004166CA" w:rsidRDefault="004166CA"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rsidR="004166CA" w:rsidRDefault="004166CA"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66CA" w:rsidRDefault="004166CA"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rsidR="004166CA" w:rsidRDefault="004166CA"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67">
    <w:p w:rsidR="004166CA" w:rsidRDefault="004166CA"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0" w:rsidRDefault="001460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80" w:rsidRDefault="001460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Pr="00146080" w:rsidRDefault="004166CA" w:rsidP="001460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A" w:rsidRDefault="0041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25964"/>
    <w:rsid w:val="00036ABB"/>
    <w:rsid w:val="000B3B47"/>
    <w:rsid w:val="000E3D67"/>
    <w:rsid w:val="000F5FA5"/>
    <w:rsid w:val="00146080"/>
    <w:rsid w:val="001F7072"/>
    <w:rsid w:val="0020013B"/>
    <w:rsid w:val="0023730D"/>
    <w:rsid w:val="002554FC"/>
    <w:rsid w:val="003107D4"/>
    <w:rsid w:val="00363B64"/>
    <w:rsid w:val="003C0D02"/>
    <w:rsid w:val="003C2E98"/>
    <w:rsid w:val="004166CA"/>
    <w:rsid w:val="00433479"/>
    <w:rsid w:val="0049244E"/>
    <w:rsid w:val="00493D17"/>
    <w:rsid w:val="00566198"/>
    <w:rsid w:val="00594F9C"/>
    <w:rsid w:val="005A3DF7"/>
    <w:rsid w:val="005B4898"/>
    <w:rsid w:val="005D448A"/>
    <w:rsid w:val="005E7864"/>
    <w:rsid w:val="00621DEA"/>
    <w:rsid w:val="006314E5"/>
    <w:rsid w:val="0068193B"/>
    <w:rsid w:val="006F12D1"/>
    <w:rsid w:val="0078295F"/>
    <w:rsid w:val="007B08CB"/>
    <w:rsid w:val="007D4E4E"/>
    <w:rsid w:val="008001C1"/>
    <w:rsid w:val="00870B3C"/>
    <w:rsid w:val="008D01CB"/>
    <w:rsid w:val="008D2026"/>
    <w:rsid w:val="008E57F8"/>
    <w:rsid w:val="009B7E97"/>
    <w:rsid w:val="009E1A16"/>
    <w:rsid w:val="00A3164E"/>
    <w:rsid w:val="00B80A0F"/>
    <w:rsid w:val="00C14389"/>
    <w:rsid w:val="00C21E91"/>
    <w:rsid w:val="00C825F4"/>
    <w:rsid w:val="00CE475B"/>
    <w:rsid w:val="00D07EE1"/>
    <w:rsid w:val="00DA14C0"/>
    <w:rsid w:val="00DA6B11"/>
    <w:rsid w:val="00E12EAF"/>
    <w:rsid w:val="00E35682"/>
    <w:rsid w:val="00E453B9"/>
    <w:rsid w:val="00E54E59"/>
    <w:rsid w:val="00E6471A"/>
    <w:rsid w:val="00F06E43"/>
    <w:rsid w:val="00FB34B5"/>
    <w:rsid w:val="00FB4C26"/>
    <w:rsid w:val="00FC08AD"/>
    <w:rsid w:val="00FC3113"/>
    <w:rsid w:val="00FC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semiHidden/>
    <w:rsid w:val="00F06E43"/>
    <w:pPr>
      <w:widowControl w:val="0"/>
      <w:spacing w:after="120"/>
      <w:ind w:firstLine="720"/>
      <w:jc w:val="both"/>
    </w:p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9222</Words>
  <Characters>52570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2016-07-18T22:13:00Z</dcterms:created>
  <dcterms:modified xsi:type="dcterms:W3CDTF">2016-07-19T13:57:00Z</dcterms:modified>
</cp:coreProperties>
</file>