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5B" w:rsidRDefault="00CE475B" w:rsidP="005D448A">
      <w:pPr>
        <w:tabs>
          <w:tab w:val="center" w:pos="4680"/>
        </w:tabs>
        <w:jc w:val="both"/>
      </w:pPr>
      <w:bookmarkStart w:id="0" w:name="_GoBack"/>
      <w:bookmarkEnd w:id="0"/>
      <w:r>
        <w:rPr>
          <w:b/>
          <w:sz w:val="28"/>
        </w:rPr>
        <w:tab/>
        <w:t>Instructions Regarding Section 1983 Employment Claims</w:t>
      </w:r>
    </w:p>
    <w:p w:rsidR="00E54E59" w:rsidRDefault="00E54E59" w:rsidP="005D448A">
      <w:pPr>
        <w:jc w:val="both"/>
        <w:sectPr w:rsidR="00E54E59" w:rsidSect="005D448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p>
    <w:p w:rsidR="00CE475B" w:rsidRDefault="00CE475B" w:rsidP="005D448A">
      <w:pPr>
        <w:jc w:val="both"/>
      </w:pPr>
    </w:p>
    <w:p w:rsidR="00CE475B" w:rsidRDefault="00CE475B" w:rsidP="005D448A">
      <w:pPr>
        <w:jc w:val="both"/>
        <w:rPr>
          <w:b/>
          <w:sz w:val="28"/>
        </w:rPr>
      </w:pPr>
    </w:p>
    <w:p w:rsidR="00CE475B" w:rsidRDefault="00CE475B" w:rsidP="005D448A">
      <w:pPr>
        <w:tabs>
          <w:tab w:val="center" w:pos="4680"/>
        </w:tabs>
        <w:jc w:val="both"/>
      </w:pPr>
      <w:r>
        <w:rPr>
          <w:b/>
          <w:sz w:val="28"/>
        </w:rPr>
        <w:tab/>
        <w:t>Numbering of Section 1983 Employment Instructions</w:t>
      </w:r>
    </w:p>
    <w:p w:rsidR="00CE475B" w:rsidRDefault="00CE475B" w:rsidP="005D448A">
      <w:pPr>
        <w:jc w:val="both"/>
      </w:pPr>
      <w:r>
        <w:tab/>
      </w:r>
      <w:r>
        <w:tab/>
      </w:r>
      <w:r>
        <w:tab/>
      </w:r>
      <w:r>
        <w:tab/>
      </w:r>
      <w:r>
        <w:tab/>
      </w:r>
      <w:r>
        <w:tab/>
      </w:r>
    </w:p>
    <w:p w:rsidR="00CE475B" w:rsidRDefault="00CE475B" w:rsidP="005D448A">
      <w:pPr>
        <w:ind w:left="720" w:hanging="720"/>
        <w:jc w:val="both"/>
      </w:pPr>
      <w:r>
        <w:t>7.0</w:t>
      </w:r>
      <w:r>
        <w:tab/>
        <w:t>Section 1983 Employment Discrimination</w:t>
      </w:r>
    </w:p>
    <w:p w:rsidR="00CE475B" w:rsidRDefault="00CE475B" w:rsidP="005D448A">
      <w:pPr>
        <w:jc w:val="both"/>
      </w:pPr>
    </w:p>
    <w:p w:rsidR="00CE475B" w:rsidRDefault="00CE475B" w:rsidP="005D448A">
      <w:pPr>
        <w:ind w:left="720" w:hanging="720"/>
        <w:jc w:val="both"/>
      </w:pPr>
      <w:r>
        <w:t>7.1</w:t>
      </w:r>
      <w:r>
        <w:tab/>
        <w:t>Section 1983 Employment Discrimination – Mixed Motive</w:t>
      </w:r>
    </w:p>
    <w:p w:rsidR="00CE475B" w:rsidRDefault="00CE475B" w:rsidP="005D448A">
      <w:pPr>
        <w:jc w:val="both"/>
      </w:pPr>
    </w:p>
    <w:p w:rsidR="00CE475B" w:rsidRDefault="00CE475B" w:rsidP="005D448A">
      <w:pPr>
        <w:ind w:left="720" w:hanging="720"/>
        <w:jc w:val="both"/>
      </w:pPr>
      <w:r>
        <w:t>7.2</w:t>
      </w:r>
      <w:r>
        <w:tab/>
        <w:t>Section 1983 Employment Discrimination – Pretext</w:t>
      </w:r>
    </w:p>
    <w:p w:rsidR="00CE475B" w:rsidRDefault="00CE475B" w:rsidP="005D448A">
      <w:pPr>
        <w:jc w:val="both"/>
      </w:pPr>
    </w:p>
    <w:p w:rsidR="00CE475B" w:rsidRDefault="00CE475B" w:rsidP="005D448A">
      <w:pPr>
        <w:ind w:left="720" w:hanging="720"/>
        <w:jc w:val="both"/>
      </w:pPr>
      <w:r>
        <w:t>7.3</w:t>
      </w:r>
      <w:r>
        <w:tab/>
        <w:t>Section 1983 Employment Discrimination – Harassment</w:t>
      </w:r>
    </w:p>
    <w:p w:rsidR="00CE475B" w:rsidRDefault="00CE475B" w:rsidP="005D448A">
      <w:pPr>
        <w:jc w:val="both"/>
      </w:pPr>
    </w:p>
    <w:p w:rsidR="00CE475B" w:rsidRDefault="00CE475B" w:rsidP="005D448A">
      <w:pPr>
        <w:ind w:left="720" w:hanging="720"/>
        <w:jc w:val="both"/>
      </w:pPr>
      <w:r>
        <w:t>7.4</w:t>
      </w:r>
      <w:r>
        <w:tab/>
        <w:t>Section 1983 Employment – Retaliation – First Amendment</w:t>
      </w:r>
    </w:p>
    <w:p w:rsidR="00CE475B" w:rsidRDefault="00CE475B" w:rsidP="005D448A">
      <w:pPr>
        <w:jc w:val="both"/>
      </w:pPr>
    </w:p>
    <w:p w:rsidR="00CE475B" w:rsidRDefault="00CE475B" w:rsidP="005D448A">
      <w:pPr>
        <w:ind w:left="720" w:hanging="720"/>
        <w:jc w:val="both"/>
      </w:pPr>
      <w:r>
        <w:t>7.5</w:t>
      </w:r>
      <w:r>
        <w:tab/>
        <w:t>Section 1983 – Employment – Damages</w:t>
      </w:r>
    </w:p>
    <w:p w:rsidR="0068193B" w:rsidRDefault="00CE475B" w:rsidP="005D448A">
      <w:pPr>
        <w:jc w:val="both"/>
        <w:rPr>
          <w:b/>
          <w:sz w:val="28"/>
        </w:rPr>
      </w:pPr>
      <w:r>
        <w:br w:type="page"/>
      </w:r>
      <w:r>
        <w:rPr>
          <w:b/>
          <w:sz w:val="28"/>
        </w:rPr>
        <w:lastRenderedPageBreak/>
        <w:t>7.0</w:t>
      </w:r>
      <w:r>
        <w:rPr>
          <w:b/>
          <w:sz w:val="28"/>
        </w:rPr>
        <w:tab/>
        <w:t xml:space="preserve"> Section</w:t>
      </w:r>
      <w:r w:rsidR="0068193B">
        <w:rPr>
          <w:b/>
          <w:sz w:val="28"/>
        </w:rPr>
        <w:t xml:space="preserve"> 1983 Employment Discrimination</w:t>
      </w:r>
    </w:p>
    <w:p w:rsidR="00E54E59" w:rsidRDefault="00E54E59" w:rsidP="005D448A">
      <w:pPr>
        <w:jc w:val="both"/>
        <w:rPr>
          <w:b/>
          <w:sz w:val="28"/>
        </w:rPr>
      </w:pPr>
    </w:p>
    <w:p w:rsidR="00E54E59" w:rsidRDefault="00E54E59" w:rsidP="005D448A">
      <w:pPr>
        <w:jc w:val="both"/>
        <w:rPr>
          <w:b/>
          <w:sz w:val="28"/>
        </w:rPr>
        <w:sectPr w:rsidR="00E54E59" w:rsidSect="005D448A">
          <w:headerReference w:type="default" r:id="rId13"/>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r>
        <w:rPr>
          <w:b/>
          <w:sz w:val="28"/>
        </w:rPr>
        <w:lastRenderedPageBreak/>
        <w:t>Comment</w:t>
      </w:r>
    </w:p>
    <w:p w:rsidR="00CE475B" w:rsidRDefault="00CE475B" w:rsidP="005D448A">
      <w:pPr>
        <w:jc w:val="both"/>
      </w:pPr>
    </w:p>
    <w:p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1"/>
      </w:r>
      <w:r>
        <w:t xml:space="preserve">  Instruction 7.4 addresses First Amendment retaliation claims.  Comment 7.5 concerns damages.</w:t>
      </w:r>
    </w:p>
    <w:p w:rsidR="00CE475B" w:rsidRDefault="00CE475B" w:rsidP="005D448A">
      <w:pPr>
        <w:jc w:val="both"/>
      </w:pPr>
    </w:p>
    <w:p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rsidR="00CE475B" w:rsidRDefault="00CE475B" w:rsidP="005D448A">
      <w:pPr>
        <w:jc w:val="both"/>
      </w:pPr>
    </w:p>
    <w:p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2"/>
      </w:r>
      <w:r>
        <w:t xml:space="preserve">  By contrast, Section 1983 applies only to defendants who acted under color of state law.</w:t>
      </w:r>
      <w:r>
        <w:rPr>
          <w:rStyle w:val="FootnoteReference"/>
        </w:rPr>
        <w:footnoteReference w:id="3"/>
      </w:r>
      <w:r>
        <w:t xml:space="preserve">  </w:t>
      </w:r>
      <w:r>
        <w:rPr>
          <w:i/>
        </w:rPr>
        <w:t>See, e.g.,</w:t>
      </w:r>
      <w:r>
        <w:t xml:space="preserve"> </w:t>
      </w:r>
      <w:r>
        <w:rPr>
          <w:i/>
        </w:rPr>
        <w:t>Krynicky v. University of Pittsburgh</w:t>
      </w:r>
      <w:r>
        <w:t xml:space="preserve">, 742 F.2d 94, 103 (3d Cir. 1984) (holding that University of Pittsburgh and Temple University acted under color of state law); </w:t>
      </w:r>
      <w:r>
        <w:rPr>
          <w:i/>
        </w:rPr>
        <w:t xml:space="preserve">see also supra </w:t>
      </w:r>
      <w:r>
        <w:t>Comment 4.4.</w:t>
      </w:r>
    </w:p>
    <w:p w:rsidR="00CE475B" w:rsidRDefault="00CE475B" w:rsidP="005D448A">
      <w:pPr>
        <w:jc w:val="both"/>
      </w:pPr>
    </w:p>
    <w:p w:rsidR="00CE475B" w:rsidRDefault="00CE475B" w:rsidP="005D448A">
      <w:pPr>
        <w:jc w:val="both"/>
      </w:pPr>
      <w:r>
        <w:lastRenderedPageBreak/>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4"/>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rsidR="00CE475B" w:rsidRDefault="00CE475B" w:rsidP="005D448A">
      <w:pPr>
        <w:jc w:val="both"/>
      </w:pPr>
    </w:p>
    <w:p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5"/>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rsidR="00CE475B" w:rsidRDefault="00CE475B" w:rsidP="005D448A">
      <w:pPr>
        <w:jc w:val="both"/>
      </w:pPr>
    </w:p>
    <w:p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6"/>
      </w:r>
      <w:r>
        <w:t xml:space="preserve">  </w:t>
      </w:r>
      <w:r>
        <w:rPr>
          <w:i/>
        </w:rPr>
        <w:t>See</w:t>
      </w:r>
      <w:r>
        <w:t xml:space="preserve"> </w:t>
      </w:r>
      <w:r>
        <w:rPr>
          <w:i/>
        </w:rPr>
        <w:t>Bonenberger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w:t>
      </w:r>
      <w:r>
        <w:lastRenderedPageBreak/>
        <w:t xml:space="preserve">subordinate, the plaintiff must also satisfy the requirements for supervisory liability under Section 1983.  </w:t>
      </w:r>
      <w:r>
        <w:rPr>
          <w:i/>
        </w:rPr>
        <w:t>See supra</w:t>
      </w:r>
      <w:r>
        <w:t xml:space="preserve"> Comment 4.6.1.</w:t>
      </w:r>
    </w:p>
    <w:p w:rsidR="008D2026" w:rsidRDefault="008D2026" w:rsidP="005D448A">
      <w:pPr>
        <w:jc w:val="both"/>
      </w:pPr>
    </w:p>
    <w:p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7"/>
      </w:r>
      <w:r>
        <w:t xml:space="preserve">  </w:t>
      </w:r>
      <w:r>
        <w:rPr>
          <w:i/>
        </w:rPr>
        <w:t>See supra</w:t>
      </w:r>
      <w:r>
        <w:t xml:space="preserve"> Comment 4.7.2; </w:t>
      </w:r>
      <w:r>
        <w:rPr>
          <w:i/>
        </w:rPr>
        <w:t>see also</w:t>
      </w:r>
      <w:r>
        <w:t xml:space="preserve"> Comment 4.7.1 (concerning absolute immunity).</w:t>
      </w:r>
    </w:p>
    <w:p w:rsidR="00594F9C" w:rsidRDefault="00594F9C" w:rsidP="005D448A">
      <w:pPr>
        <w:jc w:val="both"/>
      </w:pPr>
    </w:p>
    <w:p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rsidR="00CE475B" w:rsidRDefault="00CE475B" w:rsidP="005D448A">
      <w:pPr>
        <w:jc w:val="both"/>
      </w:pPr>
    </w:p>
    <w:p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8"/>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9"/>
      </w:r>
    </w:p>
    <w:p w:rsidR="00CE475B" w:rsidRDefault="00CE475B" w:rsidP="005D448A">
      <w:pPr>
        <w:jc w:val="both"/>
      </w:pPr>
    </w:p>
    <w:p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xml:space="preserve">, 130 F.3d 568, 573 (3d Cir. 1997) (“In Title VII actions, failure to exhaust administrative remedies is an </w:t>
      </w:r>
      <w:r>
        <w:lastRenderedPageBreak/>
        <w:t>affirmative defense in the nature of statute of limitations.”).  There is no such exhaustion requirement for a Section 1983 employment discrimination claim.</w:t>
      </w:r>
      <w:r>
        <w:rPr>
          <w:rStyle w:val="FootnoteReference"/>
        </w:rPr>
        <w:footnoteReference w:id="10"/>
      </w:r>
    </w:p>
    <w:p w:rsidR="00CE475B" w:rsidRDefault="00CE475B" w:rsidP="005D448A">
      <w:pPr>
        <w:jc w:val="both"/>
      </w:pPr>
    </w:p>
    <w:p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rsidR="00CE475B" w:rsidRDefault="00CE475B" w:rsidP="005D448A">
      <w:pPr>
        <w:jc w:val="both"/>
      </w:pPr>
    </w:p>
    <w:p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rsidR="00CE475B" w:rsidRDefault="00CE475B" w:rsidP="005D448A">
      <w:pPr>
        <w:jc w:val="both"/>
      </w:pPr>
    </w:p>
    <w:p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1"/>
      </w:r>
      <w:r>
        <w:t xml:space="preserve">  Although </w:t>
      </w:r>
      <w:r>
        <w:rPr>
          <w:i/>
        </w:rPr>
        <w:t>Bradley</w:t>
      </w:r>
      <w:r>
        <w:t xml:space="preserve"> predated the Civil Rights Act of 1991,</w:t>
      </w:r>
      <w:r>
        <w:rPr>
          <w:rStyle w:val="FootnoteReference"/>
        </w:rPr>
        <w:footnoteReference w:id="12"/>
      </w:r>
      <w:r>
        <w:t xml:space="preserve"> district courts within the Third Circuit have continued to </w:t>
      </w:r>
      <w:r>
        <w:lastRenderedPageBreak/>
        <w:t xml:space="preserve">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rsidR="00CE475B" w:rsidRDefault="00CE475B" w:rsidP="005D448A">
      <w:pPr>
        <w:jc w:val="both"/>
      </w:pPr>
    </w:p>
    <w:p w:rsidR="00E54E59" w:rsidRDefault="00CE475B" w:rsidP="005D448A">
      <w:pPr>
        <w:jc w:val="both"/>
        <w:sectPr w:rsidR="00E54E59" w:rsidSect="005D448A">
          <w:headerReference w:type="default" r:id="rId14"/>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rsidR="0068193B" w:rsidRDefault="00CE475B" w:rsidP="005D448A">
      <w:pPr>
        <w:jc w:val="both"/>
        <w:rPr>
          <w:b/>
          <w:sz w:val="28"/>
        </w:rPr>
      </w:pPr>
      <w:r>
        <w:rPr>
          <w:b/>
          <w:sz w:val="28"/>
        </w:rPr>
        <w:lastRenderedPageBreak/>
        <w:t>7.1</w:t>
      </w:r>
      <w:r>
        <w:rPr>
          <w:b/>
          <w:sz w:val="28"/>
        </w:rPr>
        <w:tab/>
        <w:t>Section 1983 Employment Discrimination – Mixed Motive</w:t>
      </w:r>
    </w:p>
    <w:p w:rsidR="00E54E59" w:rsidRDefault="00E54E59"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motivating factor in [defendant's] decision.</w:t>
      </w:r>
    </w:p>
    <w:p w:rsidR="00CE475B" w:rsidRDefault="00CE475B" w:rsidP="005D448A">
      <w:pPr>
        <w:jc w:val="both"/>
      </w:pPr>
    </w:p>
    <w:p w:rsidR="00CE475B" w:rsidRDefault="00CE475B" w:rsidP="005D448A">
      <w:pPr>
        <w:jc w:val="both"/>
      </w:pPr>
      <w:r>
        <w:tab/>
        <w:t>Although [plaintiff]  must prove that [defendant] acted with the intent to discriminate, [plaintiff] is not required to prove that [defendant] acted  with the particular intent to violate [plaintiff’s] federal civil rights.</w:t>
      </w:r>
    </w:p>
    <w:p w:rsidR="00CE475B" w:rsidRDefault="00CE475B" w:rsidP="005D448A">
      <w:pPr>
        <w:jc w:val="both"/>
      </w:pPr>
    </w:p>
    <w:p w:rsidR="00CE475B" w:rsidRDefault="00CE475B" w:rsidP="005D448A">
      <w:pPr>
        <w:jc w:val="both"/>
      </w:pPr>
      <w:r>
        <w:tab/>
        <w:t xml:space="preserve">In showing that [plaintiff's] [protected class] was a motivating factor for [defendant’s] action, [plaintiff]  is not required to prove that [his/her] [protected status] was the sole motivation or even the primary motivation for [defendant's] decision.  [Plaintiff]  need only prove that [plaintiff’s protected class] played a motivating part in [defendant's] decision even though other factors may also have motivated [defendant]. </w:t>
      </w:r>
    </w:p>
    <w:p w:rsidR="00CE475B" w:rsidRDefault="00CE475B" w:rsidP="005D448A">
      <w:pPr>
        <w:jc w:val="both"/>
      </w:pPr>
    </w:p>
    <w:p w:rsidR="00CE475B" w:rsidRDefault="00CE475B" w:rsidP="005D448A">
      <w:pPr>
        <w:jc w:val="both"/>
      </w:pPr>
      <w:r>
        <w:tab/>
        <w:t xml:space="preserve">As used in this instruction, [plaintiff’s] [protected status] was a “motivating factor” if [his/her]  [protected status] played a part [or played a role] in [defendant’s] decision to [state adverse employment action] [plaintiff]. </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13"/>
      </w:r>
    </w:p>
    <w:p w:rsidR="00CE475B" w:rsidRDefault="00CE475B" w:rsidP="005D448A">
      <w:pPr>
        <w:jc w:val="both"/>
      </w:pPr>
      <w:r>
        <w:lastRenderedPageBreak/>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4"/>
      </w:r>
      <w:r>
        <w:t xml:space="preserve">  Instruction 7.1's treatment of the “same decision” defense accordingly differs from the treatment of that defense in Instruction 5.1.1 (mixed-motive instruction for Title VII employment discrimination claims).</w:t>
      </w:r>
    </w:p>
    <w:p w:rsidR="00CE475B" w:rsidRDefault="00CE475B" w:rsidP="005D448A">
      <w:pPr>
        <w:jc w:val="both"/>
      </w:pPr>
    </w:p>
    <w:p w:rsidR="00CE475B" w:rsidRDefault="00CE475B" w:rsidP="005D448A">
      <w:pPr>
        <w:jc w:val="both"/>
        <w:rPr>
          <w:u w:val="single"/>
        </w:rPr>
      </w:pPr>
      <w:r>
        <w:tab/>
        <w:t xml:space="preserve">In </w:t>
      </w:r>
      <w:r>
        <w:rPr>
          <w:i/>
        </w:rPr>
        <w:t>Gross v. FBL Financial Services, Inc.</w:t>
      </w:r>
      <w:r>
        <w:t xml:space="preserve">, 129 S. Ct. 2343 (2009), the Supreme Court rejected the use of a mixed-motive framework for claims under the Age Discrimination in Employment Act (ADEA).  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w:t>
      </w:r>
      <w:r>
        <w:lastRenderedPageBreak/>
        <w:t xml:space="preserve">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Title VII’s retaliation provision.  (</w:t>
      </w:r>
      <w:r>
        <w:rPr>
          <w:i/>
        </w:rPr>
        <w:t>Nassar</w:t>
      </w:r>
      <w:r>
        <w:t xml:space="preserve"> is discussed fully in Comment 5.1.7).</w:t>
      </w:r>
    </w:p>
    <w:p w:rsidR="00CE475B" w:rsidRDefault="00CE475B" w:rsidP="005D448A">
      <w:pPr>
        <w:jc w:val="both"/>
        <w:rPr>
          <w:u w:val="single"/>
        </w:rPr>
      </w:pPr>
    </w:p>
    <w:p w:rsidR="00CE475B" w:rsidRDefault="00CE475B" w:rsidP="005D448A">
      <w:pPr>
        <w:jc w:val="both"/>
      </w:pPr>
      <w:r>
        <w:tab/>
        <w:t xml:space="preserve">The decisions in </w:t>
      </w:r>
      <w:r>
        <w:rPr>
          <w:i/>
        </w:rPr>
        <w:t>Gross</w:t>
      </w:r>
      <w:r>
        <w:t xml:space="preserve"> and </w:t>
      </w:r>
      <w:r>
        <w:rPr>
          <w:i/>
        </w:rPr>
        <w:t>Nassar</w:t>
      </w:r>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t xml:space="preserve">.”).  Moreover, the </w:t>
      </w:r>
      <w:r>
        <w:rPr>
          <w:i/>
        </w:rPr>
        <w:t>Nassar</w:t>
      </w:r>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r>
        <w:rPr>
          <w:i/>
        </w:rPr>
        <w:t>Nassar</w:t>
      </w:r>
      <w:r>
        <w:t xml:space="preserve"> Court contrasted with the more specific language of Title VII.  </w:t>
      </w:r>
      <w:r>
        <w:rPr>
          <w:i/>
        </w:rPr>
        <w:t>See Nassar</w:t>
      </w:r>
      <w:r>
        <w:t>, 133 S. Ct. at 2530 (reasoning that decisions interpreting “broad, general bars on discrimination” are inapposite to the interpretation of “a statute as precise, complex, and exhaustive as Title VII”).</w:t>
      </w:r>
    </w:p>
    <w:p w:rsidR="00CE475B" w:rsidRDefault="00CE475B" w:rsidP="005D448A">
      <w:pPr>
        <w:jc w:val="both"/>
      </w:pPr>
    </w:p>
    <w:p w:rsidR="00CE475B"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CE475B" w:rsidRDefault="00CE475B" w:rsidP="005D448A">
      <w:pPr>
        <w:jc w:val="both"/>
      </w:pPr>
    </w:p>
    <w:p w:rsidR="00FC3113" w:rsidRDefault="00FC3113" w:rsidP="005D448A">
      <w:pPr>
        <w:jc w:val="both"/>
      </w:pPr>
    </w:p>
    <w:p w:rsidR="00FC3113" w:rsidRDefault="00FC3113" w:rsidP="005D448A">
      <w:pPr>
        <w:jc w:val="both"/>
      </w:pPr>
    </w:p>
    <w:p w:rsidR="00FC3113" w:rsidRDefault="00FC3113" w:rsidP="005D448A">
      <w:pPr>
        <w:jc w:val="both"/>
      </w:pPr>
    </w:p>
    <w:p w:rsidR="00CE475B" w:rsidRDefault="00CE475B" w:rsidP="005D448A">
      <w:pPr>
        <w:jc w:val="both"/>
      </w:pPr>
      <w:r>
        <w:rPr>
          <w:i/>
        </w:rPr>
        <w:lastRenderedPageBreak/>
        <w:t>Animus of Employee Who Was Not the Ultimate Decisionmaker</w:t>
      </w:r>
    </w:p>
    <w:p w:rsidR="00CE475B" w:rsidRDefault="00CE475B" w:rsidP="005D448A">
      <w:pPr>
        <w:jc w:val="both"/>
      </w:pPr>
    </w:p>
    <w:p w:rsidR="0020013B"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rsidR="005E7864" w:rsidRDefault="005E7864" w:rsidP="005D448A">
      <w:pPr>
        <w:jc w:val="both"/>
      </w:pPr>
    </w:p>
    <w:p w:rsidR="0020013B" w:rsidRDefault="0020013B" w:rsidP="005D448A">
      <w:pPr>
        <w:tabs>
          <w:tab w:val="center" w:pos="4680"/>
        </w:tabs>
        <w:jc w:val="both"/>
        <w:sectPr w:rsidR="0020013B" w:rsidSect="005D448A">
          <w:headerReference w:type="default" r:id="rId15"/>
          <w:type w:val="continuous"/>
          <w:pgSz w:w="12240" w:h="15840"/>
          <w:pgMar w:top="1440" w:right="1440" w:bottom="1440" w:left="1440" w:header="1440" w:footer="1440" w:gutter="0"/>
          <w:lnNumType w:countBy="1" w:distance="576"/>
          <w:cols w:space="720"/>
          <w:docGrid w:linePitch="326"/>
        </w:sectPr>
      </w:pPr>
    </w:p>
    <w:p w:rsidR="00CE475B" w:rsidRDefault="00CE475B" w:rsidP="005D448A">
      <w:pPr>
        <w:tabs>
          <w:tab w:val="center" w:pos="4680"/>
        </w:tabs>
        <w:jc w:val="both"/>
        <w:rPr>
          <w:b/>
          <w:sz w:val="28"/>
        </w:rPr>
      </w:pPr>
      <w:r>
        <w:lastRenderedPageBreak/>
        <w:br w:type="page"/>
      </w:r>
      <w:r>
        <w:rPr>
          <w:b/>
          <w:sz w:val="28"/>
        </w:rPr>
        <w:lastRenderedPageBreak/>
        <w:t>7.2</w:t>
      </w:r>
      <w:r>
        <w:rPr>
          <w:b/>
          <w:sz w:val="28"/>
        </w:rPr>
        <w:tab/>
        <w:t>Section 1983 Employment Discrimination – Pretext</w:t>
      </w:r>
    </w:p>
    <w:p w:rsidR="0068193B" w:rsidRDefault="0068193B"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determinative factor in [defendant's] decision.</w:t>
      </w:r>
    </w:p>
    <w:p w:rsidR="00CE475B" w:rsidRDefault="00CE475B" w:rsidP="005D448A">
      <w:pPr>
        <w:jc w:val="both"/>
      </w:pPr>
    </w:p>
    <w:p w:rsidR="00CE475B" w:rsidRDefault="00CE475B" w:rsidP="005D448A">
      <w:pPr>
        <w:jc w:val="both"/>
      </w:pPr>
    </w:p>
    <w:p w:rsidR="00CE475B" w:rsidRDefault="00CE475B" w:rsidP="005D448A">
      <w:pPr>
        <w:jc w:val="both"/>
      </w:pPr>
      <w:r>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CE475B" w:rsidRDefault="00CE475B" w:rsidP="005D448A">
      <w:pPr>
        <w:jc w:val="both"/>
      </w:pPr>
    </w:p>
    <w:p w:rsidR="00CE475B" w:rsidRDefault="00CE475B" w:rsidP="005D448A">
      <w:pPr>
        <w:jc w:val="both"/>
      </w:pPr>
      <w:r>
        <w:tab/>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 received in the case in deciding whether [defendant] intentionally discriminated against [plaintiff]].</w:t>
      </w:r>
    </w:p>
    <w:p w:rsidR="00CE475B" w:rsidRDefault="00CE475B" w:rsidP="005D448A">
      <w:pPr>
        <w:jc w:val="both"/>
      </w:pPr>
    </w:p>
    <w:p w:rsidR="00CE475B" w:rsidRDefault="00CE475B" w:rsidP="005D448A">
      <w:pPr>
        <w:jc w:val="both"/>
      </w:pPr>
      <w:r>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managerial judgment.  You cannot find intentional discrimination simply because you disagree </w:t>
      </w:r>
      <w:r>
        <w:lastRenderedPageBreak/>
        <w:t>with the managerial judgment of [defendant] or believe it is harsh or unreasonable.  You are not to consider [defendant's] wisdom.  However, you may consider whether [defendant's] reason is merely a cover-up for discrimination.</w:t>
      </w:r>
    </w:p>
    <w:p w:rsidR="00CE475B" w:rsidRDefault="00CE475B" w:rsidP="005D448A">
      <w:pPr>
        <w:jc w:val="both"/>
      </w:pPr>
    </w:p>
    <w:p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 xml:space="preserve">McDonnell Douglas-Burdine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rsidR="00CE475B" w:rsidRDefault="00CE475B" w:rsidP="005D448A">
      <w:pPr>
        <w:jc w:val="both"/>
      </w:pPr>
    </w:p>
    <w:p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rsidR="00CE475B" w:rsidRDefault="00CE475B" w:rsidP="005D448A">
      <w:pPr>
        <w:jc w:val="both"/>
      </w:pPr>
    </w:p>
    <w:p w:rsidR="0078295F"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5E7864" w:rsidRDefault="005E7864" w:rsidP="005D448A">
      <w:pPr>
        <w:jc w:val="both"/>
      </w:pPr>
    </w:p>
    <w:p w:rsidR="005E7864" w:rsidRDefault="005E7864" w:rsidP="005D448A">
      <w:pPr>
        <w:jc w:val="both"/>
        <w:sectPr w:rsidR="005E7864" w:rsidSect="005D448A">
          <w:headerReference w:type="default" r:id="rId16"/>
          <w:type w:val="continuous"/>
          <w:pgSz w:w="12240" w:h="15840"/>
          <w:pgMar w:top="1440" w:right="1440" w:bottom="1440" w:left="1440" w:header="1440" w:footer="1440" w:gutter="0"/>
          <w:lnNumType w:countBy="1" w:distance="576"/>
          <w:cols w:space="720"/>
          <w:docGrid w:linePitch="326"/>
        </w:sectPr>
      </w:pPr>
    </w:p>
    <w:p w:rsidR="005E7864" w:rsidRDefault="005E7864" w:rsidP="005D448A">
      <w:pPr>
        <w:jc w:val="both"/>
      </w:pPr>
    </w:p>
    <w:p w:rsidR="005E7864" w:rsidRDefault="005E7864" w:rsidP="005D448A">
      <w:pPr>
        <w:jc w:val="both"/>
      </w:pPr>
    </w:p>
    <w:p w:rsidR="0068193B" w:rsidRDefault="00CE475B" w:rsidP="005D448A">
      <w:pPr>
        <w:jc w:val="both"/>
        <w:rPr>
          <w:b/>
          <w:i/>
        </w:rPr>
      </w:pPr>
      <w:r>
        <w:br w:type="page"/>
      </w:r>
      <w:r>
        <w:rPr>
          <w:b/>
          <w:sz w:val="28"/>
        </w:rPr>
        <w:lastRenderedPageBreak/>
        <w:t>7.3</w:t>
      </w:r>
      <w:r>
        <w:rPr>
          <w:b/>
          <w:sz w:val="28"/>
        </w:rPr>
        <w:tab/>
        <w:t>Section 1983 Employment Discrimination – Harassment</w:t>
      </w:r>
    </w:p>
    <w:p w:rsidR="0068193B" w:rsidRDefault="0068193B" w:rsidP="005D448A">
      <w:pPr>
        <w:jc w:val="both"/>
        <w:rPr>
          <w:b/>
          <w:i/>
        </w:rPr>
      </w:pPr>
    </w:p>
    <w:p w:rsidR="00CE475B" w:rsidRDefault="00CE475B" w:rsidP="005D448A">
      <w:pPr>
        <w:jc w:val="both"/>
      </w:pPr>
      <w:r>
        <w:rPr>
          <w:b/>
          <w:i/>
        </w:rPr>
        <w:t>No Instruction</w:t>
      </w:r>
    </w:p>
    <w:p w:rsidR="00CE475B" w:rsidRDefault="00CE475B" w:rsidP="005D448A">
      <w:pPr>
        <w:jc w:val="both"/>
      </w:pPr>
    </w:p>
    <w:p w:rsidR="00CE475B" w:rsidRDefault="00CE475B" w:rsidP="005D448A">
      <w:pPr>
        <w:jc w:val="both"/>
      </w:pPr>
    </w:p>
    <w:p w:rsidR="00CE475B" w:rsidRDefault="00CE475B" w:rsidP="005D448A">
      <w:pPr>
        <w:jc w:val="both"/>
        <w:rPr>
          <w:sz w:val="28"/>
        </w:rPr>
      </w:pPr>
      <w:r>
        <w:rPr>
          <w:b/>
          <w:sz w:val="28"/>
        </w:rPr>
        <w:t>Comment</w:t>
      </w:r>
    </w:p>
    <w:p w:rsidR="00CE475B" w:rsidRDefault="00CE475B" w:rsidP="005D448A">
      <w:pPr>
        <w:jc w:val="both"/>
      </w:pPr>
    </w:p>
    <w:p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rsidR="00CE475B" w:rsidRDefault="00CE475B" w:rsidP="005D448A">
      <w:pPr>
        <w:jc w:val="both"/>
      </w:pPr>
    </w:p>
    <w:p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5"/>
      </w:r>
    </w:p>
    <w:p w:rsidR="00CE475B" w:rsidRDefault="00CE475B" w:rsidP="005D448A">
      <w:pPr>
        <w:jc w:val="both"/>
      </w:pPr>
    </w:p>
    <w:p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xml:space="preserve">, 132 F.3d 20, 24 (3d Cir. 1997) (“Under these circumstances La Penta's role within the departmental structure afforded him sufficient authority over Bonenberger to satisfy the color of law requirement of section </w:t>
      </w:r>
      <w:r>
        <w:lastRenderedPageBreak/>
        <w:t>1983.”).</w:t>
      </w:r>
      <w:r>
        <w:rPr>
          <w:rStyle w:val="FootnoteReference"/>
        </w:rPr>
        <w:footnoteReference w:id="16"/>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rsidR="00CE475B" w:rsidRDefault="00CE475B" w:rsidP="005D448A">
      <w:pPr>
        <w:jc w:val="both"/>
      </w:pPr>
    </w:p>
    <w:p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17"/>
      </w:r>
    </w:p>
    <w:p w:rsidR="00CE475B" w:rsidRDefault="00CE475B" w:rsidP="005D448A">
      <w:pPr>
        <w:jc w:val="both"/>
      </w:pPr>
    </w:p>
    <w:p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18"/>
      </w:r>
      <w:r>
        <w:t xml:space="preserve"> against the plaintiff, that evidence should also establish that the defendant acted under color of state law.</w:t>
      </w:r>
      <w:r>
        <w:rPr>
          <w:rStyle w:val="FootnoteReference"/>
        </w:rPr>
        <w:footnoteReference w:id="19"/>
      </w:r>
    </w:p>
    <w:p w:rsidR="00CE475B" w:rsidRDefault="00CE475B" w:rsidP="005D448A">
      <w:pPr>
        <w:jc w:val="both"/>
      </w:pPr>
    </w:p>
    <w:p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0"/>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rsidR="00CE475B" w:rsidRDefault="00CE475B" w:rsidP="005D448A">
      <w:pPr>
        <w:jc w:val="both"/>
      </w:pPr>
    </w:p>
    <w:p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rsidR="00CE475B" w:rsidRDefault="00CE475B" w:rsidP="005D448A">
      <w:pPr>
        <w:jc w:val="both"/>
      </w:pPr>
    </w:p>
    <w:p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1"/>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rsidR="00CE475B" w:rsidRDefault="00CE475B" w:rsidP="005D448A">
      <w:pPr>
        <w:jc w:val="both"/>
      </w:pPr>
    </w:p>
    <w:p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2"/>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3"/>
      </w:r>
    </w:p>
    <w:p w:rsidR="0023730D" w:rsidRDefault="0023730D" w:rsidP="005D448A">
      <w:pPr>
        <w:jc w:val="both"/>
      </w:pPr>
    </w:p>
    <w:p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4"/>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rsidR="00CE475B" w:rsidRDefault="00CE475B" w:rsidP="005D448A">
      <w:pPr>
        <w:jc w:val="both"/>
      </w:pPr>
    </w:p>
    <w:p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w:t>
      </w:r>
      <w:r>
        <w:lastRenderedPageBreak/>
        <w:t xml:space="preserve">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rsidR="00CE475B" w:rsidRDefault="00CE475B" w:rsidP="005D448A">
      <w:pPr>
        <w:jc w:val="both"/>
      </w:pPr>
    </w:p>
    <w:p w:rsidR="00CE475B" w:rsidRDefault="00CE475B" w:rsidP="005D448A">
      <w:pPr>
        <w:ind w:lef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rsidR="00CE475B" w:rsidRDefault="00CE475B" w:rsidP="005D448A">
      <w:pPr>
        <w:jc w:val="both"/>
      </w:pPr>
    </w:p>
    <w:p w:rsidR="00CE475B" w:rsidRDefault="00CE475B" w:rsidP="005D448A">
      <w:pPr>
        <w:jc w:val="both"/>
      </w:pPr>
      <w:r>
        <w:rPr>
          <w:i/>
        </w:rPr>
        <w:t>Andrews</w:t>
      </w:r>
      <w:r>
        <w:t>, 895 F.2d at 1479.</w:t>
      </w:r>
    </w:p>
    <w:p w:rsidR="00CE475B" w:rsidRDefault="00CE475B" w:rsidP="005D448A">
      <w:pPr>
        <w:jc w:val="both"/>
      </w:pPr>
    </w:p>
    <w:p w:rsidR="00CE475B" w:rsidRDefault="00CE475B" w:rsidP="005D448A">
      <w:pPr>
        <w:jc w:val="both"/>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5"/>
      </w:r>
      <w:r>
        <w:t xml:space="preserve"> </w:t>
      </w:r>
    </w:p>
    <w:p w:rsidR="0078295F" w:rsidRDefault="0078295F" w:rsidP="005D448A">
      <w:pPr>
        <w:jc w:val="both"/>
        <w:sectPr w:rsidR="0078295F" w:rsidSect="005D448A">
          <w:headerReference w:type="default" r:id="rId17"/>
          <w:type w:val="continuous"/>
          <w:pgSz w:w="12240" w:h="15840"/>
          <w:pgMar w:top="1440" w:right="1440" w:bottom="1440" w:left="1440" w:header="1440" w:footer="1440" w:gutter="0"/>
          <w:lnNumType w:countBy="1" w:distance="576"/>
          <w:cols w:space="720"/>
          <w:docGrid w:linePitch="326"/>
        </w:sectPr>
      </w:pPr>
    </w:p>
    <w:p w:rsidR="0078295F" w:rsidRDefault="0078295F" w:rsidP="005D448A">
      <w:pPr>
        <w:jc w:val="both"/>
      </w:pPr>
    </w:p>
    <w:p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6"/>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27"/>
      </w:r>
    </w:p>
    <w:p w:rsidR="00CE475B" w:rsidRDefault="00CE475B" w:rsidP="005D448A">
      <w:pPr>
        <w:jc w:val="both"/>
      </w:pPr>
    </w:p>
    <w:p w:rsidR="00CE475B" w:rsidRDefault="00CE475B" w:rsidP="005D448A">
      <w:pPr>
        <w:jc w:val="both"/>
      </w:pPr>
      <w:r>
        <w:tab/>
        <w:t>It is my duty to instruct you on whether [plaintiff] engaged in activity that was protected by the First Amendment.  In this case, I instruct you that the following activity was protected by the First Amendment:</w:t>
      </w:r>
    </w:p>
    <w:p w:rsidR="00CE475B" w:rsidRDefault="00CE475B" w:rsidP="005D448A">
      <w:pPr>
        <w:jc w:val="both"/>
      </w:pPr>
    </w:p>
    <w:p w:rsidR="00CE475B" w:rsidRDefault="00CE475B" w:rsidP="005D448A">
      <w:pPr>
        <w:ind w:left="1440" w:hanging="720"/>
        <w:jc w:val="both"/>
      </w:pPr>
      <w:r>
        <w:rPr>
          <w:rFonts w:ascii="WP TypographicSymbols" w:hAnsi="WP TypographicSymbols"/>
        </w:rPr>
        <w:t>!</w:t>
      </w:r>
      <w:r>
        <w:tab/>
        <w:t>[Describe specifically the plaintiff’s protected activity].  In the rest of this instruction, I will refer to these events as “[plaintiff’s] protected activity.”</w:t>
      </w:r>
    </w:p>
    <w:p w:rsidR="00CE475B" w:rsidRDefault="00CE475B" w:rsidP="005D448A">
      <w:pPr>
        <w:jc w:val="both"/>
      </w:pPr>
    </w:p>
    <w:p w:rsidR="00CE475B" w:rsidRDefault="00CE475B" w:rsidP="005D448A">
      <w:pPr>
        <w:jc w:val="both"/>
      </w:pPr>
      <w:r>
        <w:tab/>
        <w:t>In order for [plaintiff] to recover on this claim against [defendant], [plaintiff] must prove both of the following by a preponderance of the evidence:</w:t>
      </w:r>
    </w:p>
    <w:p w:rsidR="00CE475B" w:rsidRDefault="00CE475B" w:rsidP="005D448A">
      <w:pPr>
        <w:jc w:val="both"/>
      </w:pPr>
    </w:p>
    <w:p w:rsidR="00CE475B" w:rsidRDefault="00CE475B" w:rsidP="005D448A">
      <w:pPr>
        <w:ind w:left="720"/>
        <w:jc w:val="both"/>
      </w:pPr>
      <w:r>
        <w:t xml:space="preserve"> First: [Defendant] [failed to promote] [terminated] [constructively discharged]</w:t>
      </w:r>
      <w:r>
        <w:rPr>
          <w:rStyle w:val="FootnoteReference"/>
        </w:rPr>
        <w:footnoteReference w:id="28"/>
      </w:r>
      <w:r>
        <w:t xml:space="preserve"> [plaintiff]; and</w:t>
      </w:r>
    </w:p>
    <w:p w:rsidR="00FB4C26" w:rsidRDefault="00FB4C26" w:rsidP="005D448A">
      <w:pPr>
        <w:ind w:left="720"/>
        <w:jc w:val="both"/>
      </w:pPr>
    </w:p>
    <w:p w:rsidR="00CE475B" w:rsidRDefault="00CE475B" w:rsidP="005D448A">
      <w:pPr>
        <w:ind w:left="720"/>
        <w:jc w:val="both"/>
      </w:pPr>
      <w:r>
        <w:t>Second: [Plaintiff’s] protected activity was a motivating factor in [defendant's] decision.</w:t>
      </w:r>
    </w:p>
    <w:p w:rsidR="00CE475B" w:rsidRDefault="00CE475B" w:rsidP="005D448A">
      <w:pPr>
        <w:jc w:val="both"/>
      </w:pPr>
    </w:p>
    <w:p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29"/>
      </w:r>
    </w:p>
    <w:p w:rsidR="00CE475B" w:rsidRDefault="00CE475B" w:rsidP="005D448A">
      <w:pPr>
        <w:jc w:val="both"/>
      </w:pPr>
    </w:p>
    <w:p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rsidR="00CE475B" w:rsidRDefault="00CE475B" w:rsidP="005D448A">
      <w:pPr>
        <w:jc w:val="both"/>
      </w:pP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w:t>
      </w:r>
      <w:r>
        <w:rPr>
          <w:i/>
        </w:rPr>
        <w:lastRenderedPageBreak/>
        <w:t>grounds by Borough of Duryea v. Guarnieri</w:t>
      </w:r>
      <w:r>
        <w:t>, 131 S. Ct. 2488 (2011).</w:t>
      </w:r>
      <w:r>
        <w:rPr>
          <w:rStyle w:val="FootnoteReference"/>
        </w:rPr>
        <w:footnoteReference w:id="30"/>
      </w:r>
      <w:r>
        <w:t xml:space="preserve">  “First, the employee must show that the activity is in fact protected.”  </w:t>
      </w:r>
      <w:r>
        <w:rPr>
          <w:i/>
        </w:rPr>
        <w:t>Hill</w:t>
      </w:r>
      <w:r>
        <w:t xml:space="preserve">, 411 F.3d at 125 (citing </w:t>
      </w:r>
      <w:r>
        <w:rPr>
          <w:i/>
        </w:rPr>
        <w:t>Pickering v. Bd. of Educ.</w:t>
      </w:r>
      <w:r>
        <w:t xml:space="preserve">, 391 U.S. 563 (1968)).  “Second, the employee must show that the protected activity ‘was a substantial factor in the alleged retaliatory action.’”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rsidR="00CE475B" w:rsidRDefault="00CE475B" w:rsidP="005D448A">
      <w:pPr>
        <w:jc w:val="both"/>
      </w:pPr>
    </w:p>
    <w:p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rsidR="00CE475B" w:rsidRDefault="00CE475B" w:rsidP="005D448A">
      <w:pPr>
        <w:pStyle w:val="ListParagra"/>
      </w:pPr>
    </w:p>
    <w:p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‘“the interest of the State, as an employer, in promoting the efficiency of the public services it performs through its employees.”’” </w:t>
      </w:r>
      <w:r>
        <w:rPr>
          <w:i/>
        </w:rPr>
        <w:t>Waters v. Churchill</w:t>
      </w:r>
      <w:r>
        <w:t xml:space="preserve">, 511 U.S. 661, 668 (1994) (plurality opinion) (quoting </w:t>
      </w:r>
      <w:r>
        <w:rPr>
          <w:i/>
        </w:rPr>
        <w:t>Connick v. Myers</w:t>
      </w:r>
      <w:r>
        <w:t xml:space="preserve">, 461 U.S. 138, 142 (1983) (quoting </w:t>
      </w:r>
      <w:r>
        <w:rPr>
          <w:i/>
        </w:rPr>
        <w:t xml:space="preserve">Pickering v. Board of Ed. </w:t>
      </w:r>
      <w:r>
        <w:rPr>
          <w:i/>
        </w:rPr>
        <w:lastRenderedPageBreak/>
        <w:t>of Township High School Dist. 205, Will Cty.</w:t>
      </w:r>
      <w:r>
        <w:t>, 391 U.S. 563, 568 (1968))).</w:t>
      </w:r>
      <w:r>
        <w:rPr>
          <w:rStyle w:val="FootnoteReference"/>
        </w:rPr>
        <w:footnoteReference w:id="31"/>
      </w:r>
    </w:p>
    <w:p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2"/>
      </w:r>
      <w:r>
        <w:t xml:space="preserve"> must not be made pursuant to the plaintiff’s job responsibilities</w:t>
      </w:r>
      <w:r>
        <w:rPr>
          <w:rStyle w:val="FootnoteReference"/>
        </w:rPr>
        <w:footnoteReference w:id="33"/>
      </w:r>
      <w:r>
        <w:t xml:space="preserve"> as a government 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4"/>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Reilly v. 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w:t>
      </w:r>
      <w:r w:rsidR="00FB34B5" w:rsidRPr="00FB34B5">
        <w:lastRenderedPageBreak/>
        <w:t xml:space="preserve">given as “part of an employee’s ordinary job duties.” </w:t>
      </w:r>
      <w:r w:rsidR="00FB34B5" w:rsidRPr="00FB34B5">
        <w:rPr>
          <w:i/>
        </w:rPr>
        <w:t>Id</w:t>
      </w:r>
      <w:r w:rsidR="00FB34B5" w:rsidRPr="00FB34B5">
        <w:t>. at n.4.</w:t>
      </w:r>
    </w:p>
    <w:p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employee's duties—might narrow the range of employee speech left unprotected by </w:t>
      </w:r>
      <w:r w:rsidRPr="00A3164E">
        <w:rPr>
          <w:i/>
        </w:rPr>
        <w:t>Garcetti</w:t>
      </w:r>
      <w:r w:rsidRPr="00A3164E">
        <w:t xml:space="preserve">. </w:t>
      </w:r>
      <w:r w:rsidRPr="00A3164E">
        <w:rPr>
          <w:i/>
        </w:rPr>
        <w:t>Id</w:t>
      </w:r>
      <w:r w:rsidRPr="00A3164E">
        <w:t xml:space="preserve"> at 990.  </w:t>
      </w:r>
      <w:r w:rsidRPr="00A3164E">
        <w:rPr>
          <w:i/>
        </w:rPr>
        <w:t>See also</w:t>
      </w:r>
      <w:r w:rsidRPr="00A3164E">
        <w:t xml:space="preserve"> </w:t>
      </w:r>
      <w:r w:rsidRPr="00A3164E">
        <w:rPr>
          <w:i/>
        </w:rPr>
        <w:t>Flora v. County of Luzerne</w:t>
      </w:r>
      <w:r w:rsidRPr="00A3164E">
        <w:t xml:space="preserve">, 776 F.3d 169, 180 (3d Cir. 2015) (relying on </w:t>
      </w:r>
      <w:r w:rsidRPr="00A3164E">
        <w:rPr>
          <w:i/>
        </w:rPr>
        <w:t xml:space="preserve">Dougherty </w:t>
      </w:r>
      <w:r w:rsidRPr="00A3164E">
        <w:t xml:space="preserve">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 For a discussion (albeit without resolution) of the difficulties involved in applying </w:t>
      </w:r>
      <w:r w:rsidRPr="00A3164E">
        <w:rPr>
          <w:i/>
        </w:rPr>
        <w:t>Garcetti</w:t>
      </w:r>
      <w:r w:rsidRPr="00A3164E">
        <w:t xml:space="preserve"> to speech by an elected official, see </w:t>
      </w:r>
      <w:r w:rsidRPr="00A3164E">
        <w:rPr>
          <w:i/>
        </w:rPr>
        <w:t>Werkheiser v. Pocono Twp.,</w:t>
      </w:r>
      <w:r w:rsidRPr="00A3164E">
        <w:t xml:space="preserve"> 780 F.3d 172 (3d Cir. 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 xml:space="preserve"> / </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5"/>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36"/>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37"/>
      </w:r>
      <w:r>
        <w:t xml:space="preserve">  However, the plurality’s application of its test is indicative: </w:t>
      </w:r>
      <w:r>
        <w:lastRenderedPageBreak/>
        <w:t xml:space="preserve">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38"/>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39"/>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 </w:t>
      </w:r>
      <w:r>
        <w:rPr>
          <w:i/>
        </w:rPr>
        <w:t>Azzaro</w:t>
      </w:r>
      <w:r>
        <w:t xml:space="preserve">, 110 F.3d at 976 (quoting </w:t>
      </w:r>
      <w:r>
        <w:rPr>
          <w:i/>
        </w:rPr>
        <w:t>Connick v. Myers</w:t>
      </w:r>
      <w:r>
        <w:t>, 461 U.S. 138, 147-48 (1983)).</w:t>
      </w:r>
      <w:r>
        <w:rPr>
          <w:rStyle w:val="FootnoteReference"/>
        </w:rPr>
        <w:footnoteReference w:id="40"/>
      </w:r>
      <w:r>
        <w:t xml:space="preserve">  Second, the employee’s expressive conduct must not have been part of the </w:t>
      </w:r>
      <w:r>
        <w:lastRenderedPageBreak/>
        <w:t xml:space="preserve">employee’s job duties.  </w:t>
      </w:r>
      <w:r>
        <w:rPr>
          <w:i/>
        </w:rPr>
        <w:t>See supra</w:t>
      </w:r>
      <w:r>
        <w:t xml:space="preserve"> (discussing </w:t>
      </w:r>
      <w:r>
        <w:rPr>
          <w:i/>
        </w:rPr>
        <w:t>Garcetti v. Ceballos</w:t>
      </w:r>
      <w:r>
        <w:t xml:space="preserve">, 126 S. Ct. 1951 (2006)).  Third, “the value of that expression must outweigh ‘the government's interest in the effective and efficient fulfillment of its responsibilities to the public.’” </w:t>
      </w:r>
      <w:r>
        <w:rPr>
          <w:i/>
        </w:rPr>
        <w:t>Azzaro</w:t>
      </w:r>
      <w:r>
        <w:t xml:space="preserve">, 110 F.3d at 976 (quoting </w:t>
      </w:r>
      <w:r>
        <w:rPr>
          <w:i/>
        </w:rPr>
        <w:t>Connick</w:t>
      </w:r>
      <w:r>
        <w:t>, 461 U.S. at 150).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r>
        <w:rPr>
          <w:i/>
        </w:rPr>
        <w:t>Montone v. City of Jersey City</w:t>
      </w:r>
      <w:r>
        <w:t xml:space="preserve">, 709 F.3d 181, 194-95 (3d Cir. 2013) (holding that plaintiff’s “speech involved a matter of public concern,” even though “no elected figure [wa]s involved,” </w:t>
      </w:r>
      <w:r>
        <w:lastRenderedPageBreak/>
        <w:t>where there were “at least three separate instances of alleged sexual harassment . . .  and the inappropriate conduct was not directed solely at Montone”).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1"/>
      </w:r>
      <w:r>
        <w:t xml:space="preserve"> against “the government's interest as an employer in promoting the efficiency of the services it performs through its employees.”</w:t>
      </w:r>
      <w:r>
        <w:rPr>
          <w:rStyle w:val="FootnoteReference"/>
        </w:rPr>
        <w:footnoteReference w:id="42"/>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3"/>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4"/>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w:t>
      </w:r>
      <w:r>
        <w:lastRenderedPageBreak/>
        <w:t xml:space="preserve">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45"/>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'unusually suggestive' of retaliatory motive before a causal link will be inferred."  </w:t>
      </w:r>
      <w:r>
        <w:rPr>
          <w:i/>
        </w:rPr>
        <w:t>Estate of Smith v. Marasco</w:t>
      </w:r>
      <w:r>
        <w:t xml:space="preserve">, 318 F.3d 497, 512 (3d Cir. 2003) (quoting </w:t>
      </w:r>
      <w:r>
        <w:rPr>
          <w:i/>
        </w:rPr>
        <w:t>Krouse v. Am. Sterilizer Co.</w:t>
      </w:r>
      <w:r>
        <w:t>, 126 F.3d 494, 503 (3d Cir. 1997)).</w:t>
      </w:r>
      <w:r>
        <w:rPr>
          <w:rStyle w:val="FootnoteReference"/>
        </w:rPr>
        <w:footnoteReference w:id="4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 – a case involving retaliation claims under both the First Amendment and the Rehabilitation Act – the Court of Appeals noted three options for proving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lastRenderedPageBreak/>
        <w:t>Id.</w:t>
      </w:r>
      <w:r>
        <w:t xml:space="preserve"> at 267.</w:t>
      </w:r>
      <w:r>
        <w:rPr>
          <w:rStyle w:val="FootnoteReference"/>
        </w:rPr>
        <w:footnoteReference w:id="47"/>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48"/>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49"/>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8"/>
          <w:headerReference w:type="default" r:id="rId19"/>
          <w:footerReference w:type="even" r:id="rId20"/>
          <w:type w:val="continuous"/>
          <w:pgSz w:w="12240" w:h="15840"/>
          <w:pgMar w:top="1440" w:right="1440" w:bottom="1440" w:left="1440" w:header="1440" w:footer="1440" w:gutter="0"/>
          <w:lnNumType w:countBy="1" w:distance="576"/>
          <w:cols w:space="720"/>
          <w:docGrid w:linePitch="326"/>
        </w:sectPr>
      </w:pP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0"/>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1"/>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2"/>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3"/>
      </w:r>
      <w:r>
        <w:t xml:space="preserve">  Specifically, the Court held that there is a Seventh Amendment right</w:t>
      </w:r>
      <w:r>
        <w:rPr>
          <w:rStyle w:val="FootnoteReference"/>
        </w:rPr>
        <w:footnoteReference w:id="54"/>
      </w:r>
      <w:r>
        <w:t xml:space="preserve"> to a jury determination of the question of liability in a Section 1983 suit seeking damages </w:t>
      </w:r>
      <w:r>
        <w:lastRenderedPageBreak/>
        <w:t xml:space="preserve">reflecting just compensation for a regulatory taking.  </w:t>
      </w:r>
      <w:r>
        <w:rPr>
          <w:i/>
        </w:rPr>
        <w:t xml:space="preserve">See id. </w:t>
      </w:r>
      <w:r>
        <w:t xml:space="preserve">at 721.  As the Court explained, “[e]ven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xml:space="preserve">, 494 U.S. 558, 570 (1990))), and on the view that “[j]ust compensation . . . differs from equitable restitution and other monetary remedies available in equity, for in determining just compensation, ‘the question is what has the owner lost, not what has the taker gained,’” </w:t>
      </w:r>
      <w:r>
        <w:rPr>
          <w:i/>
        </w:rPr>
        <w:t>id.</w:t>
      </w:r>
      <w:r>
        <w:t xml:space="preserve"> (quoting </w:t>
      </w:r>
      <w:r>
        <w:rPr>
          <w:i/>
        </w:rPr>
        <w:t>Boston Chamber of Commerce v. Boston</w:t>
      </w:r>
      <w:r>
        <w:t>, 217 U.S. 189, 195 (1910)).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Once a court determines that a Section 1983 suit seeks legal relief – thus triggering the right to a jury – 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55"/>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56"/>
      </w:r>
      <w:r>
        <w:t xml:space="preserve">  Thus, for example, in </w:t>
      </w:r>
      <w:r>
        <w:rPr>
          <w:i/>
        </w:rPr>
        <w:t>Savarese v. Agriss</w:t>
      </w:r>
      <w:r>
        <w:t xml:space="preserve">, the Court </w:t>
      </w:r>
      <w:r>
        <w:lastRenderedPageBreak/>
        <w:t xml:space="preserve">of Appeals (in vacating and remanding for a redetermination of damages and back pay) indicated that the question of compensatory damages was for the jury while the question of back pay was 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On at least one occasion, however, the Court of Appeals has appeared to contemplate a procedure by which both back pay and front pay were submitted to the jury.</w:t>
      </w:r>
      <w:r>
        <w:rPr>
          <w:rStyle w:val="FootnoteReference"/>
        </w:rPr>
        <w:footnoteReference w:id="57"/>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58"/>
      </w:r>
      <w:r>
        <w:t xml:space="preserve"> the court could draft an instruction on that issue by making appropriate adaptations to Instruction 5.4.3 (concerning back pay under Title VII).</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59"/>
      </w:r>
      <w:r>
        <w:t xml:space="preserve">  The determination concerning reinstatement is for the district court.</w:t>
      </w:r>
      <w:r>
        <w:rPr>
          <w:rStyle w:val="FootnoteReference"/>
        </w:rPr>
        <w:footnoteReference w:id="60"/>
      </w:r>
      <w:r>
        <w:t xml:space="preserve">  If the district court determines that reinstatement is </w:t>
      </w:r>
      <w:r>
        <w:lastRenderedPageBreak/>
        <w:t>appropriate, then the district court should award reinstatement and should not</w:t>
      </w:r>
      <w:r w:rsidR="005D448A">
        <w:t xml:space="preserve"> permit the award of front pay.</w:t>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1"/>
      </w:r>
      <w:r>
        <w:t xml:space="preserve"> though here, too, the Third Circuit caselaw is inconclusive.</w:t>
      </w:r>
      <w:r>
        <w:rPr>
          <w:rStyle w:val="FootnoteReference"/>
        </w:rPr>
        <w:footnoteReference w:id="62"/>
      </w:r>
      <w:r>
        <w:t xml:space="preserve">  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w:t>
      </w:r>
      <w:r>
        <w:lastRenderedPageBreak/>
        <w:t>legal remedy,</w:t>
      </w:r>
      <w:r>
        <w:rPr>
          <w:rStyle w:val="FootnoteReference"/>
        </w:rPr>
        <w:footnoteReference w:id="63"/>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4"/>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5"/>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66"/>
      </w:r>
      <w:r>
        <w:t xml:space="preserve"> the court could draft an instruction on that issue by making appropriate adaptations to Instruction 5.4.4 (concerning front pay under Title VII).</w:t>
      </w:r>
    </w:p>
    <w:sectPr w:rsidR="005D448A" w:rsidSect="005D448A">
      <w:headerReference w:type="default" r:id="rId21"/>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FC" w:rsidRDefault="002554FC">
      <w:r>
        <w:separator/>
      </w:r>
    </w:p>
  </w:endnote>
  <w:endnote w:type="continuationSeparator" w:id="0">
    <w:p w:rsidR="002554FC" w:rsidRDefault="0025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98" w:rsidRDefault="005B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736085254"/>
      <w:docPartObj>
        <w:docPartGallery w:val="Page Numbers (Bottom of Page)"/>
        <w:docPartUnique/>
      </w:docPartObj>
    </w:sdtPr>
    <w:sdtEndPr>
      <w:rPr>
        <w:noProof/>
      </w:rPr>
    </w:sdtEndPr>
    <w:sdtContent>
      <w:p w:rsidR="002554FC" w:rsidRPr="00DA6B11" w:rsidRDefault="002554F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5B4898">
          <w:rPr>
            <w:noProof/>
            <w:szCs w:val="24"/>
          </w:rPr>
          <w:t>4</w:t>
        </w:r>
        <w:r w:rsidRPr="00DA6B11">
          <w:rPr>
            <w:noProof/>
            <w:szCs w:val="24"/>
          </w:rPr>
          <w:fldChar w:fldCharType="end"/>
        </w:r>
        <w:r w:rsidRPr="00DA6B11">
          <w:rPr>
            <w:noProof/>
            <w:szCs w:val="24"/>
          </w:rPr>
          <w:t xml:space="preserve"> </w:t>
        </w:r>
      </w:p>
      <w:p w:rsidR="002554FC" w:rsidRPr="00DA6B11" w:rsidRDefault="002554FC" w:rsidP="00DA6B11">
        <w:pPr>
          <w:widowControl w:val="0"/>
          <w:autoSpaceDE w:val="0"/>
          <w:autoSpaceDN w:val="0"/>
          <w:adjustRightInd w:val="0"/>
          <w:jc w:val="right"/>
          <w:rPr>
            <w:i/>
            <w:szCs w:val="24"/>
          </w:rPr>
        </w:pPr>
        <w:r w:rsidRPr="00DA6B11">
          <w:rPr>
            <w:i/>
            <w:noProof/>
            <w:szCs w:val="24"/>
          </w:rPr>
          <w:t xml:space="preserve">Last updated </w:t>
        </w:r>
        <w:r>
          <w:rPr>
            <w:i/>
            <w:noProof/>
            <w:szCs w:val="24"/>
          </w:rPr>
          <w:t>July 2015</w:t>
        </w:r>
      </w:p>
      <w:p w:rsidR="002554FC" w:rsidRPr="00DA6B11" w:rsidRDefault="005B4898" w:rsidP="00DA6B11">
        <w:pPr>
          <w:widowControl w:val="0"/>
          <w:tabs>
            <w:tab w:val="center" w:pos="4680"/>
            <w:tab w:val="right" w:pos="9360"/>
          </w:tabs>
          <w:autoSpaceDE w:val="0"/>
          <w:autoSpaceDN w:val="0"/>
          <w:adjustRightInd w:val="0"/>
          <w:jc w:val="center"/>
          <w:rPr>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98" w:rsidRDefault="005B4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rsidR="002554FC" w:rsidRDefault="002554FC">
    <w:pPr>
      <w:framePr w:w="9360" w:h="233" w:hRule="exact" w:wrap="notBeside" w:vAnchor="page" w:hAnchor="text" w:y="1420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pgNum/>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FC" w:rsidRDefault="002554FC">
      <w:r>
        <w:separator/>
      </w:r>
    </w:p>
  </w:footnote>
  <w:footnote w:type="continuationSeparator" w:id="0">
    <w:p w:rsidR="002554FC" w:rsidRDefault="002554FC">
      <w:r>
        <w:continuationSeparator/>
      </w:r>
    </w:p>
  </w:footnote>
  <w:footnote w:id="1">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S.Ct. 2146, 2148-2149, 2157 (2008).</w:t>
      </w:r>
    </w:p>
  </w:footnote>
  <w:footnote w:id="2">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id. § 2000e(h) (defining “industry affecting commerce” to include “any governmental industry, business, or activity”).</w:t>
      </w:r>
    </w:p>
  </w:footnote>
  <w:footnote w:id="3">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4">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5">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6">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7">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8">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9">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0">
    <w:p w:rsidR="002554FC" w:rsidRDefault="002554F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1">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F.Supp.2d 544, 558 (D. Del. 1999)  (“A claim of retaliation cannot be the sole basis for a § 1983 claim where there is no violation of the Constitution or federal law, other than the retaliation provision of Title VII.”).</w:t>
      </w:r>
    </w:p>
    <w:p w:rsidR="002554FC" w:rsidRDefault="002554F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2">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3">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4">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rsidR="002554FC" w:rsidRDefault="002554F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5">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6">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17">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18">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19">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0">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rsidR="002554FC" w:rsidRDefault="002554F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rsidR="002554FC" w:rsidRDefault="002554F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1">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  See Comment 5.1.4.</w:t>
      </w:r>
    </w:p>
  </w:footnote>
  <w:footnote w:id="22">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3">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4">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rsidR="002554FC" w:rsidRDefault="002554F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5">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6">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27">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554FC" w:rsidRDefault="002554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footnote>
  <w:footnote w:id="28">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29">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0">
    <w:p w:rsidR="002554FC" w:rsidRDefault="002554F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1">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777 F.3d 147 (3d Cir.</w:t>
      </w:r>
      <w:r w:rsidRPr="00433479">
        <w:t xml:space="preserve">), </w:t>
      </w:r>
      <w:r w:rsidRPr="00433479">
        <w:rPr>
          <w:i/>
        </w:rPr>
        <w:t xml:space="preserve">cert. </w:t>
      </w:r>
      <w:r>
        <w:rPr>
          <w:i/>
        </w:rPr>
        <w:t>granted</w:t>
      </w:r>
      <w:r w:rsidRPr="00433479">
        <w:t xml:space="preserve">, </w:t>
      </w:r>
      <w:r>
        <w:t>136 S. Ct. 29 (</w:t>
      </w:r>
      <w:r w:rsidRPr="00433479">
        <w:t>2015) (following freedom of speech precedents in deciding a freedom of association claim).</w:t>
      </w:r>
    </w:p>
  </w:footnote>
  <w:footnote w:id="32">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3">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4">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see also 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5">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However, it is important to note that if the plaintiff did not in fact engage in constitutionally protected activity, but the employer retaliates in the mistaken belief that the plaintiff did engage in such activity, the plaintiff does not have a First Amendment retaliation claim.  “Plaintiffs in First Amendment retaliation cases can sustain their burden of proof only if their conduct was constitutionally protected, and, therefore, only if there actually was </w:t>
      </w:r>
      <w:r>
        <w:rPr>
          <w:i/>
        </w:rPr>
        <w:t>conduct</w:t>
      </w:r>
      <w:r>
        <w:t xml:space="preserve">.”  </w:t>
      </w:r>
      <w:r>
        <w:rPr>
          <w:i/>
        </w:rPr>
        <w:t>Ambrose v. Township of Robinson, Pa.</w:t>
      </w:r>
      <w:r>
        <w:t xml:space="preserve">, 303 F.3d 488, 495 (3d Cir. 2002) (emphasis in original) (noting that other courts have also concluded that “there can be no First Amendment claim when there is no speech by the plaintiff”); </w:t>
      </w:r>
      <w:r>
        <w:rPr>
          <w:i/>
        </w:rPr>
        <w:t>see also Fogarty v. Boles</w:t>
      </w:r>
      <w:r>
        <w:t xml:space="preserve">, 121 F.3d 886, 890 (3d Cir. 1997) (“[I]n the absence of speech, or, at the extreme, intended speech, there has been no constitutional violation cognizable under section 1983 based on an asserted ‘bad motive’ on the part of defendant.”); </w:t>
      </w:r>
      <w:r w:rsidRPr="00433479">
        <w:rPr>
          <w:i/>
        </w:rPr>
        <w:t>Heffernan v. Paterson</w:t>
      </w:r>
      <w:r>
        <w:t>, 777 F.3d 147 (3d Cir.</w:t>
      </w:r>
      <w:r w:rsidRPr="00433479">
        <w:t xml:space="preserve">), </w:t>
      </w:r>
      <w:r w:rsidRPr="00433479">
        <w:rPr>
          <w:i/>
        </w:rPr>
        <w:t xml:space="preserve">cert. </w:t>
      </w:r>
      <w:r>
        <w:rPr>
          <w:i/>
        </w:rPr>
        <w:t>granted</w:t>
      </w:r>
      <w:r w:rsidRPr="00433479">
        <w:t xml:space="preserve">, </w:t>
      </w:r>
      <w:r>
        <w:t>136</w:t>
      </w:r>
      <w:r w:rsidRPr="00A3164E">
        <w:t xml:space="preserve"> S. Ct. 29 (2015) (following </w:t>
      </w:r>
      <w:r w:rsidRPr="00A3164E">
        <w:rPr>
          <w:i/>
        </w:rPr>
        <w:t>Ambrose</w:t>
      </w:r>
      <w:r w:rsidRPr="00A3164E">
        <w:t xml:space="preserve"> and </w:t>
      </w:r>
      <w:r w:rsidRPr="00A3164E">
        <w:rPr>
          <w:i/>
        </w:rPr>
        <w:t>Fogarty</w:t>
      </w:r>
      <w:r w:rsidRPr="00A3164E">
        <w:t xml:space="preserve"> in deciding a freedom of association claim).</w:t>
      </w:r>
      <w:r>
        <w:t xml:space="preserve"> </w:t>
      </w:r>
      <w:r>
        <w:rPr>
          <w:i/>
        </w:rPr>
        <w:t>Compare Fogleman v. Mercy Hosp., Inc.</w:t>
      </w:r>
      <w:r>
        <w:t>, 283 F.3d 561, 571 (3d Cir. 2002) (upholding retaliation claim under the Americans with Disabilities Act on “a perception theory of discrimination,” on the ground that the relevant statutory language “focus[es] on the employer's subjective reasons for taking adverse action against an employee, so it matters not whether the reasons behind the employer's discriminatory animus are actually correct as a factual matter”).</w:t>
      </w:r>
    </w:p>
  </w:footnote>
  <w:footnote w:id="36">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7">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38">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 / Pickering </w:t>
      </w:r>
      <w:r>
        <w:t>tests is a matter of law for the court – not on the question of who should determine any underlying disputes of historical fact.</w:t>
      </w:r>
    </w:p>
  </w:footnote>
  <w:footnote w:id="39">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0">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p>
  </w:footnote>
  <w:footnote w:id="41">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2">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3">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p>
  </w:footnote>
  <w:footnote w:id="44">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45">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 – a misconduct report (charging the plaintiff inmate with lying about an underlying incident) that was later dismissed – “does not rise to the level of ‘adverse action’” because it did not meet the ordinary-firmness standard).</w:t>
      </w:r>
    </w:p>
  </w:footnote>
  <w:footnote w:id="46">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47">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48">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49">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0">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1">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2">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3">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4">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5">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56">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xml:space="preserve">, 626 F.2d 1115, 1122-23 (3d Cir. 1980)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rsidR="002554FC" w:rsidRDefault="002554F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2554FC" w:rsidRDefault="002554F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57">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p>
  </w:footnote>
  <w:footnote w:id="58">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59">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0">
    <w:p w:rsidR="002554FC" w:rsidRDefault="002554F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1">
    <w:p w:rsidR="002554FC" w:rsidRDefault="002554F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rsidR="002554FC" w:rsidRDefault="002554F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2">
    <w:p w:rsidR="002554FC" w:rsidRDefault="002554F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rsidR="002554FC" w:rsidRDefault="002554F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3">
    <w:p w:rsidR="002554FC" w:rsidRDefault="002554F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4">
    <w:p w:rsidR="002554FC" w:rsidRDefault="002554F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5">
    <w:p w:rsidR="002554FC" w:rsidRDefault="002554F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rsidR="002554FC" w:rsidRDefault="002554F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rsidR="002554FC" w:rsidRDefault="002554F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554FC" w:rsidRDefault="002554F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rsidR="002554FC" w:rsidRDefault="002554F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66">
    <w:p w:rsidR="002554FC" w:rsidRDefault="002554F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98" w:rsidRDefault="005B48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rsidR="002554FC" w:rsidRDefault="002554FC" w:rsidP="009B7E97">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rsidR="002554FC" w:rsidRDefault="002554F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Pr="00E54E59" w:rsidRDefault="002554FC" w:rsidP="00E54E59">
    <w:pPr>
      <w:widowControl w:val="0"/>
      <w:tabs>
        <w:tab w:val="center" w:pos="4680"/>
        <w:tab w:val="right" w:pos="9360"/>
      </w:tabs>
      <w:autoSpaceDE w:val="0"/>
      <w:autoSpaceDN w:val="0"/>
      <w:adjustRightInd w:val="0"/>
      <w:jc w:val="right"/>
      <w:rPr>
        <w:b/>
        <w:sz w:val="20"/>
      </w:rPr>
    </w:pPr>
  </w:p>
  <w:p w:rsidR="002554FC" w:rsidRDefault="002554FC">
    <w:pPr>
      <w:pStyle w:val="Header"/>
    </w:pPr>
  </w:p>
  <w:p w:rsidR="002554FC" w:rsidRDefault="002554F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98" w:rsidRDefault="005B4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Pr="00E54E59" w:rsidRDefault="002554F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2554FC" w:rsidRDefault="002554F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Pr="00E54E59" w:rsidRDefault="002554F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2554FC" w:rsidRDefault="002554F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Pr="00E54E59" w:rsidRDefault="002554F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rsidR="002554FC" w:rsidRDefault="002554F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rsidR="002554FC" w:rsidRDefault="002554FC" w:rsidP="009B7E9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rsidR="002554FC" w:rsidRDefault="002554F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FC" w:rsidRDefault="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B3B47"/>
    <w:rsid w:val="000E3D67"/>
    <w:rsid w:val="000F5FA5"/>
    <w:rsid w:val="001F7072"/>
    <w:rsid w:val="0020013B"/>
    <w:rsid w:val="0023730D"/>
    <w:rsid w:val="002554FC"/>
    <w:rsid w:val="003C0D02"/>
    <w:rsid w:val="00433479"/>
    <w:rsid w:val="0049244E"/>
    <w:rsid w:val="00566198"/>
    <w:rsid w:val="00594F9C"/>
    <w:rsid w:val="005B4898"/>
    <w:rsid w:val="005D448A"/>
    <w:rsid w:val="005E7864"/>
    <w:rsid w:val="00621DEA"/>
    <w:rsid w:val="0068193B"/>
    <w:rsid w:val="006F12D1"/>
    <w:rsid w:val="0078295F"/>
    <w:rsid w:val="007B08CB"/>
    <w:rsid w:val="00870B3C"/>
    <w:rsid w:val="008D01CB"/>
    <w:rsid w:val="008D2026"/>
    <w:rsid w:val="008E57F8"/>
    <w:rsid w:val="009B7E97"/>
    <w:rsid w:val="009E1A16"/>
    <w:rsid w:val="00A3164E"/>
    <w:rsid w:val="00B80A0F"/>
    <w:rsid w:val="00C14389"/>
    <w:rsid w:val="00C21E91"/>
    <w:rsid w:val="00CE475B"/>
    <w:rsid w:val="00D07EE1"/>
    <w:rsid w:val="00DA14C0"/>
    <w:rsid w:val="00DA6B11"/>
    <w:rsid w:val="00E35682"/>
    <w:rsid w:val="00E453B9"/>
    <w:rsid w:val="00E54E59"/>
    <w:rsid w:val="00E6471A"/>
    <w:rsid w:val="00F06E43"/>
    <w:rsid w:val="00FB34B5"/>
    <w:rsid w:val="00FB4C26"/>
    <w:rsid w:val="00FC3113"/>
    <w:rsid w:val="00FC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6E64-8C0C-45A5-82E3-F79F26D8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9336</Words>
  <Characters>51071</Characters>
  <Application>Microsoft Office Word</Application>
  <DocSecurity>0</DocSecurity>
  <Lines>425</Lines>
  <Paragraphs>120</Paragraphs>
  <ScaleCrop>false</ScaleCrop>
  <Company/>
  <LinksUpToDate>false</LinksUpToDate>
  <CharactersWithSpaces>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2016-03-08T14:50:00Z</dcterms:created>
  <dcterms:modified xsi:type="dcterms:W3CDTF">2016-03-08T14:51:00Z</dcterms:modified>
</cp:coreProperties>
</file>