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Instructions For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77777777"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______  has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  race.</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1" w:name="FN;B5"/>
      <w:bookmarkStart w:id="2" w:name="FN_59_B5"/>
      <w:bookmarkEnd w:id="1"/>
      <w:bookmarkEnd w:id="2"/>
      <w:r w:rsidRPr="00C0198E">
        <w:t xml:space="preserve">It prohibits racial discrimination against whites as well as nonwhites. </w:t>
      </w:r>
      <w:bookmarkStart w:id="3" w:name="FN;B6"/>
      <w:bookmarkStart w:id="4" w:name="FN_59_B6"/>
      <w:bookmarkEnd w:id="3"/>
      <w:bookmarkEnd w:id="4"/>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5" w:name="FN;B7"/>
      <w:bookmarkStart w:id="6" w:name="FN_59_B7"/>
      <w:bookmarkEnd w:id="5"/>
      <w:bookmarkEnd w:id="6"/>
      <w:r w:rsidRPr="00C0198E">
        <w:t>427 U.S. 160 (1976),  the Supreme Court held that Section 1981 regulated private conduct as well as  governmental action.</w:t>
      </w:r>
      <w:r w:rsidRPr="00C0198E">
        <w:rPr>
          <w:rStyle w:val="FootnoteReference"/>
        </w:rPr>
        <w:footnoteReference w:id="1"/>
      </w:r>
      <w:r w:rsidRPr="00C0198E">
        <w:t xml:space="preserve"> </w:t>
      </w:r>
      <w:bookmarkStart w:id="7" w:name="FN;B8"/>
      <w:bookmarkStart w:id="8" w:name="FN_59_B8"/>
      <w:bookmarkEnd w:id="7"/>
      <w:bookmarkEnd w:id="8"/>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9" w:name="FN;B9"/>
      <w:bookmarkStart w:id="10" w:name="FN_59_B9"/>
      <w:bookmarkEnd w:id="9"/>
      <w:bookmarkEnd w:id="10"/>
      <w:r w:rsidRPr="00C0198E">
        <w:t xml:space="preserve">491 U.S. 164 (1989), the Supreme Court restricted the application of Section 1981 to claims arising out of the formation of the contract. </w:t>
      </w:r>
      <w:bookmarkStart w:id="11" w:name="FN;B10"/>
      <w:bookmarkStart w:id="12" w:name="FN_59_B10"/>
      <w:bookmarkEnd w:id="11"/>
      <w:bookmarkEnd w:id="12"/>
      <w:r w:rsidRPr="00C0198E">
        <w:t xml:space="preserve"> But the Civil Rights Act of 1991 </w:t>
      </w:r>
      <w:bookmarkStart w:id="13" w:name="FN;B11"/>
      <w:bookmarkStart w:id="14" w:name="FN_59_B11"/>
      <w:bookmarkEnd w:id="13"/>
      <w:bookmarkEnd w:id="14"/>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w:t>
      </w:r>
      <w:r w:rsidRPr="00C0198E">
        <w:lastRenderedPageBreak/>
        <w:t xml:space="preserve">modification and termination of contracts, and the enjoyment of all benefits, privileges, terms, and conditions of the contractual relationship." </w:t>
      </w:r>
      <w:bookmarkStart w:id="15" w:name="FN;B12"/>
      <w:bookmarkStart w:id="16" w:name="FN_59_B12"/>
      <w:bookmarkEnd w:id="15"/>
      <w:bookmarkEnd w:id="16"/>
      <w:r w:rsidRPr="00C0198E">
        <w:t xml:space="preserve">42 U.S.C. § 1981(b).  “[A] plaintiff cannot state a claim under § 1981 unless he has (or would have) rights under the existing (or proposed) contract that he wishes ‘to make and enforce.’”  </w:t>
      </w:r>
      <w:r w:rsidRPr="00C0198E">
        <w:rPr>
          <w:i/>
        </w:rPr>
        <w:t>Domino's Pizza, Inc. v. McDonald</w:t>
      </w:r>
      <w:r w:rsidRPr="00C0198E">
        <w:t>, 546 U.S. 470, 479-80 (2006).</w:t>
      </w:r>
    </w:p>
    <w:p w14:paraId="7E65E4E4" w14:textId="77777777" w:rsidR="00252756" w:rsidRPr="00C0198E" w:rsidRDefault="00252756" w:rsidP="009C0DEC">
      <w:pPr>
        <w:widowControl w:val="0"/>
        <w:spacing w:after="240"/>
        <w:jc w:val="both"/>
      </w:pPr>
      <w:r w:rsidRPr="00C0198E">
        <w:tab/>
        <w:t xml:space="preserve">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at 710 (“The case before us is an employment discrimination suit brought on behalf of a minister, challenging her church's decision to fire her…. [T]he ministerial exception bars such a suit.”).  For further 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3"/>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91E710C"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6D46A1" w:rsidRPr="00C0198E">
        <w:t xml:space="preserve">'s] decision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7FE3C7CD"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2"/>
      </w:r>
    </w:p>
    <w:p w14:paraId="2C54A105" w14:textId="49134FE6" w:rsidR="00252756" w:rsidRPr="00C0198E" w:rsidRDefault="00252756" w:rsidP="009C0DEC">
      <w:pPr>
        <w:widowControl w:val="0"/>
        <w:spacing w:after="240"/>
        <w:jc w:val="both"/>
      </w:pPr>
      <w:r w:rsidRPr="00C0198E">
        <w:tab/>
        <w:t>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[plaintiff] the same even if [plaintiff's]  race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University of Texas Southwestern Medical Center v. Nassar</w:t>
      </w:r>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See Nassar</w:t>
      </w:r>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at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r w:rsidRPr="00C0198E">
        <w:rPr>
          <w:i/>
          <w:iCs/>
        </w:rPr>
        <w:t xml:space="preserve">Nassar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r w:rsidRPr="00C0198E">
        <w:rPr>
          <w:i/>
          <w:iCs/>
        </w:rPr>
        <w:t>Nassar</w:t>
      </w:r>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r w:rsidRPr="00C0198E">
        <w:rPr>
          <w:i/>
          <w:iCs/>
        </w:rPr>
        <w:t xml:space="preserve">Nassar </w:t>
      </w:r>
      <w:r w:rsidRPr="00C0198E">
        <w:t>bear upon this question.</w:t>
      </w:r>
      <w:r w:rsidR="00252756" w:rsidRPr="00C0198E">
        <w:t xml:space="preserve">  In </w:t>
      </w:r>
      <w:r w:rsidR="00252756" w:rsidRPr="00C0198E">
        <w:rPr>
          <w:i/>
        </w:rPr>
        <w:t>Brown v. J. Kaz,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(“[C]ontrary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at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r w:rsidR="00252756" w:rsidRPr="00C0198E">
        <w:t>at 269.  These instructions were constructed on the assumption that the mixed-motive and pretext frameworks apply in Section 1981 cases.</w:t>
      </w:r>
    </w:p>
    <w:p w14:paraId="1482B8FA" w14:textId="45AFB111" w:rsidR="00252756" w:rsidRPr="00C0198E" w:rsidRDefault="00252756" w:rsidP="009C0DEC">
      <w:pPr>
        <w:widowControl w:val="0"/>
        <w:spacing w:after="240"/>
        <w:jc w:val="both"/>
      </w:pPr>
      <w:r w:rsidRPr="00C0198E">
        <w:tab/>
        <w:t xml:space="preserve">The distinction between “mixed-motive” cases and “pretext” cases is generally determined by whether the plaintiff produces direct rather than circumstantial evidence of discrimination. If the plaintiff produces direct evidence of discrimination, this is sufficient to show that the </w:t>
      </w:r>
      <w:r w:rsidRPr="00C0198E">
        <w:lastRenderedPageBreak/>
        <w:t xml:space="preserve">defendant’s 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 it is then for the plaintiff to show that the alleged non-discriminatory motive is a pretext, and accordingly Instruction 6.1.2 should be given. </w:t>
      </w:r>
      <w:r w:rsidRPr="00C0198E">
        <w:rPr>
          <w:i/>
        </w:rPr>
        <w:t xml:space="preserve">See generally Fakete v. Aetna, Inc., </w:t>
      </w:r>
      <w:r w:rsidRPr="00C0198E">
        <w:t xml:space="preserve"> 308 F.3d 335 (3d Cir. 2002) (using “direct evidence” to describe “mixed-motive” cases and noting that pretext cases arise when the plaintiff presents only indirect or circumstantial evidence of discrimination); </w:t>
      </w:r>
      <w:r w:rsidRPr="00C0198E">
        <w:rPr>
          <w:i/>
        </w:rPr>
        <w:t xml:space="preserve">Glanzman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3"/>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S.Ct.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at 287, 97 S.Ct.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r w:rsidRPr="00C0198E">
        <w:rPr>
          <w:i/>
        </w:rPr>
        <w:t>Schurr v. Resorts Intern. Hotel, Inc.</w:t>
      </w:r>
      <w:r w:rsidRPr="00C0198E">
        <w:t xml:space="preserve">, 196 F.3d 486, 499 (3d Cir. 1999), it can be argued that the Supreme Court’s decision in </w:t>
      </w:r>
      <w:r w:rsidRPr="00C0198E">
        <w:rPr>
          <w:i/>
        </w:rPr>
        <w:t>Price Waterhouse v. Hopkins</w:t>
      </w:r>
      <w:r w:rsidRPr="00C0198E">
        <w:t xml:space="preserve">, 490 U.S. 228 (1989), setting a mixed-motive framework for Title VII discrimination claims, also set in place a framework for Section 1981 claims.  But </w:t>
      </w:r>
      <w:r w:rsidRPr="00C0198E">
        <w:lastRenderedPageBreak/>
        <w:t xml:space="preserve">complications arise from the fact that the Price Waterhouse framework has been altered – for Title VII discrimination claims – by legislation enacted in 1991.  Specifically, Section 107 of the Civil Rights Act of 1991 (42 U.S.C. § 2000e-5(g)(2)(B))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r w:rsidRPr="00C0198E">
        <w:rPr>
          <w:i/>
        </w:rPr>
        <w:t xml:space="preserve">Mabra v. United Food &amp; Comm. Workers Union No. 1996, </w:t>
      </w:r>
      <w:r w:rsidRPr="00C0198E">
        <w:t>176 F.3d 1357, 1358 (11</w:t>
      </w:r>
      <w:r w:rsidRPr="00C0198E">
        <w:rPr>
          <w:vertAlign w:val="superscript"/>
        </w:rPr>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Enacted as part of the Civil Rights Act of 1991 ("1991 Act"), the mixed-motive amendments specifically add two provisions to the text of Title VII; they make no amendment or addition to § 1981. See Civil Rights Act of 1991, Pub.L. No. 102-166, 105 Stat. 1071, 1075 (1991) (codified as amended at 42 U.S.C. §§ 2000e-2(m), 2000e-5(g)(2)(B)).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r w:rsidRPr="00C0198E">
        <w:rPr>
          <w:i/>
        </w:rPr>
        <w:t>Mabra</w:t>
      </w:r>
      <w:r w:rsidRPr="00C0198E">
        <w:t xml:space="preserve"> 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Pr="00C0198E" w:rsidRDefault="00252756" w:rsidP="009C0DEC">
      <w:pPr>
        <w:widowControl w:val="0"/>
        <w:spacing w:after="240"/>
        <w:jc w:val="both"/>
      </w:pPr>
      <w:r w:rsidRPr="00C0198E">
        <w:tab/>
        <w:t xml:space="preserve">The Third Circuit follows the Eleventh Circuit approach.  </w:t>
      </w:r>
      <w:r w:rsidRPr="00C0198E">
        <w:rPr>
          <w:i/>
        </w:rPr>
        <w:t>See Brown v. J. Kaz, Inc.</w:t>
      </w:r>
      <w:r w:rsidRPr="00C0198E">
        <w:t xml:space="preserve">, 581 F.3d 175, 182 n.5 (3d Cir. 2009) (“[A]lthough the Civil Rights Act of 1991 amended section 1981 in other ways, it did not make the mixed-motive amendments described above applicable to section 1981 actions. Therefore, </w:t>
      </w:r>
      <w:r w:rsidRPr="00C0198E">
        <w:rPr>
          <w:i/>
        </w:rPr>
        <w:t>Price Waterhouse</w:t>
      </w:r>
      <w:r w:rsidRPr="00C0198E">
        <w:t xml:space="preserve">, and not the 1991 amendments to Title VII, controls the instant case, and Craftmatic has a complete defense to liability if it would have made the same </w:t>
      </w:r>
      <w:r w:rsidRPr="00C0198E">
        <w:lastRenderedPageBreak/>
        <w:t>decision without consideration of Brown's race.”).</w:t>
      </w:r>
      <w:r w:rsidR="000F62F9" w:rsidRPr="00C0198E">
        <w:rPr>
          <w:vertAlign w:val="superscript"/>
        </w:rPr>
        <w:footnoteReference w:customMarkFollows="1" w:id="4"/>
        <w:t>4</w:t>
      </w:r>
      <w:r w:rsidRPr="00C0198E">
        <w:t xml:space="preserve">  Accordingly,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1CB07D48" w14:textId="77777777" w:rsidR="00252756" w:rsidRPr="00C0198E" w:rsidRDefault="00252756" w:rsidP="009C0DEC">
      <w:pPr>
        <w:widowControl w:val="0"/>
        <w:spacing w:after="240"/>
        <w:jc w:val="both"/>
      </w:pPr>
      <w:r w:rsidRPr="00C0198E">
        <w:rPr>
          <w:i/>
        </w:rPr>
        <w:t>Animus of Employee Who Was Not the Ultimate Decisionmaker</w:t>
      </w:r>
    </w:p>
    <w:p w14:paraId="48A75B1D" w14:textId="77777777" w:rsidR="00BF603A" w:rsidRPr="00C0198E" w:rsidRDefault="00252756" w:rsidP="009C0DEC">
      <w:pPr>
        <w:widowControl w:val="0"/>
        <w:spacing w:after="240"/>
        <w:jc w:val="both"/>
      </w:pPr>
      <w:r w:rsidRPr="00C0198E">
        <w:tab/>
        <w:t xml:space="preserve">For a discussion of the Court’s treatment in </w:t>
      </w:r>
      <w:r w:rsidRPr="00C0198E">
        <w:rPr>
          <w:i/>
        </w:rPr>
        <w:t>Staub v. Proctor Hosp.</w:t>
      </w:r>
      <w:r w:rsidRPr="00C0198E">
        <w:t xml:space="preserve">, 131 S. Ct. 1186 (2011), of the animus of an employee who was not the ultimate decisionmaker, see Comment 5.1.7.  </w:t>
      </w:r>
      <w:r w:rsidRPr="00C0198E">
        <w:rPr>
          <w:i/>
        </w:rPr>
        <w:t>Staub</w:t>
      </w:r>
      <w:r w:rsidRPr="00C0198E">
        <w:t xml:space="preserve"> concerned a statute that used the term “motivating factor,” and it is unclear whether the ruling in </w:t>
      </w:r>
      <w:r w:rsidRPr="00C0198E">
        <w:rPr>
          <w:i/>
        </w:rPr>
        <w:t>Staub</w:t>
      </w:r>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4"/>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116719ED" w:rsidR="00252756" w:rsidRPr="00C0198E" w:rsidRDefault="00252756" w:rsidP="009C0DEC">
      <w:pPr>
        <w:widowControl w:val="0"/>
        <w:spacing w:after="240"/>
        <w:jc w:val="both"/>
      </w:pPr>
      <w:r w:rsidRPr="00C0198E">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3C51F7BB"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299FC187" w14:textId="77777777" w:rsidR="00252756" w:rsidRPr="00C0198E" w:rsidRDefault="00252756" w:rsidP="009C0DEC">
      <w:pPr>
        <w:widowControl w:val="0"/>
        <w:spacing w:after="240"/>
        <w:ind w:left="720"/>
        <w:jc w:val="both"/>
      </w:pPr>
      <w:r w:rsidRPr="00C0198E">
        <w:t>Second: [Plaintiff’s] race was a determinative factor in [defendant's]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33E612C4" w:rsidR="00252756" w:rsidRPr="00C0198E" w:rsidRDefault="00252756" w:rsidP="009C0DEC">
      <w:pPr>
        <w:widowControl w:val="0"/>
        <w:spacing w:after="240"/>
        <w:jc w:val="both"/>
      </w:pPr>
      <w:r w:rsidRPr="00C0198E">
        <w:tab/>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other evidence received in the case in deciding whether [defendant] intentionally discriminated against [plaintiff]].</w:t>
      </w:r>
    </w:p>
    <w:p w14:paraId="24242F92" w14:textId="16F4DF76" w:rsidR="00252756" w:rsidRPr="00C0198E" w:rsidRDefault="00252756" w:rsidP="009C0DEC">
      <w:pPr>
        <w:widowControl w:val="0"/>
        <w:spacing w:after="240"/>
        <w:jc w:val="both"/>
      </w:pPr>
      <w:r w:rsidRPr="00C0198E">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a  determinative factor in [defendant’s employment decision.] “Determinative factor” means that if not for [plaintiff 's]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lastRenderedPageBreak/>
        <w:t>Comment</w:t>
      </w:r>
    </w:p>
    <w:p w14:paraId="0FB1D9FE" w14:textId="0EE4F7A8" w:rsidR="00252756" w:rsidRPr="00C0198E" w:rsidRDefault="00252756" w:rsidP="009C0DEC">
      <w:pPr>
        <w:widowControl w:val="0"/>
        <w:spacing w:after="240"/>
        <w:jc w:val="both"/>
      </w:pPr>
      <w:r w:rsidRPr="00C0198E">
        <w:tab/>
        <w:t>This instruction is to be used when the plaintiff’s proof of discrimination is circumstantial rather than direct.  See the Comment to Instruction 6.1.1. The instruction is substantively identical to the pretext instruction given for Title VII cases.  See Instruction 5.1.2.</w:t>
      </w:r>
      <w:r w:rsidRPr="00C0198E">
        <w:rPr>
          <w:rStyle w:val="FootnoteReference"/>
        </w:rPr>
        <w:footnoteReference w:id="5"/>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r w:rsidRPr="00C0198E">
        <w:rPr>
          <w:i/>
        </w:rPr>
        <w:t>Stehney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6"/>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Ezold v. Wolf, Block, Schorr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w:t>
      </w:r>
      <w:r w:rsidRPr="00C0198E">
        <w:rPr>
          <w:i/>
          <w:color w:val="000000"/>
        </w:rPr>
        <w:lastRenderedPageBreak/>
        <w:t xml:space="preserve">Burdine,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xml:space="preserve">, 100 F.3d 1061, 1066-67 (3d Cir.1996) (en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5"/>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[is/are]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lastRenderedPageBreak/>
        <w:tab/>
        <w:t xml:space="preserve">The standards for a hostile work environment claim are identical under Title VII and Section 1981.  </w:t>
      </w:r>
      <w:r w:rsidRPr="00C0198E">
        <w:rPr>
          <w:i/>
          <w:color w:val="000000"/>
        </w:rPr>
        <w:t>See, e.g., Verdin v. Weeks Marine Inc</w:t>
      </w:r>
      <w:r w:rsidRPr="00C0198E">
        <w:rPr>
          <w:color w:val="000000"/>
        </w:rPr>
        <w:t xml:space="preserve">., 124 Fed. Appx. 92, 95 (3d Cir. 2005) (“Regarding Verdin's hostile work environment claim, the same standard used under Title VII applies under Section 1981. </w:t>
      </w:r>
      <w:r w:rsidRPr="00C0198E">
        <w:rPr>
          <w:i/>
          <w:color w:val="000000"/>
        </w:rPr>
        <w:t>See McKenna v. Pac. Rail Serv</w:t>
      </w:r>
      <w:r w:rsidRPr="00C0198E">
        <w:rPr>
          <w:color w:val="000000"/>
        </w:rPr>
        <w:t xml:space="preserve">., 32 F.3d 820, 826 n. 3 (3d Cir.1994).”); </w:t>
      </w:r>
      <w:r w:rsidRPr="00C0198E">
        <w:rPr>
          <w:i/>
          <w:color w:val="000000"/>
        </w:rPr>
        <w:t xml:space="preserve">Ocasio v. Lehigh Valley Family Health Center,   </w:t>
      </w:r>
      <w:r w:rsidRPr="00C0198E">
        <w:rPr>
          <w:color w:val="000000"/>
        </w:rPr>
        <w:t>92 Fed.Appx. 876, 879-80 (3d Cir. 2004) (“As amended by the 1991 Civil Rights Act, § 1981 now encompasses hostile work environment  claims,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Al-Khazraji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7"/>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Burlington Industries, Inc. v. Ellerth</w:t>
      </w:r>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t xml:space="preserve">Respondeat superior liability for discriminatory harassment by non-supervisory </w:t>
      </w:r>
      <w:r w:rsidRPr="00C0198E">
        <w:rPr>
          <w:color w:val="000000"/>
        </w:rPr>
        <w:lastRenderedPageBreak/>
        <w:t>employees</w:t>
      </w:r>
      <w:r w:rsidR="000F62F9" w:rsidRPr="00C0198E">
        <w:rPr>
          <w:vertAlign w:val="superscript"/>
        </w:rPr>
        <w:footnoteReference w:customMarkFollows="1" w:id="8"/>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r w:rsidRPr="00C0198E">
        <w:rPr>
          <w:i/>
          <w:color w:val="000000"/>
        </w:rPr>
        <w:t>Kunin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C0198E">
        <w:rPr>
          <w:i/>
          <w:color w:val="000000"/>
        </w:rPr>
        <w:t xml:space="preserve">Employment Discrimination Law and Practice </w:t>
      </w:r>
      <w:r w:rsidRPr="00C0198E">
        <w:rPr>
          <w:color w:val="000000"/>
        </w:rPr>
        <w:t xml:space="preserve">455 (3d ed. 2002). </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w:t>
      </w:r>
      <w:r w:rsidRPr="00C0198E">
        <w:rPr>
          <w:color w:val="000000"/>
        </w:rPr>
        <w:lastRenderedPageBreak/>
        <w:t xml:space="preserve">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6"/>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[is/are]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For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  proof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w:t>
      </w:r>
      <w:r w:rsidRPr="00C0198E">
        <w:rPr>
          <w:color w:val="000000"/>
        </w:rPr>
        <w:lastRenderedPageBreak/>
        <w:t xml:space="preserve">any "tangible" employment action such as discharge or demotion, but rather suffered "intangible" harm flowing from harassment that is "sufficiently severe or pervasive to create a hostile work environment." </w:t>
      </w:r>
      <w:r w:rsidRPr="00C0198E">
        <w:rPr>
          <w:i/>
          <w:color w:val="000000"/>
        </w:rPr>
        <w:t>Faragher v. Boca Raton</w:t>
      </w:r>
      <w:r w:rsidRPr="00C0198E">
        <w:rPr>
          <w:color w:val="000000"/>
        </w:rPr>
        <w:t xml:space="preserve">, 524 U.S. 775, 808 (1998). In </w:t>
      </w:r>
      <w:r w:rsidRPr="00C0198E">
        <w:rPr>
          <w:i/>
          <w:color w:val="000000"/>
        </w:rPr>
        <w:t>Faragher</w:t>
      </w:r>
      <w:r w:rsidRPr="00C0198E">
        <w:rPr>
          <w:color w:val="000000"/>
        </w:rPr>
        <w:t xml:space="preserve"> and in </w:t>
      </w:r>
      <w:r w:rsidRPr="00C0198E">
        <w:rPr>
          <w:i/>
          <w:color w:val="000000"/>
        </w:rPr>
        <w:t>Burlington Industries, Inc. v. Ellerth</w:t>
      </w:r>
      <w:r w:rsidRPr="00C0198E">
        <w:rPr>
          <w:color w:val="000000"/>
        </w:rPr>
        <w:t xml:space="preserve">, 524 U.S. 742 (1998), the Court held that an employer is strictly liable for supervisor harassment that "culminates in a tangible employment action, such as discharge, demotion, or undesirable reassignment." </w:t>
      </w:r>
      <w:r w:rsidRPr="00C0198E">
        <w:rPr>
          <w:i/>
          <w:color w:val="000000"/>
        </w:rPr>
        <w:t xml:space="preserve">Ellerth,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Ellerth</w:t>
      </w:r>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r w:rsidRPr="00C0198E">
        <w:rPr>
          <w:i/>
          <w:color w:val="000000"/>
        </w:rPr>
        <w:t>Faragher/Ellerth</w:t>
      </w:r>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r w:rsidRPr="00C0198E">
        <w:rPr>
          <w:i/>
          <w:color w:val="000000"/>
        </w:rPr>
        <w:t>Ellerth</w:t>
      </w:r>
      <w:r w:rsidRPr="00C0198E">
        <w:rPr>
          <w:color w:val="000000"/>
        </w:rPr>
        <w:t>, the absence of a tangible employment action also justifies requiring the plaintiff to prove a further element, in order to protect the employer from unwarranted liability for the discriminatory acts of its non-supervisor employees.</w:t>
      </w:r>
      <w:r w:rsidR="000F62F9" w:rsidRPr="00C0198E">
        <w:rPr>
          <w:vertAlign w:val="superscript"/>
        </w:rPr>
        <w:footnoteReference w:customMarkFollows="1" w:id="9"/>
        <w:t>9</w:t>
      </w:r>
      <w:r w:rsidR="000F62F9" w:rsidRPr="00C0198E">
        <w:t xml:space="preserve"> </w:t>
      </w:r>
      <w:r w:rsidRPr="00C0198E">
        <w:rPr>
          <w:color w:val="000000"/>
        </w:rPr>
        <w:t xml:space="preserve"> Respondeat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r w:rsidRPr="00C0198E">
        <w:rPr>
          <w:i/>
          <w:color w:val="000000"/>
        </w:rPr>
        <w:t>Kunin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7"/>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Pennsylvania State Police v. Suders</w:t>
      </w:r>
      <w:r w:rsidRPr="00C0198E">
        <w:rPr>
          <w:color w:val="000000"/>
        </w:rPr>
        <w:t xml:space="preserve">, 542 U.S. 129, 138-41 (2004), the Court considered the relationship between constructive discharge brought about by supervisor harassment  and the affirmative defense articulated in </w:t>
      </w:r>
      <w:r w:rsidRPr="00C0198E">
        <w:rPr>
          <w:i/>
          <w:color w:val="000000"/>
        </w:rPr>
        <w:t xml:space="preserve">Ellerth </w:t>
      </w:r>
      <w:r w:rsidRPr="00C0198E">
        <w:rPr>
          <w:color w:val="000000"/>
        </w:rPr>
        <w:t xml:space="preserve">and </w:t>
      </w:r>
      <w:r w:rsidRPr="00C0198E">
        <w:rPr>
          <w:i/>
          <w:color w:val="000000"/>
        </w:rPr>
        <w:t>Faragher</w:t>
      </w:r>
      <w:r w:rsidRPr="00C0198E">
        <w:rPr>
          <w:color w:val="000000"/>
        </w:rPr>
        <w:t xml:space="preserve">. The Court concluded that “an employer does not have recourse to the </w:t>
      </w:r>
      <w:r w:rsidRPr="00C0198E">
        <w:rPr>
          <w:i/>
          <w:color w:val="000000"/>
        </w:rPr>
        <w:t xml:space="preserve">Ellerth/Faragher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 xml:space="preserve">6.1.5  Elements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8"/>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xml:space="preserve">, 366 F. Supp.2d 247, 252 (E.D.Pa.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  [describe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  must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  [describe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r w:rsidR="00F84935" w:rsidRPr="00C0198E">
        <w:t xml:space="preserve">  </w:t>
      </w:r>
      <w:r w:rsidRPr="00C0198E">
        <w:rPr>
          <w:color w:val="000000"/>
        </w:rPr>
        <w:t xml:space="preserve">Concerning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0"/>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1"/>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w:t>
      </w:r>
      <w:r w:rsidRPr="00C0198E">
        <w:rPr>
          <w:color w:val="000000"/>
        </w:rPr>
        <w:lastRenderedPageBreak/>
        <w:t xml:space="preserve">extended passage of time. Causation may or may not be proven by antagonism shown toward [plaintiff]  or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the  legal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r w:rsidRPr="00C0198E">
        <w:rPr>
          <w:i/>
          <w:color w:val="000000"/>
        </w:rPr>
        <w:t>Khair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06EF146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 xml:space="preserve">this instruction for both causes of action.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xml:space="preserve">, 604 F.3d 788, 798 (3d Cir. 2010).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r w:rsidR="008E2A59" w:rsidRPr="00C0198E">
        <w:rPr>
          <w:i/>
        </w:rPr>
        <w:t>Oliva</w:t>
      </w:r>
      <w:r w:rsidR="008E2A59" w:rsidRPr="00C0198E">
        <w:t xml:space="preserve">, 604 F.3d at 798 (quoting </w:t>
      </w:r>
      <w:r w:rsidR="008E2A59" w:rsidRPr="00C0198E">
        <w:rPr>
          <w:i/>
        </w:rPr>
        <w:t>CBOCS</w:t>
      </w:r>
      <w:r w:rsidR="008E2A59" w:rsidRPr="00C0198E">
        <w:t xml:space="preserve">, 128 S.Ct.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r w:rsidR="008E2A59" w:rsidRPr="00C0198E">
        <w:rPr>
          <w:rStyle w:val="FootnoteReference"/>
        </w:rPr>
        <w:footnoteReference w:id="12"/>
      </w:r>
      <w:r w:rsidR="008E2A59" w:rsidRPr="00C0198E">
        <w:t xml:space="preserve">  </w:t>
      </w:r>
    </w:p>
    <w:p w14:paraId="2BD732D3" w14:textId="77777777" w:rsidR="000F62F9" w:rsidRPr="00C0198E" w:rsidRDefault="008E2A59" w:rsidP="00F779F9">
      <w:pPr>
        <w:tabs>
          <w:tab w:val="right" w:pos="8640"/>
        </w:tabs>
        <w:spacing w:after="240"/>
        <w:ind w:firstLine="720"/>
      </w:pPr>
      <w:r w:rsidRPr="00C0198E">
        <w:lastRenderedPageBreak/>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summer 2014, no other circuits had adopted such a requirement for Section 1981 claims.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(Thomas, J., joined by Rehnquist, C.J., &amp; Scalia &amp; Kennedy, JJ., dissenting)</w:t>
      </w:r>
      <w:r w:rsidRPr="00C0198E">
        <w:t xml:space="preserve">).  The </w:t>
      </w:r>
      <w:r w:rsidRPr="00C0198E">
        <w:rPr>
          <w:i/>
        </w:rPr>
        <w:t xml:space="preserve">CBOCS </w:t>
      </w:r>
      <w:r w:rsidRPr="00C0198E">
        <w:t>majority did not explicitly respond to this facet of the dissenters’ argument.</w:t>
      </w:r>
    </w:p>
    <w:p w14:paraId="79C59B98" w14:textId="77777777" w:rsidR="0029440C" w:rsidRPr="00C0198E" w:rsidRDefault="0029440C" w:rsidP="009C0DEC">
      <w:pPr>
        <w:numPr>
          <w:ilvl w:val="12"/>
          <w:numId w:val="0"/>
        </w:numPr>
        <w:spacing w:after="240"/>
        <w:ind w:firstLine="720"/>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2CEF1958" w14:textId="77777777" w:rsidR="0029440C" w:rsidRPr="00C0198E" w:rsidRDefault="0029440C" w:rsidP="009C0DEC">
      <w:pPr>
        <w:numPr>
          <w:ilvl w:val="12"/>
          <w:numId w:val="0"/>
        </w:numPr>
        <w:spacing w:after="240"/>
        <w:ind w:left="1440" w:right="720" w:firstLine="720"/>
      </w:pPr>
    </w:p>
    <w:p w14:paraId="6BAC19DC" w14:textId="45817893"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785D8E89"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S.Ct. 2405 (2006); </w:t>
      </w:r>
      <w:r w:rsidRPr="00C0198E">
        <w:rPr>
          <w:i/>
          <w:color w:val="000000"/>
        </w:rPr>
        <w:t xml:space="preserve">Kachmar v. Sungard Data Sys., Inc., </w:t>
      </w:r>
      <w:r w:rsidR="004D7B13">
        <w:rPr>
          <w:color w:val="000000"/>
        </w:rPr>
        <w:t>109 F.3d 173, 177 (3d Cir</w:t>
      </w:r>
      <w:r w:rsidRPr="00C0198E">
        <w:rPr>
          <w:color w:val="000000"/>
        </w:rPr>
        <w:t xml:space="preserve">. 1997) (advocating equal treatment was protected activity); </w:t>
      </w:r>
      <w:r w:rsidRPr="00C0198E">
        <w:rPr>
          <w:i/>
          <w:color w:val="000000"/>
        </w:rPr>
        <w:t>Aman v. Cort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 xml:space="preserve">’s statement that a Section 1981 retaliation claim requires proof of an underlying Section 1981 violation; this </w:t>
      </w:r>
      <w:r w:rsidRPr="00C0198E">
        <w:lastRenderedPageBreak/>
        <w:t>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21540D5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Instruction 6.1.6 requires the plaintiff to show that the plaintiff’s protected activity had a determinative effect on the allegedly retaliatory activity.  This is the standard typically used in Section 1981 pretext cases outside the context of retaliation.  See Instruction 6.1.2; </w:t>
      </w:r>
      <w:r w:rsidRPr="00C0198E">
        <w:rPr>
          <w:i/>
          <w:color w:val="000000"/>
        </w:rPr>
        <w:t>see also</w:t>
      </w:r>
      <w:r w:rsidRPr="00C0198E">
        <w:rPr>
          <w:color w:val="000000"/>
        </w:rPr>
        <w:t xml:space="preserve"> </w:t>
      </w:r>
      <w:r w:rsidRPr="00C0198E">
        <w:rPr>
          <w:i/>
          <w:color w:val="000000"/>
        </w:rPr>
        <w:t xml:space="preserve">Estate of Oliva </w:t>
      </w:r>
      <w:r w:rsidRPr="00C0198E">
        <w:rPr>
          <w:color w:val="000000"/>
        </w:rPr>
        <w:t xml:space="preserve">ex rel. </w:t>
      </w:r>
      <w:r w:rsidRPr="00C0198E">
        <w:rPr>
          <w:i/>
          <w:color w:val="000000"/>
        </w:rPr>
        <w:t>McHugh v. New Jersey</w:t>
      </w:r>
      <w:r w:rsidRPr="00C0198E">
        <w:rPr>
          <w:color w:val="000000"/>
        </w:rPr>
        <w:t xml:space="preserve">, </w:t>
      </w:r>
      <w:r w:rsidR="000F62F9" w:rsidRPr="00C0198E">
        <w:t>604 F.3d 788, 798</w:t>
      </w:r>
      <w:r w:rsidRPr="00C0198E">
        <w:rPr>
          <w:color w:val="000000"/>
        </w:rPr>
        <w:t xml:space="preserve"> (3d Cir. 2010) (applying the pretext framework to Section 1981 retaliation claims).  It appears that Section 1981 cases that do not involve retaliation can alternatively proceed on a mixed-motive theory subject to a same-decision affirmative defense.  See Comment 6.1.1.  In the absence of precedential opinions from the court of appeals addressing the question, it is difficult to predict whether such a mixed-motive framework would be available for Section 1981 retaliation claims.  </w:t>
      </w:r>
      <w:r w:rsidRPr="00C0198E">
        <w:rPr>
          <w:i/>
          <w:color w:val="000000"/>
        </w:rPr>
        <w:t>Compare Solomon v. Philadelphia Newspapers, Inc.</w:t>
      </w:r>
      <w:r w:rsidRPr="00C0198E">
        <w:rPr>
          <w:color w:val="000000"/>
        </w:rPr>
        <w:t xml:space="preserve">, 2009 WL 215340, at *2 (3d Cir. 2009) (unpublished opinion) (Section 1981 retaliation claim requires proof that retaliatory animus had a determinative effect), </w:t>
      </w:r>
      <w:r w:rsidRPr="00C0198E">
        <w:rPr>
          <w:i/>
          <w:color w:val="000000"/>
        </w:rPr>
        <w:t>with Evans v. Port Authority Trans-Hudson Corp.</w:t>
      </w:r>
      <w:r w:rsidRPr="00C0198E">
        <w:rPr>
          <w:color w:val="000000"/>
        </w:rPr>
        <w:t xml:space="preserve">, 2006 WL 408391, 5 (3d Cir. 2006) (unpublished opinion) (“Among the elements that a plaintiff must establish in order to prevail on a retaliation claim under § 1981 is that the protected activity was a substantial or motivating factor in the alleged retaliatory action.” (Internal quotation marks omitted.)).  </w:t>
      </w:r>
      <w:r w:rsidR="000F62F9" w:rsidRPr="00C0198E">
        <w:t xml:space="preserve">More recently, in </w:t>
      </w:r>
      <w:r w:rsidR="000F62F9" w:rsidRPr="00C0198E">
        <w:rPr>
          <w:i/>
          <w:iCs/>
        </w:rPr>
        <w:t>University of Texas Southwestern Medical Center v. Nassar</w:t>
      </w:r>
      <w:r w:rsidR="000F62F9" w:rsidRPr="00C0198E">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0F62F9" w:rsidRPr="00C0198E">
        <w:rPr>
          <w:i/>
          <w:iCs/>
        </w:rPr>
        <w:t>see Nassar</w:t>
      </w:r>
      <w:r w:rsidR="000F62F9" w:rsidRPr="00C0198E">
        <w:t xml:space="preserve">, 133 S. Ct. at 2530 (“Unlike Title IX, § 1981, § 1982, and the federal-sector provisions of the ADEA, Title VII is a detailed statutory scheme.”), and the Committee has not attempted to predict whether </w:t>
      </w:r>
      <w:r w:rsidR="000F62F9" w:rsidRPr="00C0198E">
        <w:rPr>
          <w:i/>
          <w:iCs/>
        </w:rPr>
        <w:t xml:space="preserve">Nassar </w:t>
      </w:r>
      <w:r w:rsidR="000F62F9" w:rsidRPr="00C0198E">
        <w:t>forecloses the use of a mixed-motive test for Section 1981 retaliation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w:t>
      </w:r>
      <w:r w:rsidRPr="00C0198E">
        <w:rPr>
          <w:color w:val="000000"/>
        </w:rPr>
        <w:lastRenderedPageBreak/>
        <w:t xml:space="preserve">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r w:rsidRPr="00C0198E">
        <w:rPr>
          <w:color w:val="000000"/>
        </w:rPr>
        <w:t xml:space="preserve">at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xml:space="preserve">, 131 S. Ct. at 869 (analyzing language in 42 U.S.C. § 2000e-5(f)(1)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9"/>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Section 1981 applies against employers acting under color of State law. See 42 U.S.C. § 1981(c). Where a government employee brings a claim of racial discrimination in employment,  there can be an overlap of Section 1981 and Section 1983 protections. In </w:t>
      </w:r>
      <w:r w:rsidRPr="00C0198E">
        <w:rPr>
          <w:i/>
          <w:color w:val="000000"/>
        </w:rPr>
        <w:t>Jett v. Dallas Indep.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“join[ed]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3"/>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20"/>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Al-Khazraji</w:t>
      </w:r>
      <w:r w:rsidRPr="00C0198E">
        <w:rPr>
          <w:color w:val="000000"/>
        </w:rPr>
        <w:t>, 481 U.S. 604,  609-10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Cyclopaedia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7" w:name="1100-612"/>
      <w:bookmarkEnd w:id="17"/>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ibid.,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8" w:name="refpt_LEDHNL6A"/>
      <w:bookmarkEnd w:id="18"/>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physiognomically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21"/>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Bennun v. Rutgers State Univ., 941 F.2d 154, 172 (3d Cir. 1991) ("Section 1981 does not mention national origin"); King v. Township of E. Lampeter,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w:t>
      </w:r>
      <w:r w:rsidRPr="00C0198E">
        <w:lastRenderedPageBreak/>
        <w:t xml:space="preserve">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It is not enough that the work environment was generally harsh, unfriendly, unpleasant, crude or vulgar to all employees. In order to find a hostile work environment, you must find that [plaintiff] was harassed because of [race]. The harassing conduct may, but need not be racially-based  in nature. Rather, its defining characteristic is that the harassment complained of was linked </w:t>
      </w:r>
      <w:r w:rsidRPr="00C0198E">
        <w:lastRenderedPageBreak/>
        <w:t>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r w:rsidRPr="00C0198E">
        <w:rPr>
          <w:i/>
          <w:color w:val="000000"/>
        </w:rPr>
        <w:t>See, e.g., Verdin v. Weeks Marine Inc</w:t>
      </w:r>
      <w:r w:rsidRPr="00C0198E">
        <w:rPr>
          <w:color w:val="000000"/>
        </w:rPr>
        <w:t xml:space="preserve">., 124 Fed.Appx. 92, 94 (3d Cir. 2005) (“Regarding Verdin's hostile work environment claim, the same standard used under Title VII applies under Section 1981.”);  </w:t>
      </w:r>
      <w:r w:rsidRPr="00C0198E">
        <w:rPr>
          <w:i/>
          <w:color w:val="000000"/>
        </w:rPr>
        <w:t xml:space="preserve">Ocasio v. Lehigh Valley Family Health Center,   </w:t>
      </w:r>
      <w:r w:rsidRPr="00C0198E">
        <w:rPr>
          <w:color w:val="000000"/>
        </w:rPr>
        <w:t>92 Fed.Appx.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6.1.3 (with respect to the instruction’s sixth element).   Assuming that the Title VII framework concerning employer liability for harassment applies to Section 1981 actions, the employer’s ability to assert an </w:t>
      </w:r>
      <w:r w:rsidRPr="00C0198E">
        <w:rPr>
          <w:i/>
          <w:color w:val="000000"/>
        </w:rPr>
        <w:t xml:space="preserve">Ellerth / Faragher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See Pennsylvania State Police v. Suders</w:t>
      </w:r>
      <w:r w:rsidRPr="00C0198E">
        <w:rPr>
          <w:color w:val="000000"/>
        </w:rPr>
        <w:t xml:space="preserve">, 542 U.S. 129, 140-41 (2004) (“[A]n employer does not have recourse to the Ellerth/ Faragher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6.3.1   Section 1981  Defenses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4"/>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There is no BFOQ defense in racial discrimination cases. 42 U.S.C.A. § 2000e-2(e)(1). </w:t>
      </w:r>
      <w:r w:rsidRPr="00C0198E">
        <w:rPr>
          <w:i/>
          <w:color w:val="000000"/>
        </w:rPr>
        <w:t>See</w:t>
      </w:r>
      <w:r w:rsidRPr="00C0198E">
        <w:rPr>
          <w:color w:val="000000"/>
        </w:rPr>
        <w:t xml:space="preserve"> </w:t>
      </w:r>
      <w:r w:rsidRPr="00C0198E">
        <w:rPr>
          <w:i/>
          <w:color w:val="000000"/>
        </w:rPr>
        <w:t>Ferrill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5"/>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Title VII provides that “[n]otwithstanding any other provision of this subchapter, it shall not be an unlawful employment practice for an employer to apply different standards of compensation, </w:t>
      </w:r>
      <w:bookmarkStart w:id="19" w:name="1100-905"/>
      <w:bookmarkEnd w:id="19"/>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In </w:t>
      </w:r>
      <w:r w:rsidRPr="00C0198E">
        <w:rPr>
          <w:i/>
          <w:color w:val="000000"/>
        </w:rPr>
        <w:t>Lorance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r w:rsidRPr="00C0198E">
        <w:rPr>
          <w:i/>
          <w:color w:val="000000"/>
        </w:rPr>
        <w:t xml:space="preserve">Gunby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w:t>
      </w:r>
      <w:r w:rsidRPr="00C0198E">
        <w:rPr>
          <w:color w:val="000000"/>
        </w:rPr>
        <w:lastRenderedPageBreak/>
        <w:t>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w:t>
      </w:r>
      <w:r w:rsidRPr="00C0198E">
        <w:rPr>
          <w:color w:val="000000"/>
        </w:rPr>
        <w:lastRenderedPageBreak/>
        <w:t xml:space="preserve">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Gunby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Laskaris v. Thornburgh</w:t>
      </w:r>
      <w:r w:rsidRPr="00C0198E">
        <w:rPr>
          <w:color w:val="000000"/>
        </w:rPr>
        <w:t>, 733 F.2d 260, 263 (3d Cir. 1984).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w:t>
      </w:r>
      <w:r w:rsidRPr="00C0198E">
        <w:rPr>
          <w:color w:val="000000"/>
        </w:rPr>
        <w:lastRenderedPageBreak/>
        <w:t xml:space="preserve">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at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others  from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Kolstad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C0198E">
        <w:rPr>
          <w:i/>
          <w:color w:val="000000"/>
        </w:rPr>
        <w:t>Kolstad</w:t>
      </w:r>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C0198E">
        <w:rPr>
          <w:i/>
          <w:color w:val="000000"/>
        </w:rPr>
        <w:t>Kolstad</w:t>
      </w:r>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r w:rsidRPr="00C0198E">
        <w:rPr>
          <w:i/>
          <w:color w:val="000000"/>
        </w:rPr>
        <w:t>Kolstad</w:t>
      </w:r>
      <w:r w:rsidRPr="00C0198E">
        <w:rPr>
          <w:color w:val="000000"/>
        </w:rPr>
        <w:t xml:space="preserve"> decision construed a 1991 amendment to Title VII that made  punitive damages available in Title VII actions for the first time. Thus it is not explicitly applicable to Section 1981 actions, as to which punitive damages have always been available. Nonetheless, the analysis in </w:t>
      </w:r>
      <w:r w:rsidRPr="00C0198E">
        <w:rPr>
          <w:i/>
          <w:color w:val="000000"/>
        </w:rPr>
        <w:t>Kolstad</w:t>
      </w:r>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respondeat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r w:rsidRPr="00C0198E">
        <w:rPr>
          <w:i/>
          <w:color w:val="000000"/>
        </w:rPr>
        <w:t>Kolstad</w:t>
      </w:r>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r w:rsidRPr="00C0198E">
        <w:rPr>
          <w:i/>
          <w:color w:val="000000"/>
        </w:rPr>
        <w:t>Kolstad</w:t>
      </w:r>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r w:rsidRPr="00C0198E">
        <w:rPr>
          <w:rStyle w:val="searchterm"/>
          <w:i/>
          <w:color w:val="000000"/>
        </w:rPr>
        <w:t>Kolstad</w:t>
      </w:r>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r w:rsidRPr="00C0198E">
        <w:rPr>
          <w:i/>
          <w:color w:val="000000"/>
        </w:rPr>
        <w:t>Kolstad</w:t>
      </w:r>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7"/>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that [defendant-employer] intentionally discriminated against [plaintiff]  in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backpay award under Section 1981 is not restricted to the two years specified for backpay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See Laskaris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8"/>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is  no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stipulate to a jury determination on front pay, in which case this instruction would also be appropriate.  </w:t>
      </w:r>
      <w:r w:rsidRPr="00C0198E">
        <w:rPr>
          <w:i/>
          <w:color w:val="000000"/>
        </w:rPr>
        <w:t>See  Feldman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9"/>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r w:rsidRPr="00C0198E">
        <w:rPr>
          <w:i/>
          <w:color w:val="000000"/>
        </w:rPr>
        <w:t>Kaczkowski v. Bolubasz</w:t>
      </w:r>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See Erebia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C0198E">
        <w:rPr>
          <w:i/>
          <w:color w:val="000000"/>
        </w:rPr>
        <w:t>Pryer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r w:rsidRPr="00C0198E">
        <w:rPr>
          <w:color w:val="000000"/>
        </w:rPr>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(citing </w:t>
      </w:r>
      <w:r w:rsidRPr="00C0198E">
        <w:rPr>
          <w:i/>
          <w:color w:val="000000"/>
        </w:rPr>
        <w:t>United States ex rel. Tyrrell v. Speaker,</w:t>
      </w:r>
      <w:r w:rsidRPr="00C0198E">
        <w:rPr>
          <w:color w:val="000000"/>
        </w:rPr>
        <w:t xml:space="preserve"> 535 F.2d 823, 830 (3d Cir.1976)).</w:t>
      </w:r>
    </w:p>
    <w:sectPr w:rsidR="00252756" w:rsidRPr="005E1416" w:rsidSect="00C66B66">
      <w:headerReference w:type="default" r:id="rId30"/>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31E0" w14:textId="77777777" w:rsidR="00880D60" w:rsidRDefault="00880D60">
      <w:r>
        <w:separator/>
      </w:r>
    </w:p>
  </w:endnote>
  <w:endnote w:type="continuationSeparator" w:id="0">
    <w:p w14:paraId="02B38B05" w14:textId="77777777" w:rsidR="00880D60" w:rsidRDefault="008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EA55" w14:textId="77777777" w:rsidR="00B87F2B" w:rsidRDefault="00B87F2B">
    <w:pPr>
      <w:framePr w:w="9360" w:h="280" w:hRule="exact" w:wrap="notBeside" w:vAnchor="page" w:hAnchor="text" w:y="1411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4EC97E0B"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0C44" w14:textId="6082BE00"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CC673F">
      <w:rPr>
        <w:rFonts w:ascii="Century Schoolbook" w:hAnsi="Century Schoolbook"/>
        <w:noProof/>
      </w:rPr>
      <w:t>4</w:t>
    </w:r>
    <w:r w:rsidRPr="005E1416">
      <w:rPr>
        <w:rFonts w:ascii="Century Schoolbook" w:hAnsi="Century Schoolbook"/>
        <w:noProof/>
      </w:rPr>
      <w:fldChar w:fldCharType="end"/>
    </w:r>
  </w:p>
  <w:p w14:paraId="48F56F02" w14:textId="7DBCE144"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 xml:space="preserve">Last updated </w:t>
    </w:r>
    <w:r w:rsidR="00B42BBB">
      <w:rPr>
        <w:rFonts w:ascii="Century Schoolbook" w:hAnsi="Century Schoolbook"/>
        <w:i/>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E94D" w14:textId="77777777" w:rsidR="00CC673F" w:rsidRDefault="00CC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BA7" w14:textId="77777777" w:rsidR="00880D60" w:rsidRDefault="00880D60">
      <w:r>
        <w:separator/>
      </w:r>
    </w:p>
  </w:footnote>
  <w:footnote w:type="continuationSeparator" w:id="0">
    <w:p w14:paraId="5606501F" w14:textId="77777777" w:rsidR="00880D60" w:rsidRDefault="00880D60">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3">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Glanzman </w:t>
      </w:r>
      <w:r>
        <w:t xml:space="preserve">and </w:t>
      </w:r>
      <w:r>
        <w:rPr>
          <w:i/>
        </w:rPr>
        <w:t xml:space="preserve">Fakete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mixed-motive framework to ADEA cases has, as noted above, been overruled by </w:t>
      </w:r>
      <w:r>
        <w:rPr>
          <w:i/>
        </w:rPr>
        <w:t>Gross</w:t>
      </w:r>
      <w:r>
        <w:t>.</w:t>
      </w:r>
    </w:p>
  </w:footnote>
  <w:footnote w:id="4">
    <w:p w14:paraId="46A36ADA" w14:textId="77777777" w:rsidR="00B87F2B" w:rsidRDefault="00B87F2B">
      <w:pPr>
        <w:spacing w:after="240"/>
      </w:pPr>
      <w:r>
        <w:rPr>
          <w:vertAlign w:val="superscript"/>
        </w:rPr>
        <w:t>4</w:t>
      </w:r>
      <w:r>
        <w:t xml:space="preserve">  In </w:t>
      </w:r>
      <w:r>
        <w:rPr>
          <w:i/>
          <w:iCs/>
        </w:rPr>
        <w:t>Nassar</w:t>
      </w:r>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See Nassar</w:t>
      </w:r>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5">
    <w:p w14:paraId="1D895015"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6">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7">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Pennsylvania State Police v. Suders</w:t>
      </w:r>
      <w:r>
        <w:t>, 542 U.S. 129, 150 (2004).</w:t>
      </w:r>
    </w:p>
  </w:footnote>
  <w:footnote w:id="8">
    <w:p w14:paraId="32DB4BAD" w14:textId="77777777" w:rsidR="00B87F2B" w:rsidRDefault="00B87F2B">
      <w:pPr>
        <w:spacing w:after="240"/>
      </w:pPr>
      <w:r>
        <w:rPr>
          <w:vertAlign w:val="superscript"/>
        </w:rPr>
        <w:t>8</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9">
    <w:p w14:paraId="02144F4A" w14:textId="77777777" w:rsidR="00B87F2B" w:rsidRDefault="00B87F2B">
      <w:pPr>
        <w:spacing w:after="240"/>
      </w:pPr>
      <w:r>
        <w:rPr>
          <w:vertAlign w:val="superscript"/>
        </w:rPr>
        <w:t>9</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0">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1">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2">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Pr="00DB06C3" w:rsidRDefault="00B87F2B" w:rsidP="005A0E5F">
      <w:pPr>
        <w:pStyle w:val="FootnoteText"/>
        <w:ind w:firstLine="0"/>
        <w:rPr>
          <w:u w:val="single"/>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footnote>
  <w:footnote w:id="13">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202F" w14:textId="77777777" w:rsidR="00CC673F" w:rsidRDefault="00CC6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F"/>
    <w:rsid w:val="00016EFC"/>
    <w:rsid w:val="00021633"/>
    <w:rsid w:val="00033FA8"/>
    <w:rsid w:val="00041D5B"/>
    <w:rsid w:val="00071B75"/>
    <w:rsid w:val="0007427B"/>
    <w:rsid w:val="00096944"/>
    <w:rsid w:val="000A683A"/>
    <w:rsid w:val="000B2E42"/>
    <w:rsid w:val="000F62F9"/>
    <w:rsid w:val="00122623"/>
    <w:rsid w:val="001A26A2"/>
    <w:rsid w:val="001B3D30"/>
    <w:rsid w:val="001F0CF8"/>
    <w:rsid w:val="002449BE"/>
    <w:rsid w:val="00252756"/>
    <w:rsid w:val="00255F13"/>
    <w:rsid w:val="00264765"/>
    <w:rsid w:val="0027175C"/>
    <w:rsid w:val="0029440C"/>
    <w:rsid w:val="00311D13"/>
    <w:rsid w:val="00313DA4"/>
    <w:rsid w:val="003274B0"/>
    <w:rsid w:val="0038594F"/>
    <w:rsid w:val="003A6D7A"/>
    <w:rsid w:val="003F740B"/>
    <w:rsid w:val="004113EF"/>
    <w:rsid w:val="00433DAB"/>
    <w:rsid w:val="004551A7"/>
    <w:rsid w:val="00455A0C"/>
    <w:rsid w:val="00487363"/>
    <w:rsid w:val="004B21C5"/>
    <w:rsid w:val="004D7B13"/>
    <w:rsid w:val="004E3D42"/>
    <w:rsid w:val="004F00E2"/>
    <w:rsid w:val="00513546"/>
    <w:rsid w:val="005179C4"/>
    <w:rsid w:val="005252C5"/>
    <w:rsid w:val="00527975"/>
    <w:rsid w:val="00541DBE"/>
    <w:rsid w:val="0056092A"/>
    <w:rsid w:val="005A0E5F"/>
    <w:rsid w:val="005C2917"/>
    <w:rsid w:val="005C623D"/>
    <w:rsid w:val="005E1416"/>
    <w:rsid w:val="005E2183"/>
    <w:rsid w:val="005F4485"/>
    <w:rsid w:val="0060368F"/>
    <w:rsid w:val="00604665"/>
    <w:rsid w:val="00613DA0"/>
    <w:rsid w:val="00645798"/>
    <w:rsid w:val="00685490"/>
    <w:rsid w:val="006971A9"/>
    <w:rsid w:val="006D46A1"/>
    <w:rsid w:val="006F6A2C"/>
    <w:rsid w:val="00725FFE"/>
    <w:rsid w:val="00765400"/>
    <w:rsid w:val="00787957"/>
    <w:rsid w:val="007961B2"/>
    <w:rsid w:val="007D11CE"/>
    <w:rsid w:val="007D464A"/>
    <w:rsid w:val="007F3A28"/>
    <w:rsid w:val="008172AD"/>
    <w:rsid w:val="00851E5D"/>
    <w:rsid w:val="00862F3D"/>
    <w:rsid w:val="00873415"/>
    <w:rsid w:val="00880D60"/>
    <w:rsid w:val="008A5787"/>
    <w:rsid w:val="008E2A59"/>
    <w:rsid w:val="00942F72"/>
    <w:rsid w:val="00943ADE"/>
    <w:rsid w:val="00952E00"/>
    <w:rsid w:val="0095674D"/>
    <w:rsid w:val="009575C8"/>
    <w:rsid w:val="009B146C"/>
    <w:rsid w:val="009C0DEC"/>
    <w:rsid w:val="009D169A"/>
    <w:rsid w:val="009D3EB2"/>
    <w:rsid w:val="009F0679"/>
    <w:rsid w:val="00A40600"/>
    <w:rsid w:val="00A827D9"/>
    <w:rsid w:val="00B0521A"/>
    <w:rsid w:val="00B12F80"/>
    <w:rsid w:val="00B346BD"/>
    <w:rsid w:val="00B42BBB"/>
    <w:rsid w:val="00B47674"/>
    <w:rsid w:val="00B57185"/>
    <w:rsid w:val="00B71758"/>
    <w:rsid w:val="00B83D63"/>
    <w:rsid w:val="00B87F2B"/>
    <w:rsid w:val="00BD760B"/>
    <w:rsid w:val="00BD7D30"/>
    <w:rsid w:val="00BF603A"/>
    <w:rsid w:val="00C0198E"/>
    <w:rsid w:val="00C128A3"/>
    <w:rsid w:val="00C34EAC"/>
    <w:rsid w:val="00C35D5C"/>
    <w:rsid w:val="00C501E1"/>
    <w:rsid w:val="00C50F0B"/>
    <w:rsid w:val="00C66B66"/>
    <w:rsid w:val="00C870E5"/>
    <w:rsid w:val="00CB4AA8"/>
    <w:rsid w:val="00CB5C0B"/>
    <w:rsid w:val="00CC673F"/>
    <w:rsid w:val="00CD0B0C"/>
    <w:rsid w:val="00D46C48"/>
    <w:rsid w:val="00D86DE6"/>
    <w:rsid w:val="00DA5792"/>
    <w:rsid w:val="00DF7C27"/>
    <w:rsid w:val="00E02A3B"/>
    <w:rsid w:val="00E421D7"/>
    <w:rsid w:val="00E90721"/>
    <w:rsid w:val="00EC77D5"/>
    <w:rsid w:val="00EF321F"/>
    <w:rsid w:val="00F12850"/>
    <w:rsid w:val="00F33A1E"/>
    <w:rsid w:val="00F41DB0"/>
    <w:rsid w:val="00F76A40"/>
    <w:rsid w:val="00F779F9"/>
    <w:rsid w:val="00F81532"/>
    <w:rsid w:val="00F84935"/>
    <w:rsid w:val="00F86270"/>
    <w:rsid w:val="00FB7903"/>
    <w:rsid w:val="00FC0F6C"/>
    <w:rsid w:val="00FC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D2D5-393D-4976-9838-A2FEDAA1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15593</Words>
  <Characters>85088</Characters>
  <Application>Microsoft Office Word</Application>
  <DocSecurity>0</DocSecurity>
  <Lines>709</Lines>
  <Paragraphs>200</Paragraphs>
  <ScaleCrop>false</ScaleCrop>
  <Company/>
  <LinksUpToDate>false</LinksUpToDate>
  <CharactersWithSpaces>100481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2016-03-08T14:53:00Z</dcterms:created>
  <dcterms:modified xsi:type="dcterms:W3CDTF">2016-03-08T14:53:00Z</dcterms:modified>
</cp:coreProperties>
</file>