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 xml:space="preserve">Instructions </w:t>
      </w:r>
      <w:proofErr w:type="gramStart"/>
      <w:r w:rsidRPr="00C0198E">
        <w:rPr>
          <w:b/>
          <w:sz w:val="28"/>
        </w:rPr>
        <w:t>For</w:t>
      </w:r>
      <w:proofErr w:type="gramEnd"/>
      <w:r w:rsidRPr="00C0198E">
        <w:rPr>
          <w:b/>
          <w:sz w:val="28"/>
        </w:rPr>
        <w:t xml:space="preserve">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77777777" w:rsidR="00252756" w:rsidRPr="00C0198E" w:rsidRDefault="00252756" w:rsidP="009C0DEC">
      <w:pPr>
        <w:widowControl w:val="0"/>
        <w:spacing w:after="240"/>
      </w:pPr>
      <w:r w:rsidRPr="00C0198E">
        <w:t xml:space="preserve">6.0   Section </w:t>
      </w:r>
      <w:proofErr w:type="gramStart"/>
      <w:r w:rsidRPr="00C0198E">
        <w:t>1981  Introductory</w:t>
      </w:r>
      <w:proofErr w:type="gramEnd"/>
      <w:r w:rsidRPr="00C0198E">
        <w:t xml:space="preserve">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8"/>
          <w:headerReference w:type="default" r:id="rId9"/>
          <w:footerReference w:type="even" r:id="rId10"/>
          <w:footerReference w:type="default" r:id="rId11"/>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w:t>
      </w:r>
      <w:proofErr w:type="gramStart"/>
      <w:r w:rsidRPr="00C0198E">
        <w:t>_  has</w:t>
      </w:r>
      <w:proofErr w:type="gramEnd"/>
      <w:r w:rsidRPr="00C0198E">
        <w:t xml:space="preserve">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w:t>
      </w:r>
      <w:proofErr w:type="gramStart"/>
      <w:r w:rsidRPr="00C0198E">
        <w:t>]  race</w:t>
      </w:r>
      <w:proofErr w:type="gramEnd"/>
      <w:r w:rsidRPr="00C0198E">
        <w:t>.</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r>
      <w:proofErr w:type="gramStart"/>
      <w:r w:rsidRPr="00C0198E">
        <w:t>Referring to the parties by their names, rather than solely as “Plaintiff” and “Defendant,” can improve jurors’ comprehension.</w:t>
      </w:r>
      <w:proofErr w:type="gramEnd"/>
      <w:r w:rsidRPr="00C0198E">
        <w:t xml:space="preserve">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0" w:name="FN;B5"/>
      <w:bookmarkStart w:id="1" w:name="FN_59_B5"/>
      <w:bookmarkEnd w:id="0"/>
      <w:bookmarkEnd w:id="1"/>
      <w:r w:rsidRPr="00C0198E">
        <w:t xml:space="preserve">It prohibits racial discrimination against whites as well as nonwhites. </w:t>
      </w:r>
      <w:bookmarkStart w:id="2" w:name="FN;B6"/>
      <w:bookmarkStart w:id="3" w:name="FN_59_B6"/>
      <w:bookmarkEnd w:id="2"/>
      <w:bookmarkEnd w:id="3"/>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4" w:name="FN;B7"/>
      <w:bookmarkStart w:id="5" w:name="FN_59_B7"/>
      <w:bookmarkEnd w:id="4"/>
      <w:bookmarkEnd w:id="5"/>
      <w:r w:rsidRPr="00C0198E">
        <w:t>427 U.S. 160 (1976)</w:t>
      </w:r>
      <w:proofErr w:type="gramStart"/>
      <w:r w:rsidRPr="00C0198E">
        <w:t>,  the</w:t>
      </w:r>
      <w:proofErr w:type="gramEnd"/>
      <w:r w:rsidRPr="00C0198E">
        <w:t xml:space="preserve"> Supreme Court held that Section 1981 regulated private conduct as well as  governmental action.</w:t>
      </w:r>
      <w:r w:rsidRPr="00C0198E">
        <w:rPr>
          <w:rStyle w:val="FootnoteReference"/>
        </w:rPr>
        <w:footnoteReference w:id="1"/>
      </w:r>
      <w:r w:rsidRPr="00C0198E">
        <w:t xml:space="preserve"> </w:t>
      </w:r>
      <w:bookmarkStart w:id="6" w:name="FN;B8"/>
      <w:bookmarkStart w:id="7" w:name="FN_59_B8"/>
      <w:bookmarkEnd w:id="6"/>
      <w:bookmarkEnd w:id="7"/>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8" w:name="FN;B9"/>
      <w:bookmarkStart w:id="9" w:name="FN_59_B9"/>
      <w:bookmarkEnd w:id="8"/>
      <w:bookmarkEnd w:id="9"/>
      <w:r w:rsidRPr="00C0198E">
        <w:t xml:space="preserve">491 U.S. 164 (1989), the Supreme Court restricted the application of Section 1981 to claims arising out of the formation of the contract. </w:t>
      </w:r>
      <w:bookmarkStart w:id="10" w:name="FN;B10"/>
      <w:bookmarkStart w:id="11" w:name="FN_59_B10"/>
      <w:bookmarkEnd w:id="10"/>
      <w:bookmarkEnd w:id="11"/>
      <w:r w:rsidRPr="00C0198E">
        <w:t xml:space="preserve"> But the Civil Rights Act of 1991 </w:t>
      </w:r>
      <w:bookmarkStart w:id="12" w:name="FN;B11"/>
      <w:bookmarkStart w:id="13" w:name="FN_59_B11"/>
      <w:bookmarkEnd w:id="12"/>
      <w:bookmarkEnd w:id="13"/>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w:t>
      </w:r>
      <w:r w:rsidRPr="00C0198E">
        <w:lastRenderedPageBreak/>
        <w:t xml:space="preserve">performance, modification and termination of contracts, and the enjoyment of all benefits, privileges, terms, and conditions of the contractual relationship." </w:t>
      </w:r>
      <w:bookmarkStart w:id="14" w:name="FN;B12"/>
      <w:bookmarkStart w:id="15" w:name="FN_59_B12"/>
      <w:bookmarkEnd w:id="14"/>
      <w:bookmarkEnd w:id="15"/>
      <w:proofErr w:type="gramStart"/>
      <w:r w:rsidRPr="00C0198E">
        <w:t>42 U.S.C. § 1981(b).</w:t>
      </w:r>
      <w:proofErr w:type="gramEnd"/>
      <w:r w:rsidRPr="00C0198E">
        <w:t xml:space="preserve">  “[A] plaintiff cannot state a claim under § 1981 unless he has (or would have) rights under the existing (or proposed) contract that he wishes ‘to make and enforce.’”  </w:t>
      </w:r>
      <w:proofErr w:type="gramStart"/>
      <w:r w:rsidRPr="00C0198E">
        <w:rPr>
          <w:i/>
        </w:rPr>
        <w:t>Domino's Pizza, Inc. v. McDonald</w:t>
      </w:r>
      <w:r w:rsidRPr="00C0198E">
        <w:t>, 546 U.S. 470, 479-80 (2006).</w:t>
      </w:r>
      <w:proofErr w:type="gramEnd"/>
    </w:p>
    <w:p w14:paraId="7E65E4E4" w14:textId="77777777"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w:t>
      </w:r>
      <w:proofErr w:type="gramStart"/>
      <w:r w:rsidRPr="00C0198E">
        <w:t>,  Title</w:t>
      </w:r>
      <w:proofErr w:type="gramEnd"/>
      <w:r w:rsidRPr="00C0198E">
        <w:t xml:space="preserve"> VII applies only to employers with 15 or more employees, whereas Section 1981 imposes no such limitation.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xml:space="preserve">, </w:t>
      </w:r>
      <w:proofErr w:type="gramStart"/>
      <w:r w:rsidRPr="00C0198E">
        <w:t>269 F.3d 251, 266</w:t>
      </w:r>
      <w:proofErr w:type="gramEnd"/>
      <w:r w:rsidRPr="00C0198E">
        <w:t xml:space="preserve">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proofErr w:type="gramStart"/>
      <w:r w:rsidRPr="00C0198E">
        <w:rPr>
          <w:i/>
        </w:rPr>
        <w:t>Hosanna-Tabor Evangelical Lutheran Church &amp; Sch. v. EEOC</w:t>
      </w:r>
      <w:r w:rsidRPr="00C0198E">
        <w:t>, 132 S. Ct. 694, 702, 709 n.4 (2012).</w:t>
      </w:r>
      <w:proofErr w:type="gramEnd"/>
      <w:r w:rsidRPr="00C0198E">
        <w:t xml:space="preserve">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w:t>
      </w:r>
      <w:proofErr w:type="gramStart"/>
      <w:r w:rsidRPr="00C0198E">
        <w:t>at</w:t>
      </w:r>
      <w:proofErr w:type="gramEnd"/>
      <w:r w:rsidRPr="00C0198E">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2"/>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91E710C"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6D46A1" w:rsidRPr="00C0198E">
        <w:t xml:space="preserve">'s] decision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7FE3C7CD"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 xml:space="preserve">In showing that [plaintiff's] race was a motivating factor for [defendant’s] action, [plaintiff] is not required to prove that [his/her] race was the sole motivation or even the primary motivation for [defendant's] decision. [Plaintiff] </w:t>
      </w:r>
      <w:proofErr w:type="gramStart"/>
      <w:r w:rsidRPr="00C0198E">
        <w:t>need only prove</w:t>
      </w:r>
      <w:proofErr w:type="gramEnd"/>
      <w:r w:rsidRPr="00C0198E">
        <w:t xml:space="preser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2"/>
      </w:r>
    </w:p>
    <w:p w14:paraId="2C54A105" w14:textId="49134FE6" w:rsidR="00252756" w:rsidRPr="00C0198E" w:rsidRDefault="00252756" w:rsidP="009C0DEC">
      <w:pPr>
        <w:widowControl w:val="0"/>
        <w:spacing w:after="240"/>
        <w:jc w:val="both"/>
      </w:pPr>
      <w:r w:rsidRPr="00C0198E">
        <w:tab/>
        <w:t xml:space="preserve">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[plaintiff] the same even if </w:t>
      </w:r>
      <w:r w:rsidRPr="00C0198E">
        <w:lastRenderedPageBreak/>
        <w:t>[plaintiff's</w:t>
      </w:r>
      <w:proofErr w:type="gramStart"/>
      <w:r w:rsidRPr="00C0198E">
        <w:t>]  race</w:t>
      </w:r>
      <w:proofErr w:type="gramEnd"/>
      <w:r w:rsidRPr="00C0198E">
        <w:t xml:space="preserv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2533 (“Title VII retaliation claims must be proved according to traditional principles of but-for causation, not the lessened causation test stated in [42 U.S.C.] </w:t>
      </w:r>
      <w:proofErr w:type="gramStart"/>
      <w:r w:rsidR="000F62F9" w:rsidRPr="00C0198E">
        <w:t>§ 2000e–2(m).</w:t>
      </w:r>
      <w:proofErr w:type="gramEnd"/>
      <w:r w:rsidR="000F62F9" w:rsidRPr="00C0198E">
        <w:t xml:space="preserve"> </w:t>
      </w:r>
      <w:proofErr w:type="gramStart"/>
      <w:r w:rsidR="000F62F9" w:rsidRPr="00C0198E">
        <w:t xml:space="preserve">This requires proof that the unlawful retaliation would not have occurred in the absence of the alleged wrongful action or actions of the employer.”); </w:t>
      </w:r>
      <w:r w:rsidR="000F62F9" w:rsidRPr="00C0198E">
        <w:rPr>
          <w:i/>
          <w:iCs/>
        </w:rPr>
        <w:t>id</w:t>
      </w:r>
      <w:r w:rsidR="000F62F9" w:rsidRPr="00C0198E">
        <w:t>.</w:t>
      </w:r>
      <w:proofErr w:type="gramEnd"/>
      <w:r w:rsidR="000F62F9" w:rsidRPr="00C0198E">
        <w:t xml:space="preserve"> </w:t>
      </w:r>
      <w:proofErr w:type="gramStart"/>
      <w:r w:rsidR="000F62F9" w:rsidRPr="00C0198E">
        <w:t>at</w:t>
      </w:r>
      <w:proofErr w:type="gramEnd"/>
      <w:r w:rsidR="000F62F9" w:rsidRPr="00C0198E">
        <w:t xml:space="preserve">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proofErr w:type="spellStart"/>
      <w:r w:rsidRPr="00C0198E">
        <w:rPr>
          <w:i/>
          <w:iCs/>
        </w:rPr>
        <w:t>Nassar</w:t>
      </w:r>
      <w:proofErr w:type="spellEnd"/>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proofErr w:type="spellStart"/>
      <w:r w:rsidRPr="00C0198E">
        <w:rPr>
          <w:i/>
          <w:iCs/>
        </w:rPr>
        <w:t>Nassar</w:t>
      </w:r>
      <w:proofErr w:type="spellEnd"/>
      <w:r w:rsidRPr="00C0198E">
        <w:rPr>
          <w:i/>
          <w:iCs/>
        </w:rPr>
        <w:t xml:space="preserve"> </w:t>
      </w:r>
      <w:r w:rsidRPr="00C0198E">
        <w:t>bear upon this question.</w:t>
      </w:r>
      <w:r w:rsidR="00252756" w:rsidRPr="00C0198E">
        <w:t xml:space="preserve">  In </w:t>
      </w:r>
      <w:r w:rsidR="00252756" w:rsidRPr="00C0198E">
        <w:rPr>
          <w:i/>
        </w:rPr>
        <w:t xml:space="preserve">Brown v. J. </w:t>
      </w:r>
      <w:proofErr w:type="spellStart"/>
      <w:r w:rsidR="00252756" w:rsidRPr="00C0198E">
        <w:rPr>
          <w:i/>
        </w:rPr>
        <w:t>Kaz</w:t>
      </w:r>
      <w:proofErr w:type="spellEnd"/>
      <w:r w:rsidR="00252756" w:rsidRPr="00C0198E">
        <w:rPr>
          <w:i/>
        </w:rPr>
        <w:t>,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w:t>
      </w:r>
      <w:proofErr w:type="spellStart"/>
      <w:r w:rsidR="00252756" w:rsidRPr="00C0198E">
        <w:t>ontrary</w:t>
      </w:r>
      <w:proofErr w:type="spellEnd"/>
      <w:r w:rsidR="00252756" w:rsidRPr="00C0198E">
        <w:t xml:space="preserve">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w:t>
      </w:r>
      <w:proofErr w:type="gramStart"/>
      <w:r w:rsidR="00252756" w:rsidRPr="00C0198E">
        <w:t>at</w:t>
      </w:r>
      <w:proofErr w:type="gramEnd"/>
      <w:r w:rsidR="00252756" w:rsidRPr="00C0198E">
        <w:t xml:space="preserve">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proofErr w:type="gramStart"/>
      <w:r w:rsidR="00252756" w:rsidRPr="00C0198E">
        <w:t>at</w:t>
      </w:r>
      <w:proofErr w:type="gramEnd"/>
      <w:r w:rsidR="00252756" w:rsidRPr="00C0198E">
        <w:t xml:space="preserve"> 269.  These instructions were constructed on the assumption that the mixed-motive and pretext frameworks apply in Section 1981 cases.</w:t>
      </w:r>
    </w:p>
    <w:p w14:paraId="1482B8FA" w14:textId="45AFB111" w:rsidR="00252756" w:rsidRPr="00C0198E" w:rsidRDefault="00252756" w:rsidP="009C0DEC">
      <w:pPr>
        <w:widowControl w:val="0"/>
        <w:spacing w:after="240"/>
        <w:jc w:val="both"/>
      </w:pPr>
      <w:r w:rsidRPr="00C0198E">
        <w:tab/>
        <w:t xml:space="preserve">The distinction between “mixed-motive” cases and “pretext” cases is generally </w:t>
      </w:r>
      <w:r w:rsidRPr="00C0198E">
        <w:lastRenderedPageBreak/>
        <w:t xml:space="preserve">determined by whether the plaintiff produces direct rather than circumstantial evidence of discrimination. If the plaintiff produces direct evidence of discrimination, this is sufficient to show that the defendant’s 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 it is then for the plaintiff to show that the alleged non-discriminatory motive is a pretext, and accordingly Instruction 6.1.2 should be given. </w:t>
      </w:r>
      <w:r w:rsidRPr="00C0198E">
        <w:rPr>
          <w:i/>
        </w:rPr>
        <w:t xml:space="preserve">See generally </w:t>
      </w:r>
      <w:proofErr w:type="spellStart"/>
      <w:r w:rsidRPr="00C0198E">
        <w:rPr>
          <w:i/>
        </w:rPr>
        <w:t>Fakete</w:t>
      </w:r>
      <w:proofErr w:type="spellEnd"/>
      <w:r w:rsidRPr="00C0198E">
        <w:rPr>
          <w:i/>
        </w:rPr>
        <w:t xml:space="preserve"> v. Aetna, Inc., </w:t>
      </w:r>
      <w:r w:rsidRPr="00C0198E">
        <w:t xml:space="preserve"> 308 F.3d 335 (3d Cir. 2002) (using “direct evidence” to describe “mixed-motive” cases and noting that pretext cases arise when the plaintiff presents only indirect or circumstantial evidence of discrimination); </w:t>
      </w:r>
      <w:proofErr w:type="spellStart"/>
      <w:r w:rsidRPr="00C0198E">
        <w:rPr>
          <w:i/>
        </w:rPr>
        <w:t>Glanzman</w:t>
      </w:r>
      <w:proofErr w:type="spellEnd"/>
      <w:r w:rsidRPr="00C0198E">
        <w:rPr>
          <w:i/>
        </w:rPr>
        <w:t xml:space="preserve">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3"/>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proofErr w:type="gramStart"/>
      <w:r w:rsidRPr="00C0198E">
        <w:rPr>
          <w:i/>
        </w:rPr>
        <w:t>Id.</w:t>
      </w:r>
      <w:r w:rsidRPr="00C0198E">
        <w:t xml:space="preserve"> at 914-15.</w:t>
      </w:r>
      <w:proofErr w:type="gramEnd"/>
      <w:r w:rsidRPr="00C0198E">
        <w:t xml:space="preserve">  The </w:t>
      </w:r>
      <w:r w:rsidRPr="00C0198E">
        <w:rPr>
          <w:i/>
        </w:rPr>
        <w:t>Lewis</w:t>
      </w:r>
      <w:r w:rsidRPr="00C0198E">
        <w:t xml:space="preserve"> court’s reasoning, however, did not appear to foreclose the 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w:t>
      </w:r>
      <w:proofErr w:type="spellStart"/>
      <w:r w:rsidRPr="00C0198E">
        <w:t>S.Ct</w:t>
      </w:r>
      <w:proofErr w:type="spellEnd"/>
      <w:r w:rsidRPr="00C0198E">
        <w:t xml:space="preserve">.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 xml:space="preserve">at 287, 97 </w:t>
      </w:r>
      <w:proofErr w:type="spellStart"/>
      <w:r w:rsidRPr="00C0198E">
        <w:t>S.Ct</w:t>
      </w:r>
      <w:proofErr w:type="spellEnd"/>
      <w:r w:rsidRPr="00C0198E">
        <w: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xml:space="preserve">, </w:t>
      </w:r>
      <w:proofErr w:type="gramStart"/>
      <w:r w:rsidRPr="00C0198E">
        <w:t>725 F.2d at 916</w:t>
      </w:r>
      <w:proofErr w:type="gramEnd"/>
      <w:r w:rsidRPr="00C0198E">
        <w:t>.</w:t>
      </w:r>
    </w:p>
    <w:p w14:paraId="61AAF7D6" w14:textId="2FFCAD91" w:rsidR="00252756" w:rsidRPr="00C0198E" w:rsidRDefault="00252756" w:rsidP="009C0DEC">
      <w:pPr>
        <w:widowControl w:val="0"/>
        <w:spacing w:after="240"/>
        <w:jc w:val="both"/>
      </w:pPr>
      <w:r w:rsidRPr="00C0198E">
        <w:tab/>
      </w:r>
      <w:proofErr w:type="gramStart"/>
      <w:r w:rsidRPr="00C0198E">
        <w:t xml:space="preserve">Because the court of appeals has indicated that the approach to Section 1981 claims generally follows that taken with respect to Title VII claims, </w:t>
      </w:r>
      <w:r w:rsidRPr="00C0198E">
        <w:rPr>
          <w:i/>
        </w:rPr>
        <w:t>see, e.g.</w:t>
      </w:r>
      <w:r w:rsidRPr="00C0198E">
        <w:t xml:space="preserve">, </w:t>
      </w:r>
      <w:proofErr w:type="spellStart"/>
      <w:r w:rsidRPr="00C0198E">
        <w:rPr>
          <w:i/>
        </w:rPr>
        <w:t>Schurr</w:t>
      </w:r>
      <w:proofErr w:type="spellEnd"/>
      <w:r w:rsidRPr="00C0198E">
        <w:rPr>
          <w:i/>
        </w:rPr>
        <w:t xml:space="preserve"> v. Resorts Intern.</w:t>
      </w:r>
      <w:proofErr w:type="gramEnd"/>
      <w:r w:rsidRPr="00C0198E">
        <w:rPr>
          <w:i/>
        </w:rPr>
        <w:t xml:space="preserve"> Hotel, Inc.</w:t>
      </w:r>
      <w:r w:rsidRPr="00C0198E">
        <w:t xml:space="preserve">, 196 F.3d 486, 499 (3d Cir. 1999), it can be argued that the Supreme Court’s decision </w:t>
      </w:r>
      <w:r w:rsidRPr="00C0198E">
        <w:lastRenderedPageBreak/>
        <w:t xml:space="preserve">in </w:t>
      </w:r>
      <w:r w:rsidRPr="00C0198E">
        <w:rPr>
          <w:i/>
        </w:rPr>
        <w:t>Price Waterhouse v. Hopkins</w:t>
      </w:r>
      <w:r w:rsidRPr="00C0198E">
        <w:t>, 490 U.S. 228 (1989), setting a mixed-motive framework for Title VII discrimination claims, also set in place a framework for Section 1981 claims.  But complications arise from the fact that the Price Waterhouse framework has been altered – for Title VII discrimination claims – by legislation enacted in 1991.  Specifically, Section 107 of the Civil Rights Act of 1991 (42 U.S.C. § 2000e-5(g</w:t>
      </w:r>
      <w:proofErr w:type="gramStart"/>
      <w:r w:rsidRPr="00C0198E">
        <w:t>)(</w:t>
      </w:r>
      <w:proofErr w:type="gramEnd"/>
      <w:r w:rsidRPr="00C0198E">
        <w:t xml:space="preserve">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proofErr w:type="spellStart"/>
      <w:proofErr w:type="gramStart"/>
      <w:r w:rsidRPr="00C0198E">
        <w:rPr>
          <w:i/>
        </w:rPr>
        <w:t>Mabra</w:t>
      </w:r>
      <w:proofErr w:type="spellEnd"/>
      <w:r w:rsidRPr="00C0198E">
        <w:rPr>
          <w:i/>
        </w:rPr>
        <w:t xml:space="preserve"> v. United Food &amp; Comm. Workers Union No. 1996, </w:t>
      </w:r>
      <w:r w:rsidRPr="00C0198E">
        <w:t>176 F.3d 1357, 1358 (11</w:t>
      </w:r>
      <w:r w:rsidRPr="00C0198E">
        <w:rPr>
          <w:vertAlign w:val="superscript"/>
        </w:rPr>
        <w:t>th</w:t>
      </w:r>
      <w:r w:rsidRPr="00C0198E">
        <w:t xml:space="preserve"> Cir. 1999).</w:t>
      </w:r>
      <w:proofErr w:type="gramEnd"/>
      <w:r w:rsidRPr="00C0198E">
        <w:t xml:space="preserve">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 xml:space="preserve">Enacted as part of the Civil Rights Act of 1991 ("1991 Act"), the mixed-motive amendments specifically add two provisions to the text of Title VII; they make no amendment or addition to § 1981. See Civil Rights Act of 1991, </w:t>
      </w:r>
      <w:proofErr w:type="spellStart"/>
      <w:r w:rsidRPr="00C0198E">
        <w:t>Pub.L</w:t>
      </w:r>
      <w:proofErr w:type="spellEnd"/>
      <w:r w:rsidRPr="00C0198E">
        <w:t>. No. 102-166, 105 Stat. 1071, 1075 (1991) (codified as amended at 42 U.S.C. §§ 2000e-2(m), 2000e-5(g</w:t>
      </w:r>
      <w:proofErr w:type="gramStart"/>
      <w:r w:rsidRPr="00C0198E">
        <w:t>)(</w:t>
      </w:r>
      <w:proofErr w:type="gramEnd"/>
      <w:r w:rsidRPr="00C0198E">
        <w:t>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proofErr w:type="spellStart"/>
      <w:r w:rsidRPr="00C0198E">
        <w:rPr>
          <w:i/>
        </w:rPr>
        <w:t>Mabra</w:t>
      </w:r>
      <w:proofErr w:type="spellEnd"/>
      <w:r w:rsidRPr="00C0198E">
        <w:t xml:space="preserve"> 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Pr="00C0198E" w:rsidRDefault="00252756" w:rsidP="009C0DEC">
      <w:pPr>
        <w:widowControl w:val="0"/>
        <w:spacing w:after="240"/>
        <w:jc w:val="both"/>
      </w:pPr>
      <w:r w:rsidRPr="00C0198E">
        <w:tab/>
        <w:t xml:space="preserve">The Third Circuit follows the Eleventh Circuit approach.  </w:t>
      </w:r>
      <w:r w:rsidRPr="00C0198E">
        <w:rPr>
          <w:i/>
        </w:rPr>
        <w:t xml:space="preserve">See Brown v. J. </w:t>
      </w:r>
      <w:proofErr w:type="spellStart"/>
      <w:r w:rsidRPr="00C0198E">
        <w:rPr>
          <w:i/>
        </w:rPr>
        <w:t>Kaz</w:t>
      </w:r>
      <w:proofErr w:type="spellEnd"/>
      <w:r w:rsidRPr="00C0198E">
        <w:rPr>
          <w:i/>
        </w:rPr>
        <w:t>, Inc.</w:t>
      </w:r>
      <w:r w:rsidRPr="00C0198E">
        <w:t>, 581 F.3d 175, 182 n.5 (3d Cir. 2009) (“[A]</w:t>
      </w:r>
      <w:proofErr w:type="spellStart"/>
      <w:r w:rsidRPr="00C0198E">
        <w:t>lthough</w:t>
      </w:r>
      <w:proofErr w:type="spellEnd"/>
      <w:r w:rsidRPr="00C0198E">
        <w:t xml:space="preserve"> the Civil Rights Act of 1991 amended section 1981 in other ways, it did not make the mixed-motive amendments described above applicable to section 1981 actions. Therefore, </w:t>
      </w:r>
      <w:r w:rsidRPr="00C0198E">
        <w:rPr>
          <w:i/>
        </w:rPr>
        <w:t>Price Waterhouse</w:t>
      </w:r>
      <w:r w:rsidRPr="00C0198E">
        <w:t xml:space="preserve">, and not the 1991 amendments to Title VII, controls the instant case, and </w:t>
      </w:r>
      <w:proofErr w:type="spellStart"/>
      <w:r w:rsidRPr="00C0198E">
        <w:t>Craftmatic</w:t>
      </w:r>
      <w:proofErr w:type="spellEnd"/>
      <w:r w:rsidRPr="00C0198E">
        <w:t xml:space="preserve"> has a complete defense to liability if it would have made </w:t>
      </w:r>
      <w:r w:rsidRPr="00C0198E">
        <w:lastRenderedPageBreak/>
        <w:t>the same decision without consideration of Brown's race.”).</w:t>
      </w:r>
      <w:proofErr w:type="gramStart"/>
      <w:r w:rsidR="000F62F9" w:rsidRPr="00C0198E">
        <w:rPr>
          <w:vertAlign w:val="superscript"/>
        </w:rPr>
        <w:footnoteReference w:customMarkFollows="1" w:id="4"/>
        <w:t>4</w:t>
      </w:r>
      <w:r w:rsidRPr="00C0198E">
        <w:t xml:space="preserve">  Accordingly</w:t>
      </w:r>
      <w:proofErr w:type="gramEnd"/>
      <w:r w:rsidRPr="00C0198E">
        <w:t xml:space="preserve">,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1CB07D48" w14:textId="77777777" w:rsidR="00252756" w:rsidRPr="00C0198E" w:rsidRDefault="00252756" w:rsidP="009C0DEC">
      <w:pPr>
        <w:widowControl w:val="0"/>
        <w:spacing w:after="240"/>
        <w:jc w:val="both"/>
      </w:pPr>
      <w:r w:rsidRPr="00C0198E">
        <w:rPr>
          <w:i/>
        </w:rPr>
        <w:t xml:space="preserve">Animus of Employee Who Was Not the Ultimate </w:t>
      </w:r>
      <w:proofErr w:type="spellStart"/>
      <w:r w:rsidRPr="00C0198E">
        <w:rPr>
          <w:i/>
        </w:rPr>
        <w:t>Decisionmaker</w:t>
      </w:r>
      <w:proofErr w:type="spellEnd"/>
    </w:p>
    <w:p w14:paraId="48A75B1D" w14:textId="77777777" w:rsidR="00BF603A" w:rsidRPr="00C0198E" w:rsidRDefault="00252756" w:rsidP="009C0DEC">
      <w:pPr>
        <w:widowControl w:val="0"/>
        <w:spacing w:after="240"/>
        <w:jc w:val="both"/>
      </w:pPr>
      <w:r w:rsidRPr="00C0198E">
        <w:tab/>
        <w:t xml:space="preserve">For a discussion of the Court’s treatment in </w:t>
      </w:r>
      <w:r w:rsidRPr="00C0198E">
        <w:rPr>
          <w:i/>
        </w:rPr>
        <w:t>Staub v. Proctor Hosp.</w:t>
      </w:r>
      <w:r w:rsidRPr="00C0198E">
        <w:t xml:space="preserve">, 131 S. Ct. 1186 (2011), of the animus of an employee who was not the ultimate </w:t>
      </w:r>
      <w:proofErr w:type="spellStart"/>
      <w:r w:rsidRPr="00C0198E">
        <w:t>decisionmaker</w:t>
      </w:r>
      <w:proofErr w:type="spellEnd"/>
      <w:r w:rsidRPr="00C0198E">
        <w:t xml:space="preserve">, see Comment 5.1.7.  </w:t>
      </w:r>
      <w:r w:rsidRPr="00C0198E">
        <w:rPr>
          <w:i/>
        </w:rPr>
        <w:t>Staub</w:t>
      </w:r>
      <w:r w:rsidRPr="00C0198E">
        <w:t xml:space="preserve"> concerned a statute that used the term “motivating factor,” and it is unclear whether the ruling in </w:t>
      </w:r>
      <w:r w:rsidRPr="00C0198E">
        <w:rPr>
          <w:i/>
        </w:rPr>
        <w:t>Staub</w:t>
      </w:r>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3"/>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116719ED" w:rsidR="00252756" w:rsidRPr="00C0198E" w:rsidRDefault="00252756" w:rsidP="009C0DEC">
      <w:pPr>
        <w:widowControl w:val="0"/>
        <w:spacing w:after="240"/>
        <w:jc w:val="both"/>
      </w:pPr>
      <w:r w:rsidRPr="00C0198E">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3C51F7BB"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299FC187" w14:textId="77777777" w:rsidR="00252756" w:rsidRPr="00C0198E" w:rsidRDefault="00252756" w:rsidP="009C0DEC">
      <w:pPr>
        <w:widowControl w:val="0"/>
        <w:spacing w:after="240"/>
        <w:ind w:left="720"/>
        <w:jc w:val="both"/>
      </w:pPr>
      <w:r w:rsidRPr="00C0198E">
        <w:t>Second: [Plaintiff’s] race was a determinative factor in [defendant's]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5D13B606" w:rsidR="00252756" w:rsidRPr="00C0198E" w:rsidRDefault="00252756" w:rsidP="009C0DEC">
      <w:pPr>
        <w:widowControl w:val="0"/>
        <w:spacing w:after="240"/>
        <w:jc w:val="both"/>
      </w:pPr>
      <w:r w:rsidRPr="00C0198E">
        <w:tab/>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14:paraId="24242F92" w14:textId="16F4DF76" w:rsidR="00252756" w:rsidRPr="00C0198E" w:rsidRDefault="00252756" w:rsidP="009C0DEC">
      <w:pPr>
        <w:widowControl w:val="0"/>
        <w:spacing w:after="240"/>
        <w:jc w:val="both"/>
      </w:pPr>
      <w:r w:rsidRPr="00C0198E">
        <w:tab/>
        <w:t xml:space="preserve">[Defendant] has given a nondiscriminatory reason for </w:t>
      </w:r>
      <w:proofErr w:type="gramStart"/>
      <w:r w:rsidRPr="00C0198E">
        <w:t>its</w:t>
      </w:r>
      <w:proofErr w:type="gramEnd"/>
      <w:r w:rsidRPr="00C0198E">
        <w:t xml:space="preserve"> [describe defendant’s action].  If you disbelieve [defendant’s] explanations for its conduct, then you may, but need not, find that [plaintiff] has proved intentional discrimination. In determining whether [</w:t>
      </w:r>
      <w:proofErr w:type="gramStart"/>
      <w:r w:rsidRPr="00C0198E">
        <w:t>defendant's</w:t>
      </w:r>
      <w:proofErr w:type="gramEnd"/>
      <w:r w:rsidRPr="00C0198E">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w:t>
      </w:r>
      <w:proofErr w:type="gramStart"/>
      <w:r w:rsidRPr="00C0198E">
        <w:t>a  determinative</w:t>
      </w:r>
      <w:proofErr w:type="gramEnd"/>
      <w:r w:rsidRPr="00C0198E">
        <w:t xml:space="preserve"> factor in [defendant’s employment decision.] “Determinative factor” means that if not for [</w:t>
      </w:r>
      <w:proofErr w:type="gramStart"/>
      <w:r w:rsidRPr="00C0198E">
        <w:t>plaintiff 's</w:t>
      </w:r>
      <w:proofErr w:type="gramEnd"/>
      <w:r w:rsidRPr="00C0198E">
        <w:t xml:space="preserve">]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lastRenderedPageBreak/>
        <w:t>Comment</w:t>
      </w:r>
    </w:p>
    <w:p w14:paraId="0FB1D9FE" w14:textId="0EE4F7A8" w:rsidR="00252756" w:rsidRPr="00C0198E" w:rsidRDefault="00252756" w:rsidP="009C0DEC">
      <w:pPr>
        <w:widowControl w:val="0"/>
        <w:spacing w:after="240"/>
        <w:jc w:val="both"/>
      </w:pPr>
      <w:r w:rsidRPr="00C0198E">
        <w:tab/>
        <w:t>This instruction is to be used when the plaintiff’s proof of discrimination is circumstantial rather than direct.  See the Comment to Instruction 6.1.1. The instruction is substantively identical to the pretext instruction given for Title VII cases.  See Instruction 5.1.2.</w:t>
      </w:r>
      <w:r w:rsidRPr="00C0198E">
        <w:rPr>
          <w:rStyle w:val="FootnoteReference"/>
        </w:rPr>
        <w:footnoteReference w:id="5"/>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proofErr w:type="spellStart"/>
      <w:r w:rsidRPr="00C0198E">
        <w:rPr>
          <w:i/>
        </w:rPr>
        <w:t>Stehney</w:t>
      </w:r>
      <w:proofErr w:type="spellEnd"/>
      <w:r w:rsidRPr="00C0198E">
        <w:rPr>
          <w:i/>
        </w:rPr>
        <w:t xml:space="preserve">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6"/>
      </w:r>
      <w:r w:rsidRPr="00C0198E">
        <w:t xml:space="preserve"> the burden shifts to the defendant to produce evidence of a legitimate nondiscriminatory reason for the challenged employment action.  </w:t>
      </w:r>
      <w:proofErr w:type="gramStart"/>
      <w:r w:rsidRPr="00C0198E">
        <w:rPr>
          <w:i/>
        </w:rPr>
        <w:t>See St. Mary's Honor Center v. Hicks</w:t>
      </w:r>
      <w:r w:rsidRPr="00C0198E">
        <w:t>, 509 U.S. 502, 506–07 (1992).</w:t>
      </w:r>
      <w:proofErr w:type="gramEnd"/>
      <w:r w:rsidRPr="00C0198E">
        <w:rPr>
          <w:i/>
        </w:rPr>
        <w:t xml:space="preserve"> See also </w:t>
      </w:r>
      <w:proofErr w:type="spellStart"/>
      <w:r w:rsidRPr="00C0198E">
        <w:rPr>
          <w:i/>
        </w:rPr>
        <w:t>Ezold</w:t>
      </w:r>
      <w:proofErr w:type="spellEnd"/>
      <w:r w:rsidRPr="00C0198E">
        <w:rPr>
          <w:i/>
        </w:rPr>
        <w:t xml:space="preserve"> v. Wolf, Block, </w:t>
      </w:r>
      <w:proofErr w:type="spellStart"/>
      <w:r w:rsidRPr="00C0198E">
        <w:rPr>
          <w:i/>
        </w:rPr>
        <w:t>Schorr</w:t>
      </w:r>
      <w:proofErr w:type="spellEnd"/>
      <w:r w:rsidRPr="00C0198E">
        <w:rPr>
          <w:i/>
        </w:rPr>
        <w:t xml:space="preserve">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proofErr w:type="gramStart"/>
      <w:r w:rsidRPr="00C0198E">
        <w:rPr>
          <w:i/>
          <w:color w:val="000000"/>
        </w:rPr>
        <w:t xml:space="preserve">Texas Dept. of Community </w:t>
      </w:r>
      <w:r w:rsidRPr="00C0198E">
        <w:rPr>
          <w:i/>
          <w:color w:val="000000"/>
        </w:rPr>
        <w:lastRenderedPageBreak/>
        <w:t xml:space="preserve">Affairs v. </w:t>
      </w:r>
      <w:proofErr w:type="spellStart"/>
      <w:r w:rsidRPr="00C0198E">
        <w:rPr>
          <w:i/>
          <w:color w:val="000000"/>
        </w:rPr>
        <w:t>Burdine</w:t>
      </w:r>
      <w:proofErr w:type="spellEnd"/>
      <w:r w:rsidRPr="00C0198E">
        <w:rPr>
          <w:i/>
          <w:color w:val="000000"/>
        </w:rPr>
        <w:t xml:space="preserve">, </w:t>
      </w:r>
      <w:r w:rsidRPr="00C0198E">
        <w:rPr>
          <w:color w:val="000000"/>
        </w:rPr>
        <w:t>450 U.S. 248, 253 (1981).</w:t>
      </w:r>
      <w:proofErr w:type="gramEnd"/>
      <w:r w:rsidRPr="00C0198E">
        <w:rPr>
          <w:color w:val="000000"/>
        </w:rPr>
        <w:t xml:space="preserve"> The plaintiff retains the ultimate burden of persuading the jury of intentional discrimination. The factfinder's rejection of the employer's proffered reason allows, but does not compel, judgment for the plaintiff. </w:t>
      </w:r>
      <w:proofErr w:type="gramStart"/>
      <w:r w:rsidRPr="00C0198E">
        <w:rPr>
          <w:i/>
          <w:color w:val="000000"/>
        </w:rPr>
        <w:t>Sheridan v. E.I. DuPont de Nemours and Co.</w:t>
      </w:r>
      <w:r w:rsidRPr="00C0198E">
        <w:rPr>
          <w:color w:val="000000"/>
        </w:rPr>
        <w:t>, 100 F.3d 1061, 1066-67 (3d Cir.1996) (en banc).</w:t>
      </w:r>
      <w:proofErr w:type="gramEnd"/>
      <w:r w:rsidRPr="00C0198E">
        <w:rPr>
          <w:color w:val="000000"/>
        </w:rPr>
        <w:t xml:space="preserve">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4"/>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w:t>
      </w:r>
      <w:proofErr w:type="gramStart"/>
      <w:r w:rsidRPr="00C0198E">
        <w:rPr>
          <w:color w:val="000000"/>
        </w:rPr>
        <w:t>,  you</w:t>
      </w:r>
      <w:proofErr w:type="gramEnd"/>
      <w:r w:rsidRPr="00C0198E">
        <w:rPr>
          <w:color w:val="000000"/>
        </w:rPr>
        <w:t xml:space="preserve">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lastRenderedPageBreak/>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tab/>
        <w:t xml:space="preserve">The standards for a hostile work environment claim are identical under Title VII and Section 1981.  </w:t>
      </w:r>
      <w:proofErr w:type="gramStart"/>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124 Fed.</w:t>
      </w:r>
      <w:proofErr w:type="gramEnd"/>
      <w:r w:rsidRPr="00C0198E">
        <w:rPr>
          <w:color w:val="000000"/>
        </w:rPr>
        <w:t xml:space="preserve"> </w:t>
      </w:r>
      <w:proofErr w:type="spellStart"/>
      <w:proofErr w:type="gramStart"/>
      <w:r w:rsidRPr="00C0198E">
        <w:rPr>
          <w:color w:val="000000"/>
        </w:rPr>
        <w:t>Appx</w:t>
      </w:r>
      <w:proofErr w:type="spellEnd"/>
      <w:r w:rsidRPr="00C0198E">
        <w:rPr>
          <w:color w:val="000000"/>
        </w:rPr>
        <w:t>.</w:t>
      </w:r>
      <w:proofErr w:type="gramEnd"/>
      <w:r w:rsidRPr="00C0198E">
        <w:rPr>
          <w:color w:val="000000"/>
        </w:rPr>
        <w:t xml:space="preserve"> 92, 95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proofErr w:type="gramStart"/>
      <w:r w:rsidRPr="00C0198E">
        <w:rPr>
          <w:i/>
          <w:color w:val="000000"/>
        </w:rPr>
        <w:t>See McKenna v. Pac. Rail Serv</w:t>
      </w:r>
      <w:r w:rsidRPr="00C0198E">
        <w:rPr>
          <w:color w:val="000000"/>
        </w:rPr>
        <w:t xml:space="preserve">., 32 F.3d 820, 826 n. 3 (3d Cir.1994).”); </w:t>
      </w:r>
      <w:proofErr w:type="spellStart"/>
      <w:r w:rsidRPr="00C0198E">
        <w:rPr>
          <w:i/>
          <w:color w:val="000000"/>
        </w:rPr>
        <w:t>Ocasio</w:t>
      </w:r>
      <w:proofErr w:type="spellEnd"/>
      <w:r w:rsidRPr="00C0198E">
        <w:rPr>
          <w:i/>
          <w:color w:val="000000"/>
        </w:rPr>
        <w:t xml:space="preserve">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w:t>
      </w:r>
      <w:proofErr w:type="gramEnd"/>
      <w:r w:rsidRPr="00C0198E">
        <w:rPr>
          <w:color w:val="000000"/>
        </w:rPr>
        <w:t xml:space="preserve"> 876, 879-80 (3d Cir. 2004) (“As amended by the 1991 Civil Rights Act, § 1981 now encompasses hostile work </w:t>
      </w:r>
      <w:proofErr w:type="gramStart"/>
      <w:r w:rsidRPr="00C0198E">
        <w:rPr>
          <w:color w:val="000000"/>
        </w:rPr>
        <w:t>environment  claims</w:t>
      </w:r>
      <w:proofErr w:type="gramEnd"/>
      <w:r w:rsidRPr="00C0198E">
        <w:rPr>
          <w:color w:val="000000"/>
        </w:rPr>
        <w:t>,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w:t>
      </w:r>
      <w:proofErr w:type="spellStart"/>
      <w:r w:rsidRPr="00C0198E">
        <w:rPr>
          <w:rStyle w:val="bestsection"/>
          <w:i/>
          <w:color w:val="000000"/>
        </w:rPr>
        <w:t>Khazraji</w:t>
      </w:r>
      <w:proofErr w:type="spellEnd"/>
      <w:r w:rsidRPr="00C0198E">
        <w:rPr>
          <w:rStyle w:val="bestsection"/>
          <w:i/>
          <w:color w:val="000000"/>
        </w:rPr>
        <w:t xml:space="preserve">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7"/>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 xml:space="preserve">Burlington Industries, Inc. v. </w:t>
      </w:r>
      <w:proofErr w:type="spellStart"/>
      <w:r w:rsidRPr="00C0198E">
        <w:rPr>
          <w:i/>
          <w:color w:val="000000"/>
        </w:rPr>
        <w:t>Ellerth</w:t>
      </w:r>
      <w:proofErr w:type="spellEnd"/>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lastRenderedPageBreak/>
        <w:tab/>
      </w:r>
      <w:proofErr w:type="spellStart"/>
      <w:r w:rsidRPr="00C0198E">
        <w:rPr>
          <w:color w:val="000000"/>
        </w:rPr>
        <w:t>Respondeat</w:t>
      </w:r>
      <w:proofErr w:type="spellEnd"/>
      <w:r w:rsidRPr="00C0198E">
        <w:rPr>
          <w:color w:val="000000"/>
        </w:rPr>
        <w:t xml:space="preserve"> superior liability for discriminatory harassment by non-supervisory employees</w:t>
      </w:r>
      <w:r w:rsidR="000F62F9" w:rsidRPr="00C0198E">
        <w:rPr>
          <w:vertAlign w:val="superscript"/>
        </w:rPr>
        <w:footnoteReference w:customMarkFollows="1" w:id="8"/>
        <w:t>8</w:t>
      </w:r>
      <w:r w:rsidRPr="00C0198E">
        <w:rPr>
          <w:color w:val="000000"/>
        </w:rPr>
        <w:t xml:space="preserve"> exists only where "the defendant knew or should have known of the harassment and failed to take prompt remedial action." </w:t>
      </w:r>
      <w:proofErr w:type="gramStart"/>
      <w:r w:rsidRPr="00C0198E">
        <w:rPr>
          <w:i/>
          <w:color w:val="000000"/>
        </w:rPr>
        <w:t>Andrews v. City of Philadelphia,</w:t>
      </w:r>
      <w:r w:rsidRPr="00C0198E">
        <w:rPr>
          <w:color w:val="000000"/>
        </w:rPr>
        <w:t xml:space="preserve"> 895 F.2d 1469, 1486 (3d Cir. 1990).</w:t>
      </w:r>
      <w:proofErr w:type="gramEnd"/>
      <w:r w:rsidRPr="00C0198E">
        <w:rPr>
          <w:color w:val="000000"/>
        </w:rPr>
        <w:t xml:space="preserve">  See also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 xml:space="preserve">Huston v. Procter &amp; Gamble Paper Prods. </w:t>
      </w:r>
      <w:proofErr w:type="gramStart"/>
      <w:r w:rsidRPr="00C0198E">
        <w:rPr>
          <w:i/>
          <w:color w:val="000000"/>
        </w:rPr>
        <w:t>Corp.</w:t>
      </w:r>
      <w:r w:rsidRPr="00C0198E">
        <w:rPr>
          <w:color w:val="000000"/>
        </w:rPr>
        <w:t>, 568 F.3d 100, 108 (3d Cir. 2009)).</w:t>
      </w:r>
      <w:proofErr w:type="gramEnd"/>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w:t>
      </w:r>
      <w:proofErr w:type="gramStart"/>
      <w:r w:rsidRPr="00C0198E">
        <w:rPr>
          <w:color w:val="000000"/>
        </w:rPr>
        <w:t>quoting</w:t>
      </w:r>
      <w:proofErr w:type="gramEnd"/>
      <w:r w:rsidRPr="00C0198E">
        <w:rPr>
          <w:color w:val="000000"/>
        </w:rPr>
        <w:t xml:space="preserve"> 2 </w:t>
      </w:r>
      <w:proofErr w:type="spellStart"/>
      <w:r w:rsidRPr="00C0198E">
        <w:rPr>
          <w:color w:val="000000"/>
        </w:rPr>
        <w:t>C.Sullivan</w:t>
      </w:r>
      <w:proofErr w:type="spellEnd"/>
      <w:r w:rsidRPr="00C0198E">
        <w:rPr>
          <w:color w:val="000000"/>
        </w:rPr>
        <w:t xml:space="preserve"> et. al., </w:t>
      </w:r>
      <w:r w:rsidRPr="00C0198E">
        <w:rPr>
          <w:i/>
          <w:color w:val="000000"/>
        </w:rPr>
        <w:t xml:space="preserve">Employment Discrimination Law and Practice </w:t>
      </w:r>
      <w:r w:rsidRPr="00C0198E">
        <w:rPr>
          <w:color w:val="000000"/>
        </w:rPr>
        <w:t xml:space="preserve">455 (3d ed. 2002). </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5"/>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w:t>
      </w:r>
      <w:proofErr w:type="gramStart"/>
      <w:r w:rsidRPr="00C0198E">
        <w:rPr>
          <w:color w:val="000000"/>
        </w:rPr>
        <w:t>is/are</w:t>
      </w:r>
      <w:proofErr w:type="gramEnd"/>
      <w:r w:rsidRPr="00C0198E">
        <w:rPr>
          <w:color w:val="000000"/>
        </w:rPr>
        <w:t>]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Fourth: The conduct was </w:t>
      </w:r>
      <w:proofErr w:type="gramStart"/>
      <w:r w:rsidRPr="00C0198E">
        <w:rPr>
          <w:color w:val="000000"/>
        </w:rPr>
        <w:t>so  severe</w:t>
      </w:r>
      <w:proofErr w:type="gramEnd"/>
      <w:r w:rsidRPr="00C0198E">
        <w:rPr>
          <w:color w:val="000000"/>
        </w:rPr>
        <w:t xml:space="preserv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roofErr w:type="gramStart"/>
      <w:r w:rsidRPr="00C0198E">
        <w:rPr>
          <w:b/>
          <w:color w:val="000000"/>
        </w:rPr>
        <w:t>[ For</w:t>
      </w:r>
      <w:proofErr w:type="gramEnd"/>
      <w:r w:rsidRPr="00C0198E">
        <w:rPr>
          <w:b/>
          <w:color w:val="000000"/>
        </w:rPr>
        <w:t xml:space="preserve">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w:t>
      </w:r>
      <w:proofErr w:type="gramStart"/>
      <w:r w:rsidRPr="00C0198E">
        <w:rPr>
          <w:color w:val="000000"/>
        </w:rPr>
        <w:t>,  proof</w:t>
      </w:r>
      <w:proofErr w:type="gramEnd"/>
      <w:r w:rsidRPr="00C0198E">
        <w:rPr>
          <w:color w:val="000000"/>
        </w:rPr>
        <w:t xml:space="preserve">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w:t>
      </w:r>
      <w:proofErr w:type="gramStart"/>
      <w:r w:rsidRPr="00C0198E">
        <w:rPr>
          <w:color w:val="000000"/>
        </w:rPr>
        <w:t>have</w:t>
      </w:r>
      <w:proofErr w:type="gramEnd"/>
      <w:r w:rsidRPr="00C0198E">
        <w:rPr>
          <w:color w:val="000000"/>
        </w:rPr>
        <w:t xml:space="preserve"> held that the standards for a hostile work environment claim are identical under Title VII and Section 1981.  </w:t>
      </w:r>
      <w:proofErr w:type="gramStart"/>
      <w:r w:rsidRPr="00C0198E">
        <w:rPr>
          <w:color w:val="000000"/>
        </w:rPr>
        <w:t>However, as also discussed in that Comment, Section 1981 prohibits individuals, including employees, from engaging in acts of racial discrimination.</w:t>
      </w:r>
      <w:proofErr w:type="gramEnd"/>
      <w:r w:rsidRPr="00C0198E">
        <w:rPr>
          <w:color w:val="000000"/>
        </w:rPr>
        <w:t xml:space="preserve">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w:t>
      </w:r>
      <w:r w:rsidRPr="00C0198E">
        <w:rPr>
          <w:color w:val="000000"/>
        </w:rPr>
        <w:lastRenderedPageBreak/>
        <w:t xml:space="preserve">any "tangible" employment action such as discharge or demotion, but rather suffered "intangible" harm flowing from harassment that is "sufficiently severe or pervasive to create a hostile work environment." </w:t>
      </w:r>
      <w:proofErr w:type="spellStart"/>
      <w:proofErr w:type="gramStart"/>
      <w:r w:rsidRPr="00C0198E">
        <w:rPr>
          <w:i/>
          <w:color w:val="000000"/>
        </w:rPr>
        <w:t>Faragher</w:t>
      </w:r>
      <w:proofErr w:type="spellEnd"/>
      <w:r w:rsidRPr="00C0198E">
        <w:rPr>
          <w:i/>
          <w:color w:val="000000"/>
        </w:rPr>
        <w:t xml:space="preserve"> v. Boca Raton</w:t>
      </w:r>
      <w:r w:rsidRPr="00C0198E">
        <w:rPr>
          <w:color w:val="000000"/>
        </w:rPr>
        <w:t>, 524 U.S. 775, 808 (1998).</w:t>
      </w:r>
      <w:proofErr w:type="gramEnd"/>
      <w:r w:rsidRPr="00C0198E">
        <w:rPr>
          <w:color w:val="000000"/>
        </w:rPr>
        <w:t xml:space="preserve"> In </w:t>
      </w:r>
      <w:proofErr w:type="spellStart"/>
      <w:r w:rsidRPr="00C0198E">
        <w:rPr>
          <w:i/>
          <w:color w:val="000000"/>
        </w:rPr>
        <w:t>Faragher</w:t>
      </w:r>
      <w:proofErr w:type="spellEnd"/>
      <w:r w:rsidRPr="00C0198E">
        <w:rPr>
          <w:color w:val="000000"/>
        </w:rPr>
        <w:t xml:space="preserve"> and in </w:t>
      </w:r>
      <w:r w:rsidRPr="00C0198E">
        <w:rPr>
          <w:i/>
          <w:color w:val="000000"/>
        </w:rPr>
        <w:t xml:space="preserve">Burlington Industries, Inc. v. </w:t>
      </w:r>
      <w:proofErr w:type="spellStart"/>
      <w:r w:rsidRPr="00C0198E">
        <w:rPr>
          <w:i/>
          <w:color w:val="000000"/>
        </w:rPr>
        <w:t>Ellerth</w:t>
      </w:r>
      <w:proofErr w:type="spellEnd"/>
      <w:r w:rsidRPr="00C0198E">
        <w:rPr>
          <w:color w:val="000000"/>
        </w:rPr>
        <w:t xml:space="preserve">, 524 U.S. 742 (1998), the Court held that an employer is strictly liable for supervisor harassment that "culminates in a tangible employment action, such as discharge, demotion, or undesirable reassignment." </w:t>
      </w:r>
      <w:proofErr w:type="spellStart"/>
      <w:r w:rsidRPr="00C0198E">
        <w:rPr>
          <w:i/>
          <w:color w:val="000000"/>
        </w:rPr>
        <w:t>Ellerth</w:t>
      </w:r>
      <w:proofErr w:type="spellEnd"/>
      <w:r w:rsidRPr="00C0198E">
        <w:rPr>
          <w:i/>
          <w:color w:val="000000"/>
        </w:rPr>
        <w:t xml:space="preserve">,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w:t>
      </w:r>
      <w:proofErr w:type="spellStart"/>
      <w:proofErr w:type="gramStart"/>
      <w:r w:rsidRPr="00C0198E">
        <w:rPr>
          <w:i/>
          <w:color w:val="000000"/>
        </w:rPr>
        <w:t>Ellerth</w:t>
      </w:r>
      <w:proofErr w:type="spellEnd"/>
      <w:r w:rsidRPr="00C0198E">
        <w:rPr>
          <w:color w:val="000000"/>
        </w:rPr>
        <w:t>, 524 U.S. at 751 (1998).</w:t>
      </w:r>
      <w:proofErr w:type="gramEnd"/>
      <w:r w:rsidRPr="00C0198E">
        <w:rPr>
          <w:color w:val="000000"/>
        </w:rPr>
        <w:t xml:space="preserve"> </w:t>
      </w:r>
      <w:r w:rsidRPr="00C0198E">
        <w:rPr>
          <w:i/>
          <w:color w:val="000000"/>
        </w:rPr>
        <w:t>See Swinton v. Potomac Corp</w:t>
      </w:r>
      <w:r w:rsidRPr="00C0198E">
        <w:rPr>
          <w:color w:val="000000"/>
        </w:rPr>
        <w:t xml:space="preserve">., 270 F.3d 794, 817 (9th Cir. 2001) (holding that the </w:t>
      </w:r>
      <w:proofErr w:type="spellStart"/>
      <w:r w:rsidRPr="00C0198E">
        <w:rPr>
          <w:i/>
          <w:color w:val="000000"/>
        </w:rPr>
        <w:t>Faragher</w:t>
      </w:r>
      <w:proofErr w:type="spellEnd"/>
      <w:r w:rsidRPr="00C0198E">
        <w:rPr>
          <w:i/>
          <w:color w:val="000000"/>
        </w:rPr>
        <w:t>/</w:t>
      </w:r>
      <w:proofErr w:type="spellStart"/>
      <w:r w:rsidRPr="00C0198E">
        <w:rPr>
          <w:i/>
          <w:color w:val="000000"/>
        </w:rPr>
        <w:t>Ellerth</w:t>
      </w:r>
      <w:proofErr w:type="spellEnd"/>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proofErr w:type="spellStart"/>
      <w:r w:rsidRPr="00C0198E">
        <w:rPr>
          <w:i/>
          <w:color w:val="000000"/>
        </w:rPr>
        <w:t>Ellerth</w:t>
      </w:r>
      <w:proofErr w:type="spellEnd"/>
      <w:r w:rsidRPr="00C0198E">
        <w:rPr>
          <w:color w:val="000000"/>
        </w:rPr>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C0198E">
        <w:rPr>
          <w:color w:val="000000"/>
        </w:rPr>
        <w:t>employees.</w:t>
      </w:r>
      <w:r w:rsidR="000F62F9" w:rsidRPr="00C0198E">
        <w:rPr>
          <w:vertAlign w:val="superscript"/>
        </w:rPr>
        <w:footnoteReference w:customMarkFollows="1" w:id="9"/>
        <w:t>9</w:t>
      </w:r>
      <w:r w:rsidR="000F62F9" w:rsidRPr="00C0198E">
        <w:t xml:space="preserve"> </w:t>
      </w:r>
      <w:r w:rsidRPr="00C0198E">
        <w:rPr>
          <w:color w:val="000000"/>
        </w:rPr>
        <w:t xml:space="preserve"> </w:t>
      </w:r>
      <w:proofErr w:type="spellStart"/>
      <w:r w:rsidRPr="00C0198E">
        <w:rPr>
          <w:color w:val="000000"/>
        </w:rPr>
        <w:t>Respondeat</w:t>
      </w:r>
      <w:proofErr w:type="spellEnd"/>
      <w:proofErr w:type="gramEnd"/>
      <w:r w:rsidRPr="00C0198E">
        <w:rPr>
          <w:color w:val="000000"/>
        </w:rPr>
        <w:t xml:space="preserve"> superior liability for the acts of non-supervisory employees exists only where "the defendant knew or should have known of the harassment and failed to take prompt remedial action." </w:t>
      </w:r>
      <w:proofErr w:type="gramStart"/>
      <w:r w:rsidRPr="00C0198E">
        <w:rPr>
          <w:i/>
          <w:color w:val="000000"/>
        </w:rPr>
        <w:t>Andrews v. City of Philadelphia,</w:t>
      </w:r>
      <w:r w:rsidRPr="00C0198E">
        <w:rPr>
          <w:color w:val="000000"/>
        </w:rPr>
        <w:t xml:space="preserve"> 895 F.2d 1469, 1486 (3d Cir. 1990).</w:t>
      </w:r>
      <w:proofErr w:type="gramEnd"/>
      <w:r w:rsidRPr="00C0198E">
        <w:rPr>
          <w:color w:val="000000"/>
        </w:rPr>
        <w:t xml:space="preserve">  </w:t>
      </w:r>
      <w:r w:rsidRPr="00C0198E">
        <w:rPr>
          <w:i/>
          <w:color w:val="000000"/>
        </w:rPr>
        <w:t xml:space="preserve">See also </w:t>
      </w:r>
      <w:r w:rsidRPr="00C0198E">
        <w:rPr>
          <w:color w:val="000000"/>
        </w:rPr>
        <w:t xml:space="preserve">Comment 6.1.3 (discussing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 and </w:t>
      </w:r>
      <w:r w:rsidRPr="00C0198E">
        <w:rPr>
          <w:i/>
          <w:color w:val="000000"/>
        </w:rPr>
        <w:t xml:space="preserve">Huston v. Procter &amp; Gamble Paper Prods. </w:t>
      </w:r>
      <w:proofErr w:type="gramStart"/>
      <w:r w:rsidRPr="00C0198E">
        <w:rPr>
          <w:i/>
          <w:color w:val="000000"/>
        </w:rPr>
        <w:t>Corp.</w:t>
      </w:r>
      <w:r w:rsidRPr="00C0198E">
        <w:rPr>
          <w:color w:val="000000"/>
        </w:rPr>
        <w:t>, 568 F.3d 100, 104 (3d Cir. 2009)).</w:t>
      </w:r>
      <w:proofErr w:type="gramEnd"/>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6"/>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 xml:space="preserve">Pennsylvania State Police v. </w:t>
      </w:r>
      <w:proofErr w:type="spellStart"/>
      <w:r w:rsidRPr="00C0198E">
        <w:rPr>
          <w:i/>
          <w:color w:val="000000"/>
        </w:rPr>
        <w:t>Suders</w:t>
      </w:r>
      <w:proofErr w:type="spellEnd"/>
      <w:r w:rsidRPr="00C0198E">
        <w:rPr>
          <w:color w:val="000000"/>
        </w:rPr>
        <w:t xml:space="preserve">, 542 U.S. 129, 138-41 (2004), the Court considered the relationship between constructive discharge brought about by supervisor </w:t>
      </w:r>
      <w:proofErr w:type="gramStart"/>
      <w:r w:rsidRPr="00C0198E">
        <w:rPr>
          <w:color w:val="000000"/>
        </w:rPr>
        <w:t>harassment  and</w:t>
      </w:r>
      <w:proofErr w:type="gramEnd"/>
      <w:r w:rsidRPr="00C0198E">
        <w:rPr>
          <w:color w:val="000000"/>
        </w:rPr>
        <w:t xml:space="preserve"> the affirmative defense articulated in </w:t>
      </w:r>
      <w:proofErr w:type="spellStart"/>
      <w:r w:rsidRPr="00C0198E">
        <w:rPr>
          <w:i/>
          <w:color w:val="000000"/>
        </w:rPr>
        <w:t>Ellerth</w:t>
      </w:r>
      <w:proofErr w:type="spellEnd"/>
      <w:r w:rsidRPr="00C0198E">
        <w:rPr>
          <w:i/>
          <w:color w:val="000000"/>
        </w:rPr>
        <w:t xml:space="preserve"> </w:t>
      </w:r>
      <w:r w:rsidRPr="00C0198E">
        <w:rPr>
          <w:color w:val="000000"/>
        </w:rPr>
        <w:t xml:space="preserve">and </w:t>
      </w:r>
      <w:proofErr w:type="spellStart"/>
      <w:r w:rsidRPr="00C0198E">
        <w:rPr>
          <w:i/>
          <w:color w:val="000000"/>
        </w:rPr>
        <w:t>Faragher</w:t>
      </w:r>
      <w:proofErr w:type="spellEnd"/>
      <w:r w:rsidRPr="00C0198E">
        <w:rPr>
          <w:color w:val="000000"/>
        </w:rPr>
        <w:t xml:space="preserve">. The Court concluded that “an employer does not have recourse to the </w:t>
      </w:r>
      <w:proofErr w:type="spellStart"/>
      <w:r w:rsidRPr="00C0198E">
        <w:rPr>
          <w:i/>
          <w:color w:val="000000"/>
        </w:rPr>
        <w:t>Ellerth</w:t>
      </w:r>
      <w:proofErr w:type="spellEnd"/>
      <w:r w:rsidRPr="00C0198E">
        <w:rPr>
          <w:i/>
          <w:color w:val="000000"/>
        </w:rPr>
        <w:t>/</w:t>
      </w:r>
      <w:proofErr w:type="spellStart"/>
      <w:r w:rsidRPr="00C0198E">
        <w:rPr>
          <w:i/>
          <w:color w:val="000000"/>
        </w:rPr>
        <w:t>Faragher</w:t>
      </w:r>
      <w:proofErr w:type="spellEnd"/>
      <w:r w:rsidRPr="00C0198E">
        <w:rPr>
          <w:i/>
          <w:color w:val="000000"/>
        </w:rPr>
        <w:t xml:space="preserve">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proofErr w:type="gramStart"/>
      <w:r w:rsidRPr="00C0198E">
        <w:rPr>
          <w:b/>
          <w:color w:val="000000"/>
          <w:sz w:val="28"/>
        </w:rPr>
        <w:lastRenderedPageBreak/>
        <w:t>6.1.5  Elements</w:t>
      </w:r>
      <w:proofErr w:type="gramEnd"/>
      <w:r w:rsidRPr="00C0198E">
        <w:rPr>
          <w:b/>
          <w:color w:val="000000"/>
          <w:sz w:val="28"/>
        </w:rPr>
        <w:t xml:space="preserve">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Supp.2d 247, 252 (</w:t>
      </w:r>
      <w:proofErr w:type="spellStart"/>
      <w:r w:rsidRPr="00C0198E">
        <w:rPr>
          <w:color w:val="000000"/>
        </w:rPr>
        <w:t>E.D.Pa</w:t>
      </w:r>
      <w:proofErr w:type="spellEnd"/>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w:t>
      </w:r>
      <w:proofErr w:type="gramStart"/>
      <w:r w:rsidRPr="00C0198E">
        <w:rPr>
          <w:color w:val="000000"/>
        </w:rPr>
        <w:t>]  [</w:t>
      </w:r>
      <w:proofErr w:type="gramEnd"/>
      <w:r w:rsidRPr="00C0198E">
        <w:rPr>
          <w:color w:val="000000"/>
        </w:rPr>
        <w:t>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w:t>
      </w:r>
      <w:proofErr w:type="gramStart"/>
      <w:r w:rsidRPr="00C0198E">
        <w:rPr>
          <w:color w:val="000000"/>
        </w:rPr>
        <w:t>]  must</w:t>
      </w:r>
      <w:proofErr w:type="gramEnd"/>
      <w:r w:rsidRPr="00C0198E">
        <w:rPr>
          <w:color w:val="000000"/>
        </w:rPr>
        <w:t xml:space="preserve">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w:t>
      </w:r>
      <w:proofErr w:type="gramStart"/>
      <w:r w:rsidRPr="00C0198E">
        <w:rPr>
          <w:color w:val="000000"/>
        </w:rPr>
        <w:t>]  [</w:t>
      </w:r>
      <w:proofErr w:type="gramEnd"/>
      <w:r w:rsidRPr="00C0198E">
        <w:rPr>
          <w:color w:val="000000"/>
        </w:rPr>
        <w:t>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proofErr w:type="gramStart"/>
      <w:r w:rsidR="00F84935" w:rsidRPr="00C0198E">
        <w:rPr>
          <w:b/>
        </w:rPr>
        <w:t>]</w:t>
      </w:r>
      <w:r w:rsidR="00F84935" w:rsidRPr="00C0198E">
        <w:t xml:space="preserve">  </w:t>
      </w:r>
      <w:r w:rsidRPr="00C0198E">
        <w:rPr>
          <w:color w:val="000000"/>
        </w:rPr>
        <w:t>Concerning</w:t>
      </w:r>
      <w:proofErr w:type="gramEnd"/>
      <w:r w:rsidRPr="00C0198E">
        <w:rPr>
          <w:color w:val="000000"/>
        </w:rPr>
        <w:t xml:space="preserve">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0"/>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1"/>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proofErr w:type="gramStart"/>
      <w:r w:rsidRPr="00C0198E">
        <w:rPr>
          <w:color w:val="000000"/>
        </w:rPr>
        <w:t>Concerning the third element, that of causal connection, that connection may be shown in many ways.</w:t>
      </w:r>
      <w:proofErr w:type="gramEnd"/>
      <w:r w:rsidRPr="00C0198E">
        <w:rPr>
          <w:color w:val="000000"/>
        </w:rPr>
        <w:t xml:space="preserve">  For example, you may or may not  find that there is a sufficient connection through timing, that is [defendant(s)] action followed shortly after [defendant(s)] became aware of [plaintiff’s]  [describe activity]. Causation is, however, not necessarily ruled out by a more </w:t>
      </w:r>
      <w:r w:rsidRPr="00C0198E">
        <w:rPr>
          <w:color w:val="000000"/>
        </w:rPr>
        <w:lastRenderedPageBreak/>
        <w:t>extended passage of time. Causation may or may not be proven by antagonism shown toward [plaintiff</w:t>
      </w:r>
      <w:proofErr w:type="gramStart"/>
      <w:r w:rsidRPr="00C0198E">
        <w:rPr>
          <w:color w:val="000000"/>
        </w:rPr>
        <w:t>]  or</w:t>
      </w:r>
      <w:proofErr w:type="gramEnd"/>
      <w:r w:rsidRPr="00C0198E">
        <w:rPr>
          <w:color w:val="000000"/>
        </w:rPr>
        <w:t xml:space="preserve">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proofErr w:type="gramStart"/>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w:t>
      </w:r>
      <w:proofErr w:type="gramEnd"/>
      <w:r w:rsidRPr="00C0198E">
        <w:rPr>
          <w:color w:val="000000"/>
        </w:rPr>
        <w:t xml:space="preserve">  And the Third Circuit has </w:t>
      </w:r>
      <w:r w:rsidR="00527975" w:rsidRPr="00C0198E">
        <w:t>indicated</w:t>
      </w:r>
      <w:r w:rsidRPr="00C0198E">
        <w:rPr>
          <w:color w:val="000000"/>
        </w:rPr>
        <w:t xml:space="preserve"> that </w:t>
      </w:r>
      <w:proofErr w:type="gramStart"/>
      <w:r w:rsidRPr="00C0198E">
        <w:rPr>
          <w:color w:val="000000"/>
        </w:rPr>
        <w:t>the  legal</w:t>
      </w:r>
      <w:proofErr w:type="gramEnd"/>
      <w:r w:rsidRPr="00C0198E">
        <w:rPr>
          <w:color w:val="000000"/>
        </w:rPr>
        <w:t xml:space="preserve">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proofErr w:type="spellStart"/>
      <w:r w:rsidRPr="00C0198E">
        <w:rPr>
          <w:i/>
          <w:color w:val="000000"/>
        </w:rPr>
        <w:t>Khair</w:t>
      </w:r>
      <w:proofErr w:type="spellEnd"/>
      <w:r w:rsidRPr="00C0198E">
        <w:rPr>
          <w:i/>
          <w:color w:val="000000"/>
        </w:rPr>
        <w:t xml:space="preserve">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06EF146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 xml:space="preserve">this instruction for both causes of action.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 xml:space="preserve">Estate of </w:t>
      </w:r>
      <w:proofErr w:type="spellStart"/>
      <w:r w:rsidR="008E2A59" w:rsidRPr="00C0198E">
        <w:rPr>
          <w:i/>
        </w:rPr>
        <w:t>Oliva</w:t>
      </w:r>
      <w:proofErr w:type="spellEnd"/>
      <w:r w:rsidR="008E2A59" w:rsidRPr="00C0198E">
        <w:rPr>
          <w:i/>
        </w:rPr>
        <w:t xml:space="preserve"> ex rel. McHugh v. </w:t>
      </w:r>
      <w:proofErr w:type="gramStart"/>
      <w:r w:rsidR="008E2A59" w:rsidRPr="00C0198E">
        <w:rPr>
          <w:i/>
        </w:rPr>
        <w:t>New Jersey</w:t>
      </w:r>
      <w:r w:rsidR="008E2A59" w:rsidRPr="00C0198E">
        <w:t>, 604 F.3d 788, 798 (3d Cir. 2010).</w:t>
      </w:r>
      <w:proofErr w:type="gramEnd"/>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proofErr w:type="spellStart"/>
      <w:r w:rsidR="008E2A59" w:rsidRPr="00C0198E">
        <w:rPr>
          <w:i/>
        </w:rPr>
        <w:t>Oliva</w:t>
      </w:r>
      <w:proofErr w:type="spellEnd"/>
      <w:r w:rsidR="008E2A59" w:rsidRPr="00C0198E">
        <w:t xml:space="preserve">, 604 F.3d at 798 (quoting </w:t>
      </w:r>
      <w:r w:rsidR="008E2A59" w:rsidRPr="00C0198E">
        <w:rPr>
          <w:i/>
        </w:rPr>
        <w:t>CBOCS</w:t>
      </w:r>
      <w:r w:rsidR="008E2A59" w:rsidRPr="00C0198E">
        <w:t xml:space="preserve">, 128 </w:t>
      </w:r>
      <w:proofErr w:type="spellStart"/>
      <w:r w:rsidR="008E2A59" w:rsidRPr="00C0198E">
        <w:t>S.Ct</w:t>
      </w:r>
      <w:proofErr w:type="spellEnd"/>
      <w:r w:rsidR="008E2A59" w:rsidRPr="00C0198E">
        <w:t xml:space="preserve">. at 1958), the </w:t>
      </w:r>
      <w:proofErr w:type="spellStart"/>
      <w:r w:rsidR="008E2A59" w:rsidRPr="00C0198E">
        <w:rPr>
          <w:i/>
        </w:rPr>
        <w:t>Oliva</w:t>
      </w:r>
      <w:proofErr w:type="spellEnd"/>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proofErr w:type="spellStart"/>
      <w:r w:rsidR="008E2A59" w:rsidRPr="00C0198E">
        <w:rPr>
          <w:i/>
        </w:rPr>
        <w:t>Oliva</w:t>
      </w:r>
      <w:proofErr w:type="spellEnd"/>
      <w:r w:rsidR="008E2A59" w:rsidRPr="00C0198E">
        <w:t xml:space="preserve">, </w:t>
      </w:r>
      <w:proofErr w:type="gramStart"/>
      <w:r w:rsidR="008E2A59" w:rsidRPr="00C0198E">
        <w:t>604 F.3d at 798</w:t>
      </w:r>
      <w:proofErr w:type="gramEnd"/>
      <w:r w:rsidR="008E2A59" w:rsidRPr="00C0198E">
        <w:t>.</w:t>
      </w:r>
      <w:r w:rsidR="008E2A59" w:rsidRPr="00C0198E">
        <w:rPr>
          <w:rStyle w:val="FootnoteReference"/>
        </w:rPr>
        <w:footnoteReference w:id="12"/>
      </w:r>
      <w:r w:rsidR="008E2A59" w:rsidRPr="00C0198E">
        <w:t xml:space="preserve">  </w:t>
      </w:r>
    </w:p>
    <w:p w14:paraId="2BD732D3" w14:textId="77777777" w:rsidR="000F62F9" w:rsidRPr="00C0198E" w:rsidRDefault="008E2A59" w:rsidP="00F779F9">
      <w:pPr>
        <w:tabs>
          <w:tab w:val="right" w:pos="8640"/>
        </w:tabs>
        <w:spacing w:after="240"/>
        <w:ind w:firstLine="720"/>
      </w:pPr>
      <w:r w:rsidRPr="00C0198E">
        <w:lastRenderedPageBreak/>
        <w:tab/>
        <w:t xml:space="preserve">To the extent that </w:t>
      </w:r>
      <w:proofErr w:type="spellStart"/>
      <w:r w:rsidRPr="00C0198E">
        <w:rPr>
          <w:i/>
        </w:rPr>
        <w:t>Oliva</w:t>
      </w:r>
      <w:proofErr w:type="spellEnd"/>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summer 2014, no other circuits had adopted such a requirement for Section 1981 claims.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 xml:space="preserve">(Thomas, J., joined by Rehnquist, C.J., &amp; Scalia &amp; Kennedy, </w:t>
      </w:r>
      <w:proofErr w:type="gramStart"/>
      <w:r w:rsidR="003A6D7A" w:rsidRPr="00C0198E">
        <w:t>JJ.,</w:t>
      </w:r>
      <w:proofErr w:type="gramEnd"/>
      <w:r w:rsidR="003A6D7A" w:rsidRPr="00C0198E">
        <w:t xml:space="preserve"> dissenting)</w:t>
      </w:r>
      <w:r w:rsidRPr="00C0198E">
        <w:t xml:space="preserve">).  The </w:t>
      </w:r>
      <w:r w:rsidRPr="00C0198E">
        <w:rPr>
          <w:i/>
        </w:rPr>
        <w:t xml:space="preserve">CBOCS </w:t>
      </w:r>
      <w:r w:rsidRPr="00C0198E">
        <w:t>majority did not explicitly respond to this facet of the dissenters’ argument.</w:t>
      </w:r>
    </w:p>
    <w:p w14:paraId="79C59B98" w14:textId="77777777" w:rsidR="0029440C" w:rsidRPr="00C0198E" w:rsidRDefault="0029440C" w:rsidP="009C0DEC">
      <w:pPr>
        <w:numPr>
          <w:ilvl w:val="12"/>
          <w:numId w:val="0"/>
        </w:numPr>
        <w:spacing w:after="240"/>
        <w:ind w:firstLine="720"/>
      </w:pPr>
      <w:proofErr w:type="spellStart"/>
      <w:r w:rsidRPr="00C0198E">
        <w:rPr>
          <w:i/>
        </w:rPr>
        <w:t>Oliva</w:t>
      </w:r>
      <w:r w:rsidRPr="00C0198E">
        <w:t>’s</w:t>
      </w:r>
      <w:proofErr w:type="spellEnd"/>
      <w:r w:rsidRPr="00C0198E">
        <w:t xml:space="preserve">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2CEF1958" w14:textId="77777777" w:rsidR="0029440C" w:rsidRPr="00C0198E" w:rsidRDefault="0029440C" w:rsidP="009C0DEC">
      <w:pPr>
        <w:numPr>
          <w:ilvl w:val="12"/>
          <w:numId w:val="0"/>
        </w:numPr>
        <w:spacing w:after="240"/>
        <w:ind w:left="1440" w:right="720" w:firstLine="720"/>
      </w:pPr>
    </w:p>
    <w:p w14:paraId="6BAC19DC" w14:textId="77777777" w:rsidR="00B83D63" w:rsidRPr="00C0198E" w:rsidRDefault="0029440C" w:rsidP="00B57185">
      <w:pPr>
        <w:tabs>
          <w:tab w:val="right" w:pos="8640"/>
        </w:tabs>
        <w:spacing w:after="240"/>
        <w:ind w:firstLine="720"/>
      </w:pPr>
      <w:r w:rsidRPr="00C0198E">
        <w:lastRenderedPageBreak/>
        <w:tab/>
        <w:t xml:space="preserve">Without attempting to resolve the issue, the Committee wishes to ensure that users of these instructions are aware of the language in </w:t>
      </w:r>
      <w:proofErr w:type="spellStart"/>
      <w:r w:rsidRPr="00C0198E">
        <w:rPr>
          <w:i/>
        </w:rPr>
        <w:t>Oliva</w:t>
      </w:r>
      <w:proofErr w:type="spellEnd"/>
      <w:r w:rsidRPr="00C0198E">
        <w:t xml:space="preserve"> indicating that Section 1981 retaliation claims require proof of an underlying violation.  In </w:t>
      </w:r>
      <w:r w:rsidRPr="00C0198E">
        <w:rPr>
          <w:i/>
        </w:rPr>
        <w:t>Ellis v. Budget Maintenance, Inc.</w:t>
      </w:r>
      <w:r w:rsidRPr="00C0198E">
        <w:t xml:space="preserve">, --- F. Supp. 2d ----, No. 13-2096, 2014 WL 2616829 (E.D. Pa. June 12, 2014), the district court held that </w:t>
      </w:r>
      <w:proofErr w:type="spellStart"/>
      <w:r w:rsidRPr="00C0198E">
        <w:rPr>
          <w:i/>
        </w:rPr>
        <w:t>Oliva</w:t>
      </w:r>
      <w:proofErr w:type="spellEnd"/>
      <w:r w:rsidRPr="00C0198E">
        <w:t xml:space="preserve"> requires such proof; as of fall 2014, an appeal from the judgment in </w:t>
      </w:r>
      <w:r w:rsidRPr="00C0198E">
        <w:rPr>
          <w:i/>
        </w:rPr>
        <w:t>Ellis</w:t>
      </w:r>
      <w:r w:rsidRPr="00C0198E">
        <w:t xml:space="preserve"> was pending in the court of appeals.</w:t>
      </w:r>
    </w:p>
    <w:p w14:paraId="44690568" w14:textId="77777777"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proofErr w:type="spellStart"/>
      <w:r w:rsidRPr="00C0198E">
        <w:rPr>
          <w:i/>
          <w:color w:val="000000"/>
        </w:rPr>
        <w:t>Glanzman</w:t>
      </w:r>
      <w:proofErr w:type="spellEnd"/>
      <w:r w:rsidRPr="00C0198E">
        <w:rPr>
          <w:i/>
          <w:color w:val="000000"/>
        </w:rPr>
        <w:t xml:space="preserve"> v. Metropolitan Management Corp., </w:t>
      </w:r>
      <w:r w:rsidRPr="00C0198E">
        <w:rPr>
          <w:color w:val="000000"/>
        </w:rPr>
        <w:t>391 F.3d 506 (3d Cir. 2004)  (if plaintiff were fired for being a possible witness in an employment discrimination action, this would be unlawful retaliation) (ADEA);</w:t>
      </w:r>
      <w:r w:rsidRPr="00C0198E">
        <w:rPr>
          <w:i/>
          <w:color w:val="000000"/>
        </w:rPr>
        <w:t xml:space="preserve"> 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w:t>
      </w:r>
      <w:proofErr w:type="spellStart"/>
      <w:r w:rsidRPr="00C0198E">
        <w:rPr>
          <w:color w:val="000000"/>
        </w:rPr>
        <w:t>S.Ct</w:t>
      </w:r>
      <w:proofErr w:type="spellEnd"/>
      <w:r w:rsidRPr="00C0198E">
        <w:rPr>
          <w:color w:val="000000"/>
        </w:rPr>
        <w:t xml:space="preserve">. 2405 (2006); </w:t>
      </w:r>
      <w:proofErr w:type="spellStart"/>
      <w:r w:rsidRPr="00C0198E">
        <w:rPr>
          <w:i/>
          <w:color w:val="000000"/>
        </w:rPr>
        <w:t>Kachmar</w:t>
      </w:r>
      <w:proofErr w:type="spellEnd"/>
      <w:r w:rsidRPr="00C0198E">
        <w:rPr>
          <w:i/>
          <w:color w:val="000000"/>
        </w:rPr>
        <w:t xml:space="preserve"> v. </w:t>
      </w:r>
      <w:proofErr w:type="spellStart"/>
      <w:r w:rsidRPr="00C0198E">
        <w:rPr>
          <w:i/>
          <w:color w:val="000000"/>
        </w:rPr>
        <w:t>Sungard</w:t>
      </w:r>
      <w:proofErr w:type="spellEnd"/>
      <w:r w:rsidRPr="00C0198E">
        <w:rPr>
          <w:i/>
          <w:color w:val="000000"/>
        </w:rPr>
        <w:t xml:space="preserve"> Data Sys., Inc., </w:t>
      </w:r>
      <w:r w:rsidRPr="00C0198E">
        <w:rPr>
          <w:color w:val="000000"/>
        </w:rPr>
        <w:t>109 F.3d 173, 177 (3</w:t>
      </w:r>
      <w:r w:rsidRPr="00C0198E">
        <w:rPr>
          <w:color w:val="000000"/>
          <w:vertAlign w:val="superscript"/>
        </w:rPr>
        <w:t>rd</w:t>
      </w:r>
      <w:r w:rsidRPr="00C0198E">
        <w:rPr>
          <w:color w:val="000000"/>
        </w:rPr>
        <w:t xml:space="preserve"> Cir. 1997) (advocating equal treatment was protected activity); </w:t>
      </w:r>
      <w:proofErr w:type="spellStart"/>
      <w:r w:rsidRPr="00C0198E">
        <w:rPr>
          <w:i/>
          <w:color w:val="000000"/>
        </w:rPr>
        <w:t>Aman</w:t>
      </w:r>
      <w:proofErr w:type="spellEnd"/>
      <w:r w:rsidRPr="00C0198E">
        <w:rPr>
          <w:i/>
          <w:color w:val="000000"/>
        </w:rPr>
        <w:t xml:space="preserve"> v. </w:t>
      </w:r>
      <w:proofErr w:type="spellStart"/>
      <w:r w:rsidRPr="00C0198E">
        <w:rPr>
          <w:i/>
          <w:color w:val="000000"/>
        </w:rPr>
        <w:t>Cort</w:t>
      </w:r>
      <w:proofErr w:type="spellEnd"/>
      <w:r w:rsidRPr="00C0198E">
        <w:rPr>
          <w:i/>
          <w:color w:val="000000"/>
        </w:rPr>
        <w:t xml:space="preserve">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proofErr w:type="spellStart"/>
      <w:r w:rsidRPr="00C0198E">
        <w:rPr>
          <w:i/>
        </w:rPr>
        <w:t>Oliva</w:t>
      </w:r>
      <w:r w:rsidRPr="00C0198E">
        <w:t>’s</w:t>
      </w:r>
      <w:proofErr w:type="spellEnd"/>
      <w:r w:rsidRPr="00C0198E">
        <w:t xml:space="preserve"> </w:t>
      </w:r>
      <w:r w:rsidRPr="00C0198E">
        <w:lastRenderedPageBreak/>
        <w:t>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21540D5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Instruction 6.1.6 requires the plaintiff to show that the plaintiff’s protected activity had a determinative effect on the allegedly retaliatory activity.  This is the standard typically used in Section 1981 pretext cases outside the context of retaliation.  See Instruction 6.1.2; </w:t>
      </w:r>
      <w:r w:rsidRPr="00C0198E">
        <w:rPr>
          <w:i/>
          <w:color w:val="000000"/>
        </w:rPr>
        <w:t>see also</w:t>
      </w:r>
      <w:r w:rsidRPr="00C0198E">
        <w:rPr>
          <w:color w:val="000000"/>
        </w:rPr>
        <w:t xml:space="preserve"> </w:t>
      </w:r>
      <w:r w:rsidRPr="00C0198E">
        <w:rPr>
          <w:i/>
          <w:color w:val="000000"/>
        </w:rPr>
        <w:t xml:space="preserve">Estate of </w:t>
      </w:r>
      <w:proofErr w:type="spellStart"/>
      <w:r w:rsidRPr="00C0198E">
        <w:rPr>
          <w:i/>
          <w:color w:val="000000"/>
        </w:rPr>
        <w:t>Oliva</w:t>
      </w:r>
      <w:proofErr w:type="spellEnd"/>
      <w:r w:rsidRPr="00C0198E">
        <w:rPr>
          <w:i/>
          <w:color w:val="000000"/>
        </w:rPr>
        <w:t xml:space="preserve"> </w:t>
      </w:r>
      <w:r w:rsidRPr="00C0198E">
        <w:rPr>
          <w:color w:val="000000"/>
        </w:rPr>
        <w:t xml:space="preserve">ex rel. </w:t>
      </w:r>
      <w:r w:rsidRPr="00C0198E">
        <w:rPr>
          <w:i/>
          <w:color w:val="000000"/>
        </w:rPr>
        <w:t>McHugh v. New Jersey</w:t>
      </w:r>
      <w:r w:rsidRPr="00C0198E">
        <w:rPr>
          <w:color w:val="000000"/>
        </w:rPr>
        <w:t xml:space="preserve">, </w:t>
      </w:r>
      <w:r w:rsidR="000F62F9" w:rsidRPr="00C0198E">
        <w:t>604 F.3d 788, 798</w:t>
      </w:r>
      <w:r w:rsidRPr="00C0198E">
        <w:rPr>
          <w:color w:val="000000"/>
        </w:rPr>
        <w:t xml:space="preserve"> (3d Cir. 2010) (applying the pretext framework to Section 1981 retaliation claims).  It appears that Section 1981 cases that do not involve retaliation can alternatively proceed on a mixed-motive theory subject to a same-decision affirmative defense.  See Comment 6.1.1.  In the absence of precedential opinions from the court of appeals addressing the question, it is difficult to predict whether such a mixed-motive framework would be available for Section 1981 retaliation claims.  </w:t>
      </w:r>
      <w:r w:rsidRPr="00C0198E">
        <w:rPr>
          <w:i/>
          <w:color w:val="000000"/>
        </w:rPr>
        <w:t>Compare Solomon v. Philadelphia Newspapers, Inc.</w:t>
      </w:r>
      <w:r w:rsidRPr="00C0198E">
        <w:rPr>
          <w:color w:val="000000"/>
        </w:rPr>
        <w:t xml:space="preserve">, 2009 WL 215340, at *2 (3d Cir. 2009) (unpublished opinion) (Section 1981 retaliation claim requires proof that retaliatory animus had a determinative effect), </w:t>
      </w:r>
      <w:r w:rsidRPr="00C0198E">
        <w:rPr>
          <w:i/>
          <w:color w:val="000000"/>
        </w:rPr>
        <w:t>with Evans v. Port Authority Trans-Hudson Corp.</w:t>
      </w:r>
      <w:r w:rsidRPr="00C0198E">
        <w:rPr>
          <w:color w:val="000000"/>
        </w:rPr>
        <w:t xml:space="preserve">, 2006 WL 408391, 5 (3d Cir. 2006) (unpublished opinion) (“Among the elements that a plaintiff must establish in order to prevail on a retaliation claim under § 1981 is that the protected activity was a substantial or motivating factor in the alleged retaliatory action.” (Internal quotation marks omitted.)).  </w:t>
      </w:r>
      <w:r w:rsidR="000F62F9" w:rsidRPr="00C0198E">
        <w:t xml:space="preserve">More recently, in </w:t>
      </w:r>
      <w:r w:rsidR="000F62F9" w:rsidRPr="00C0198E">
        <w:rPr>
          <w:i/>
          <w:iCs/>
        </w:rPr>
        <w:t xml:space="preserve">University of Texas Southwestern Medical Center v. </w:t>
      </w:r>
      <w:proofErr w:type="spellStart"/>
      <w:r w:rsidR="000F62F9" w:rsidRPr="00C0198E">
        <w:rPr>
          <w:i/>
          <w:iCs/>
        </w:rPr>
        <w:t>Nassar</w:t>
      </w:r>
      <w:proofErr w:type="spellEnd"/>
      <w:r w:rsidR="000F62F9" w:rsidRPr="00C0198E">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0F62F9" w:rsidRPr="00C0198E">
        <w:rPr>
          <w:i/>
          <w:iCs/>
        </w:rPr>
        <w:t xml:space="preserve">see </w:t>
      </w:r>
      <w:proofErr w:type="spellStart"/>
      <w:r w:rsidR="000F62F9" w:rsidRPr="00C0198E">
        <w:rPr>
          <w:i/>
          <w:iCs/>
        </w:rPr>
        <w:t>Nassar</w:t>
      </w:r>
      <w:proofErr w:type="spellEnd"/>
      <w:r w:rsidR="000F62F9" w:rsidRPr="00C0198E">
        <w:t xml:space="preserve">, 133 S. Ct. at 2530 (“Unlike Title IX, § 1981, § 1982, and the federal-sector provisions of the ADEA, Title VII is a detailed statutory scheme.”), and the Committee has not attempted to predict whether </w:t>
      </w:r>
      <w:proofErr w:type="spellStart"/>
      <w:r w:rsidR="000F62F9" w:rsidRPr="00C0198E">
        <w:rPr>
          <w:i/>
          <w:iCs/>
        </w:rPr>
        <w:t>Nassar</w:t>
      </w:r>
      <w:proofErr w:type="spellEnd"/>
      <w:r w:rsidR="000F62F9" w:rsidRPr="00C0198E">
        <w:rPr>
          <w:i/>
          <w:iCs/>
        </w:rPr>
        <w:t xml:space="preserve"> </w:t>
      </w:r>
      <w:r w:rsidR="000F62F9" w:rsidRPr="00C0198E">
        <w:t>forecloses the use of a mixed-motive test for Section 1981 retaliation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C0198E">
        <w:rPr>
          <w:color w:val="000000"/>
        </w:rPr>
        <w:t>citations</w:t>
      </w:r>
      <w:proofErr w:type="gramEnd"/>
      <w:r w:rsidRPr="00C0198E">
        <w:rPr>
          <w:color w:val="000000"/>
        </w:rPr>
        <w:t xml:space="preserve">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w:t>
      </w:r>
      <w:r w:rsidRPr="00C0198E">
        <w:rPr>
          <w:color w:val="000000"/>
        </w:rPr>
        <w:lastRenderedPageBreak/>
        <w:t xml:space="preserve">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proofErr w:type="gramStart"/>
      <w:r w:rsidRPr="00C0198E">
        <w:rPr>
          <w:color w:val="000000"/>
        </w:rPr>
        <w:t>at</w:t>
      </w:r>
      <w:proofErr w:type="gramEnd"/>
      <w:r w:rsidRPr="00C0198E">
        <w:rPr>
          <w:color w:val="000000"/>
        </w:rPr>
        <w:t xml:space="preserve">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131 S. Ct. at 869 (analyzing language in 42 U.S.C. § 2000e-5(f</w:t>
      </w:r>
      <w:proofErr w:type="gramStart"/>
      <w:r w:rsidRPr="00C0198E">
        <w:rPr>
          <w:color w:val="000000"/>
        </w:rPr>
        <w:t>)(</w:t>
      </w:r>
      <w:proofErr w:type="gramEnd"/>
      <w:r w:rsidRPr="00C0198E">
        <w:rPr>
          <w:color w:val="000000"/>
        </w:rPr>
        <w:t xml:space="preserve">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8"/>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Section 1981 applies against employers acting under color of State law. See 42 U.S.C. § 1981(c). Where a government employee brings a claim of racial discrimination in employment</w:t>
      </w:r>
      <w:proofErr w:type="gramStart"/>
      <w:r w:rsidRPr="00C0198E">
        <w:rPr>
          <w:color w:val="000000"/>
        </w:rPr>
        <w:t>,  there</w:t>
      </w:r>
      <w:proofErr w:type="gramEnd"/>
      <w:r w:rsidRPr="00C0198E">
        <w:rPr>
          <w:color w:val="000000"/>
        </w:rPr>
        <w:t xml:space="preserve"> can be an overlap of Section 1981 and Section 1983 protections. </w:t>
      </w:r>
      <w:proofErr w:type="gramStart"/>
      <w:r w:rsidRPr="00C0198E">
        <w:rPr>
          <w:color w:val="000000"/>
        </w:rPr>
        <w:t xml:space="preserve">In </w:t>
      </w:r>
      <w:r w:rsidRPr="00C0198E">
        <w:rPr>
          <w:i/>
          <w:color w:val="000000"/>
        </w:rPr>
        <w:t xml:space="preserve">Jett v. Dallas </w:t>
      </w:r>
      <w:proofErr w:type="spellStart"/>
      <w:r w:rsidRPr="00C0198E">
        <w:rPr>
          <w:i/>
          <w:color w:val="000000"/>
        </w:rPr>
        <w:t>Indep</w:t>
      </w:r>
      <w:proofErr w:type="spellEnd"/>
      <w:r w:rsidRPr="00C0198E">
        <w:rPr>
          <w:i/>
          <w:color w:val="000000"/>
        </w:rPr>
        <w:t>.</w:t>
      </w:r>
      <w:proofErr w:type="gramEnd"/>
      <w:r w:rsidRPr="00C0198E">
        <w:rPr>
          <w:i/>
          <w:color w:val="000000"/>
        </w:rPr>
        <w:t xml:space="preserve">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w:t>
      </w:r>
      <w:proofErr w:type="spellStart"/>
      <w:r w:rsidRPr="00C0198E">
        <w:rPr>
          <w:color w:val="000000"/>
        </w:rPr>
        <w:t>ed</w:t>
      </w:r>
      <w:proofErr w:type="spellEnd"/>
      <w:r w:rsidRPr="00C0198E">
        <w:rPr>
          <w:color w:val="000000"/>
        </w:rPr>
        <w:t>] five of [its] sister circuits in holding that no implied private right of action exists against state actors under 42 U.S.C. § 1981.”</w:t>
      </w:r>
      <w:r w:rsidRPr="00C0198E">
        <w:rPr>
          <w:i/>
          <w:color w:val="000000"/>
        </w:rPr>
        <w:t xml:space="preserve">  </w:t>
      </w:r>
      <w:proofErr w:type="gramStart"/>
      <w:r w:rsidRPr="00C0198E">
        <w:rPr>
          <w:i/>
          <w:color w:val="000000"/>
        </w:rPr>
        <w:t>McGovern v. City of Philadelphia</w:t>
      </w:r>
      <w:r w:rsidRPr="00C0198E">
        <w:rPr>
          <w:color w:val="000000"/>
        </w:rPr>
        <w:t>, 554 F.3d 114, 122 (3d Cir. 2009).</w:t>
      </w:r>
      <w:proofErr w:type="gramEnd"/>
      <w:r w:rsidRPr="00C0198E">
        <w:rPr>
          <w:rStyle w:val="FootnoteReference"/>
          <w:color w:val="000000"/>
        </w:rPr>
        <w:footnoteReference w:id="13"/>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9"/>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w:t>
      </w:r>
      <w:proofErr w:type="spellStart"/>
      <w:r w:rsidRPr="00C0198E">
        <w:rPr>
          <w:i/>
          <w:color w:val="000000"/>
        </w:rPr>
        <w:t>Khazraji</w:t>
      </w:r>
      <w:proofErr w:type="spellEnd"/>
      <w:r w:rsidRPr="00C0198E">
        <w:rPr>
          <w:color w:val="000000"/>
        </w:rPr>
        <w:t>, 481 U.S. 604</w:t>
      </w:r>
      <w:proofErr w:type="gramStart"/>
      <w:r w:rsidRPr="00C0198E">
        <w:rPr>
          <w:color w:val="000000"/>
        </w:rPr>
        <w:t>,  609</w:t>
      </w:r>
      <w:proofErr w:type="gramEnd"/>
      <w:r w:rsidRPr="00C0198E">
        <w:rPr>
          <w:color w:val="000000"/>
        </w:rPr>
        <w:t>-10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t>
      </w:r>
      <w:proofErr w:type="gramStart"/>
      <w:r w:rsidRPr="00C0198E">
        <w:rPr>
          <w:color w:val="000000"/>
        </w:rPr>
        <w:t>Webster's Collegiate Dictionary 794 (3d ed. 1916).</w:t>
      </w:r>
      <w:proofErr w:type="gramEnd"/>
      <w:r w:rsidRPr="00C0198E">
        <w:rPr>
          <w:color w:val="000000"/>
        </w:rPr>
        <w:t xml:space="preserve"> Even so, modern dictionaries still include among the definitions of race "a family, tribe, people, or </w:t>
      </w:r>
      <w:proofErr w:type="gramStart"/>
      <w:r w:rsidRPr="00C0198E">
        <w:rPr>
          <w:color w:val="000000"/>
        </w:rPr>
        <w:t>nation belonging</w:t>
      </w:r>
      <w:proofErr w:type="gramEnd"/>
      <w:r w:rsidRPr="00C0198E">
        <w:rPr>
          <w:color w:val="000000"/>
        </w:rPr>
        <w:t xml:space="preserve"> to the same stock." </w:t>
      </w:r>
      <w:proofErr w:type="gramStart"/>
      <w:r w:rsidRPr="00C0198E">
        <w:rPr>
          <w:color w:val="000000"/>
        </w:rPr>
        <w:t>Webster's Third New International Dictionary 1870 (1971); Webster's Ninth New Collegiate Dictionary 969 (1986).</w:t>
      </w:r>
      <w:proofErr w:type="gramEnd"/>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w:t>
      </w:r>
      <w:proofErr w:type="spellStart"/>
      <w:r w:rsidRPr="00C0198E">
        <w:rPr>
          <w:color w:val="000000"/>
        </w:rPr>
        <w:t>Cyclopaedia</w:t>
      </w:r>
      <w:proofErr w:type="spellEnd"/>
      <w:r w:rsidRPr="00C0198E">
        <w:rPr>
          <w:color w:val="000000"/>
        </w:rPr>
        <w:t xml:space="preserve">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6" w:name="1100-612"/>
      <w:bookmarkEnd w:id="16"/>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w:t>
      </w:r>
      <w:proofErr w:type="gramStart"/>
      <w:r w:rsidRPr="00C0198E">
        <w:rPr>
          <w:color w:val="000000"/>
        </w:rPr>
        <w:t>ibid.,</w:t>
      </w:r>
      <w:proofErr w:type="gramEnd"/>
      <w:r w:rsidRPr="00C0198E">
        <w:rPr>
          <w:color w:val="000000"/>
        </w:rPr>
        <w:t xml:space="preserve"> Mexicans, see ibid. (remarks of Rep. Dawson), blacks, passim, and Mongolians, id., at 498 (remarks of Sen. Cowan), were similarly categorized. Gypsies were referred to as a race. Ibid. (remarks of Sen. Cowan). </w:t>
      </w:r>
      <w:proofErr w:type="gramStart"/>
      <w:r w:rsidRPr="00C0198E">
        <w:rPr>
          <w:color w:val="000000"/>
        </w:rPr>
        <w:t>Likewise, the Germans.</w:t>
      </w:r>
      <w:proofErr w:type="gramEnd"/>
      <w:r w:rsidRPr="00C0198E">
        <w:rPr>
          <w:color w:val="000000"/>
        </w:rPr>
        <w:t xml:space="preserve">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7" w:name="refpt_LEDHNL6A"/>
      <w:bookmarkEnd w:id="17"/>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w:t>
      </w:r>
      <w:proofErr w:type="spellStart"/>
      <w:r w:rsidRPr="00C0198E">
        <w:t>physiognomically</w:t>
      </w:r>
      <w:proofErr w:type="spellEnd"/>
      <w:r w:rsidRPr="00C0198E">
        <w:t xml:space="preserve">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20"/>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proofErr w:type="spellStart"/>
      <w:r w:rsidRPr="00C0198E">
        <w:t>Bennun</w:t>
      </w:r>
      <w:proofErr w:type="spellEnd"/>
      <w:r w:rsidRPr="00C0198E">
        <w:t xml:space="preserve"> v. Rutgers State Univ., 941 F.2d 154, 172 (3d Cir. 1991) ("Section 1981 does not mention national origin"); King v. Township of E. </w:t>
      </w:r>
      <w:proofErr w:type="spellStart"/>
      <w:r w:rsidRPr="00C0198E">
        <w:t>Lampeter</w:t>
      </w:r>
      <w:proofErr w:type="spellEnd"/>
      <w:r w:rsidRPr="00C0198E">
        <w:t xml:space="preserve">, 17 F. Supp. 2d 394, 417 (E.D. Pa. 1998) (holding that disparate treatment on the basis of national origin was not within the scope of Section 1981).  While the line between race and national origin may in some cases be vague, it must be </w:t>
      </w:r>
      <w:r w:rsidRPr="00C0198E">
        <w:lastRenderedPageBreak/>
        <w:t xml:space="preserve">remembered that the Court in St. Francis College intended that the term “race” be applied 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It is not enough that the work environment was generally harsh, unfriendly, unpleasant, crude or vulgar to all employees. In order to find a hostile work environment, you must find that [plaintiff] was harassed because of [race]. The harassing conduct may, but need not be racially-</w:t>
      </w:r>
      <w:proofErr w:type="gramStart"/>
      <w:r w:rsidRPr="00C0198E">
        <w:t>based  in</w:t>
      </w:r>
      <w:proofErr w:type="gramEnd"/>
      <w:r w:rsidRPr="00C0198E">
        <w:t xml:space="preserve"> nature. Rather, its defining characteristic is that the harassment complained of was </w:t>
      </w:r>
      <w:r w:rsidRPr="00C0198E">
        <w:lastRenderedPageBreak/>
        <w:t>linked 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proofErr w:type="gramStart"/>
      <w:r w:rsidRPr="00C0198E">
        <w:rPr>
          <w:i/>
          <w:color w:val="000000"/>
        </w:rPr>
        <w:t xml:space="preserve">See, e.g., </w:t>
      </w:r>
      <w:proofErr w:type="spellStart"/>
      <w:r w:rsidRPr="00C0198E">
        <w:rPr>
          <w:i/>
          <w:color w:val="000000"/>
        </w:rPr>
        <w:t>Verdin</w:t>
      </w:r>
      <w:proofErr w:type="spellEnd"/>
      <w:r w:rsidRPr="00C0198E">
        <w:rPr>
          <w:i/>
          <w:color w:val="000000"/>
        </w:rPr>
        <w:t xml:space="preserve"> v. Weeks Marine Inc</w:t>
      </w:r>
      <w:r w:rsidRPr="00C0198E">
        <w:rPr>
          <w:color w:val="000000"/>
        </w:rPr>
        <w:t xml:space="preserve">., 124 </w:t>
      </w:r>
      <w:proofErr w:type="spellStart"/>
      <w:r w:rsidRPr="00C0198E">
        <w:rPr>
          <w:color w:val="000000"/>
        </w:rPr>
        <w:t>Fed.Appx</w:t>
      </w:r>
      <w:proofErr w:type="spellEnd"/>
      <w:r w:rsidRPr="00C0198E">
        <w:rPr>
          <w:color w:val="000000"/>
        </w:rPr>
        <w:t>.</w:t>
      </w:r>
      <w:proofErr w:type="gramEnd"/>
      <w:r w:rsidRPr="00C0198E">
        <w:rPr>
          <w:color w:val="000000"/>
        </w:rPr>
        <w:t xml:space="preserve"> 92, 94 (3d Cir. 2005) (“Regarding </w:t>
      </w:r>
      <w:proofErr w:type="spellStart"/>
      <w:r w:rsidRPr="00C0198E">
        <w:rPr>
          <w:color w:val="000000"/>
        </w:rPr>
        <w:t>Verdin's</w:t>
      </w:r>
      <w:proofErr w:type="spellEnd"/>
      <w:r w:rsidRPr="00C0198E">
        <w:rPr>
          <w:color w:val="000000"/>
        </w:rPr>
        <w:t xml:space="preserve"> hostile work environment claim, the same standard used under Title VII applies under Section 1981.”);  </w:t>
      </w:r>
      <w:proofErr w:type="spellStart"/>
      <w:r w:rsidRPr="00C0198E">
        <w:rPr>
          <w:i/>
          <w:color w:val="000000"/>
        </w:rPr>
        <w:t>Ocasio</w:t>
      </w:r>
      <w:proofErr w:type="spellEnd"/>
      <w:r w:rsidRPr="00C0198E">
        <w:rPr>
          <w:i/>
          <w:color w:val="000000"/>
        </w:rPr>
        <w:t xml:space="preserve">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21"/>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6.1.3 (with respect to the instruction’s sixth element).   Assuming that the Title VII framework concerning employer liability for harassment applies to Section 1981 actions, the employer’s ability to assert an </w:t>
      </w:r>
      <w:proofErr w:type="spellStart"/>
      <w:r w:rsidRPr="00C0198E">
        <w:rPr>
          <w:i/>
          <w:color w:val="000000"/>
        </w:rPr>
        <w:t>Ellerth</w:t>
      </w:r>
      <w:proofErr w:type="spellEnd"/>
      <w:r w:rsidRPr="00C0198E">
        <w:rPr>
          <w:i/>
          <w:color w:val="000000"/>
        </w:rPr>
        <w:t xml:space="preserve"> / </w:t>
      </w:r>
      <w:proofErr w:type="spellStart"/>
      <w:r w:rsidRPr="00C0198E">
        <w:rPr>
          <w:i/>
          <w:color w:val="000000"/>
        </w:rPr>
        <w:t>Faragher</w:t>
      </w:r>
      <w:proofErr w:type="spellEnd"/>
      <w:r w:rsidRPr="00C0198E">
        <w:rPr>
          <w:i/>
          <w:color w:val="000000"/>
        </w:rPr>
        <w:t xml:space="preserve">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 xml:space="preserve">See Pennsylvania State Police v. </w:t>
      </w:r>
      <w:proofErr w:type="spellStart"/>
      <w:r w:rsidRPr="00C0198E">
        <w:rPr>
          <w:i/>
          <w:color w:val="000000"/>
        </w:rPr>
        <w:t>Suders</w:t>
      </w:r>
      <w:proofErr w:type="spellEnd"/>
      <w:r w:rsidRPr="00C0198E">
        <w:rPr>
          <w:color w:val="000000"/>
        </w:rPr>
        <w:t xml:space="preserve">, 542 U.S. 129, 140-41 (2004) (“[A]n employer does not have recourse to the </w:t>
      </w:r>
      <w:proofErr w:type="spellStart"/>
      <w:r w:rsidRPr="00C0198E">
        <w:rPr>
          <w:color w:val="000000"/>
        </w:rPr>
        <w:t>Ellerth</w:t>
      </w:r>
      <w:proofErr w:type="spellEnd"/>
      <w:r w:rsidRPr="00C0198E">
        <w:rPr>
          <w:color w:val="000000"/>
        </w:rPr>
        <w:t xml:space="preserve">/ </w:t>
      </w:r>
      <w:proofErr w:type="spellStart"/>
      <w:r w:rsidRPr="00C0198E">
        <w:rPr>
          <w:color w:val="000000"/>
        </w:rPr>
        <w:t>Faragher</w:t>
      </w:r>
      <w:proofErr w:type="spellEnd"/>
      <w:r w:rsidRPr="00C0198E">
        <w:rPr>
          <w:color w:val="000000"/>
        </w:rPr>
        <w:t xml:space="preserve">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6.3.1   Section </w:t>
      </w:r>
      <w:proofErr w:type="gramStart"/>
      <w:r w:rsidRPr="00C0198E">
        <w:rPr>
          <w:b/>
          <w:color w:val="000000"/>
          <w:sz w:val="28"/>
        </w:rPr>
        <w:t>1981  Defenses</w:t>
      </w:r>
      <w:proofErr w:type="gramEnd"/>
      <w:r w:rsidRPr="00C0198E">
        <w:rPr>
          <w:b/>
          <w:color w:val="000000"/>
          <w:sz w:val="28"/>
        </w:rPr>
        <w:t xml:space="preserve">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3"/>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There is no BFOQ defense in racial discrimination cases. 42 U.S.C.A. § 2000e-2(e</w:t>
      </w:r>
      <w:proofErr w:type="gramStart"/>
      <w:r w:rsidRPr="00C0198E">
        <w:rPr>
          <w:color w:val="000000"/>
        </w:rPr>
        <w:t>)(</w:t>
      </w:r>
      <w:proofErr w:type="gramEnd"/>
      <w:r w:rsidRPr="00C0198E">
        <w:rPr>
          <w:color w:val="000000"/>
        </w:rPr>
        <w:t xml:space="preserve">1). </w:t>
      </w:r>
      <w:r w:rsidRPr="00C0198E">
        <w:rPr>
          <w:i/>
          <w:color w:val="000000"/>
        </w:rPr>
        <w:t>See</w:t>
      </w:r>
      <w:r w:rsidRPr="00C0198E">
        <w:rPr>
          <w:color w:val="000000"/>
        </w:rPr>
        <w:t xml:space="preserve"> </w:t>
      </w:r>
      <w:proofErr w:type="spellStart"/>
      <w:r w:rsidRPr="00C0198E">
        <w:rPr>
          <w:i/>
          <w:color w:val="000000"/>
        </w:rPr>
        <w:t>Ferrill</w:t>
      </w:r>
      <w:proofErr w:type="spellEnd"/>
      <w:r w:rsidRPr="00C0198E">
        <w:rPr>
          <w:i/>
          <w:color w:val="000000"/>
        </w:rPr>
        <w:t xml:space="preserve">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Title VII provides that “[n]</w:t>
      </w:r>
      <w:proofErr w:type="spellStart"/>
      <w:r w:rsidRPr="00C0198E">
        <w:rPr>
          <w:color w:val="000000"/>
        </w:rPr>
        <w:t>otwithstanding</w:t>
      </w:r>
      <w:proofErr w:type="spellEnd"/>
      <w:r w:rsidRPr="00C0198E">
        <w:rPr>
          <w:color w:val="000000"/>
        </w:rPr>
        <w:t xml:space="preserve"> any other provision of this subchapter, it shall not be an unlawful employment practice for an employer to apply different standards of compensation, </w:t>
      </w:r>
      <w:bookmarkStart w:id="18" w:name="1100-905"/>
      <w:bookmarkEnd w:id="18"/>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w:t>
      </w:r>
      <w:proofErr w:type="gramStart"/>
      <w:r w:rsidRPr="00C0198E">
        <w:rPr>
          <w:color w:val="000000"/>
        </w:rPr>
        <w:t xml:space="preserve">In </w:t>
      </w:r>
      <w:proofErr w:type="spellStart"/>
      <w:r w:rsidRPr="00C0198E">
        <w:rPr>
          <w:i/>
          <w:color w:val="000000"/>
        </w:rPr>
        <w:t>Lorance</w:t>
      </w:r>
      <w:proofErr w:type="spellEnd"/>
      <w:r w:rsidRPr="00C0198E">
        <w:rPr>
          <w:i/>
          <w:color w:val="000000"/>
        </w:rPr>
        <w:t xml:space="preserve"> v. AT &amp; T Technologies, Inc</w:t>
      </w:r>
      <w:r w:rsidRPr="00C0198E">
        <w:rPr>
          <w:color w:val="000000"/>
        </w:rPr>
        <w:t xml:space="preserve">., 490 U.S. 900, 908-09 (1989), </w:t>
      </w:r>
      <w:r w:rsidRPr="00C0198E">
        <w:rPr>
          <w:i/>
          <w:color w:val="000000"/>
        </w:rPr>
        <w:t>superseded by statute on other grounds</w:t>
      </w:r>
      <w:r w:rsidRPr="00C0198E">
        <w:rPr>
          <w:color w:val="000000"/>
        </w:rPr>
        <w:t>, Pub.</w:t>
      </w:r>
      <w:proofErr w:type="gramEnd"/>
      <w:r w:rsidRPr="00C0198E">
        <w:rPr>
          <w:color w:val="000000"/>
        </w:rPr>
        <w:t xml:space="preserve">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proofErr w:type="spellStart"/>
      <w:r w:rsidRPr="00C0198E">
        <w:rPr>
          <w:i/>
          <w:color w:val="000000"/>
        </w:rPr>
        <w:t>Gunby</w:t>
      </w:r>
      <w:proofErr w:type="spellEnd"/>
      <w:r w:rsidRPr="00C0198E">
        <w:rPr>
          <w:i/>
          <w:color w:val="000000"/>
        </w:rPr>
        <w:t xml:space="preserve"> v. Pennsylvania Electric Co., </w:t>
      </w:r>
      <w:proofErr w:type="gramStart"/>
      <w:r w:rsidRPr="00C0198E">
        <w:rPr>
          <w:color w:val="000000"/>
        </w:rPr>
        <w:t>840 F.2d 1108</w:t>
      </w:r>
      <w:proofErr w:type="gramEnd"/>
      <w:r w:rsidRPr="00C0198E">
        <w:rPr>
          <w:color w:val="000000"/>
        </w:rPr>
        <w:t xml:space="preserve">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C0198E">
        <w:rPr>
          <w:color w:val="000000"/>
        </w:rPr>
        <w:t>or</w:t>
      </w:r>
      <w:proofErr w:type="spellEnd"/>
      <w:r w:rsidRPr="00C0198E">
        <w:rPr>
          <w:color w:val="000000"/>
        </w:rPr>
        <w:t xml:space="preserve">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w:t>
      </w:r>
      <w:proofErr w:type="gramStart"/>
      <w:r w:rsidRPr="00C0198E">
        <w:rPr>
          <w:color w:val="000000"/>
        </w:rPr>
        <w:t>or</w:t>
      </w:r>
      <w:proofErr w:type="gramEnd"/>
      <w:r w:rsidRPr="00C0198E">
        <w:rPr>
          <w:color w:val="000000"/>
        </w:rPr>
        <w:t xml:space="preserve">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any pain, suffering, inconvenience</w:t>
      </w:r>
      <w:proofErr w:type="gramStart"/>
      <w:r w:rsidRPr="00C0198E">
        <w:rPr>
          <w:color w:val="000000"/>
        </w:rPr>
        <w:t>,  mental</w:t>
      </w:r>
      <w:proofErr w:type="gramEnd"/>
      <w:r w:rsidRPr="00C0198E">
        <w:rPr>
          <w:color w:val="000000"/>
        </w:rPr>
        <w:t xml:space="preserve">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w:t>
      </w:r>
      <w:r w:rsidRPr="00C0198E">
        <w:rPr>
          <w:color w:val="000000"/>
        </w:rPr>
        <w:lastRenderedPageBreak/>
        <w:t>fixing the compensation to be awarded for these elements of damage. Any award you make should be 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w:t>
      </w:r>
      <w:proofErr w:type="gramStart"/>
      <w:r w:rsidRPr="00C0198E">
        <w:rPr>
          <w:color w:val="000000"/>
        </w:rPr>
        <w:t>of  “</w:t>
      </w:r>
      <w:proofErr w:type="gramEnd"/>
      <w:r w:rsidRPr="00C0198E">
        <w:rPr>
          <w:color w:val="000000"/>
        </w:rPr>
        <w:t xml:space="preserve">back pay” and “front pay” is for the court.] [“Back pay” and “front pay” are to be awarded separately under instructions that I will soon give you, and any amounts for “back </w:t>
      </w:r>
      <w:proofErr w:type="spellStart"/>
      <w:r w:rsidRPr="00C0198E">
        <w:rPr>
          <w:color w:val="000000"/>
        </w:rPr>
        <w:t>pay”and</w:t>
      </w:r>
      <w:proofErr w:type="spellEnd"/>
      <w:r w:rsidRPr="00C0198E">
        <w:rPr>
          <w:color w:val="000000"/>
        </w:rPr>
        <w:t xml:space="preserve">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C0198E">
        <w:rPr>
          <w:color w:val="000000"/>
        </w:rPr>
        <w:t>defendant’s</w:t>
      </w:r>
      <w:proofErr w:type="gramEnd"/>
      <w:r w:rsidRPr="00C0198E">
        <w:rPr>
          <w:color w:val="000000"/>
        </w:rPr>
        <w:t>]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w:t>
      </w:r>
      <w:proofErr w:type="spellStart"/>
      <w:r w:rsidRPr="00C0198E">
        <w:rPr>
          <w:i/>
          <w:color w:val="000000"/>
        </w:rPr>
        <w:t>Gunby</w:t>
      </w:r>
      <w:proofErr w:type="spellEnd"/>
      <w:r w:rsidRPr="00C0198E">
        <w:rPr>
          <w:i/>
          <w:color w:val="000000"/>
        </w:rPr>
        <w:t xml:space="preserve">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w:t>
      </w:r>
      <w:proofErr w:type="spellStart"/>
      <w:proofErr w:type="gramStart"/>
      <w:r w:rsidRPr="00C0198E">
        <w:rPr>
          <w:i/>
          <w:color w:val="000000"/>
        </w:rPr>
        <w:t>Laskaris</w:t>
      </w:r>
      <w:proofErr w:type="spellEnd"/>
      <w:r w:rsidRPr="00C0198E">
        <w:rPr>
          <w:i/>
          <w:color w:val="000000"/>
        </w:rPr>
        <w:t xml:space="preserve"> v. Thornburgh</w:t>
      </w:r>
      <w:r w:rsidRPr="00C0198E">
        <w:rPr>
          <w:color w:val="000000"/>
        </w:rPr>
        <w:t>, 733 F.2d 260, 263 (3d Cir. 1984).</w:t>
      </w:r>
      <w:proofErr w:type="gramEnd"/>
      <w:r w:rsidRPr="00C0198E">
        <w:rPr>
          <w:color w:val="000000"/>
        </w:rPr>
        <w:t xml:space="preserve">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5"/>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C0198E">
        <w:rPr>
          <w:i/>
          <w:color w:val="000000"/>
        </w:rPr>
        <w:t>Id.</w:t>
      </w:r>
      <w:r w:rsidRPr="00C0198E">
        <w:rPr>
          <w:color w:val="000000"/>
        </w:rPr>
        <w:t xml:space="preserve"> at 656-57.</w:t>
      </w:r>
      <w:proofErr w:type="gramEnd"/>
      <w:r w:rsidRPr="00C0198E">
        <w:rPr>
          <w:color w:val="000000"/>
        </w:rPr>
        <w:t xml:space="preserve">  The Court of Appeals held that the plaintiff had not properly objected to the instruction, and, reviewing for plain error, found none: “We need not and do not decide now whether a district court commits error </w:t>
      </w:r>
      <w:proofErr w:type="gramStart"/>
      <w:r w:rsidRPr="00C0198E">
        <w:rPr>
          <w:color w:val="000000"/>
        </w:rPr>
        <w:t>by  informing</w:t>
      </w:r>
      <w:proofErr w:type="gramEnd"/>
      <w:r w:rsidRPr="00C0198E">
        <w:rPr>
          <w:color w:val="000000"/>
        </w:rPr>
        <w:t xml:space="preserve">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proofErr w:type="gramStart"/>
      <w:r w:rsidRPr="00C0198E">
        <w:rPr>
          <w:i/>
          <w:color w:val="000000"/>
        </w:rPr>
        <w:t>Id.</w:t>
      </w:r>
      <w:r w:rsidRPr="00C0198E">
        <w:rPr>
          <w:color w:val="000000"/>
        </w:rPr>
        <w:t xml:space="preserve"> at 657.</w:t>
      </w:r>
      <w:proofErr w:type="gramEnd"/>
      <w:r w:rsidRPr="00C0198E">
        <w:rPr>
          <w:color w:val="000000"/>
        </w:rPr>
        <w:t xml:space="preserve">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w:t>
      </w:r>
      <w:r w:rsidRPr="00C0198E">
        <w:rPr>
          <w:color w:val="000000"/>
        </w:rPr>
        <w:lastRenderedPageBreak/>
        <w:t xml:space="preserve">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w:t>
      </w:r>
      <w:proofErr w:type="gramStart"/>
      <w:r w:rsidRPr="00C0198E">
        <w:rPr>
          <w:color w:val="000000"/>
        </w:rPr>
        <w:t>at</w:t>
      </w:r>
      <w:proofErr w:type="gramEnd"/>
      <w:r w:rsidRPr="00C0198E">
        <w:rPr>
          <w:color w:val="000000"/>
        </w:rPr>
        <w:t xml:space="preserve">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w:t>
      </w:r>
      <w:proofErr w:type="gramStart"/>
      <w:r w:rsidRPr="00C0198E">
        <w:rPr>
          <w:color w:val="000000"/>
        </w:rPr>
        <w:t>plaintiff's</w:t>
      </w:r>
      <w:proofErr w:type="gramEnd"/>
      <w:r w:rsidRPr="00C0198E">
        <w:rPr>
          <w:color w:val="000000"/>
        </w:rPr>
        <w:t>]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w:t>
      </w:r>
      <w:proofErr w:type="gramStart"/>
      <w:r w:rsidRPr="00C0198E">
        <w:rPr>
          <w:color w:val="000000"/>
        </w:rPr>
        <w:t>plaintiff's</w:t>
      </w:r>
      <w:proofErr w:type="gramEnd"/>
      <w:r w:rsidRPr="00C0198E">
        <w:rPr>
          <w:color w:val="000000"/>
        </w:rPr>
        <w:t>]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w:t>
      </w:r>
      <w:proofErr w:type="gramStart"/>
      <w:r w:rsidRPr="00C0198E">
        <w:rPr>
          <w:color w:val="000000"/>
        </w:rPr>
        <w:t>others  from</w:t>
      </w:r>
      <w:proofErr w:type="gramEnd"/>
      <w:r w:rsidRPr="00C0198E">
        <w:rPr>
          <w:color w:val="000000"/>
        </w:rPr>
        <w:t xml:space="preserve">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w:t>
      </w:r>
      <w:proofErr w:type="gramStart"/>
      <w:r w:rsidRPr="00C0198E">
        <w:rPr>
          <w:color w:val="000000"/>
        </w:rPr>
        <w:t>defendant(s)] should be punished for the wrongful conduct at issue in this case, and the degree to which an award of one sum or another will deter [defendant(s)</w:t>
      </w:r>
      <w:proofErr w:type="gramEnd"/>
      <w:r w:rsidRPr="00C0198E">
        <w:rPr>
          <w:color w:val="000000"/>
        </w:rPr>
        <w:t>]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proofErr w:type="gramStart"/>
      <w:r w:rsidRPr="00C0198E">
        <w:rPr>
          <w:color w:val="000000"/>
        </w:rPr>
        <w:t>[The extent to which a particular amount of money will adequately punish a defendant, and the extent to which a particular amount will adequately deter or prevent future misconduct, may depend upon a defendant’s financial resources.</w:t>
      </w:r>
      <w:proofErr w:type="gramEnd"/>
      <w:r w:rsidRPr="00C0198E">
        <w:rPr>
          <w:color w:val="000000"/>
        </w:rPr>
        <w:t xml:space="preserve">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proofErr w:type="spellStart"/>
      <w:r w:rsidRPr="00C0198E">
        <w:rPr>
          <w:i/>
          <w:color w:val="000000"/>
        </w:rPr>
        <w:t>Kolstad</w:t>
      </w:r>
      <w:proofErr w:type="spellEnd"/>
      <w:r w:rsidRPr="00C0198E">
        <w:rPr>
          <w:i/>
          <w:color w:val="000000"/>
        </w:rPr>
        <w:t xml:space="preserve">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C0198E">
        <w:rPr>
          <w:i/>
          <w:color w:val="000000"/>
        </w:rPr>
        <w:t>Kolstad</w:t>
      </w:r>
      <w:proofErr w:type="spellEnd"/>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proofErr w:type="spellStart"/>
      <w:r w:rsidRPr="00C0198E">
        <w:rPr>
          <w:i/>
          <w:color w:val="000000"/>
        </w:rPr>
        <w:t>Kolstad</w:t>
      </w:r>
      <w:proofErr w:type="spellEnd"/>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proofErr w:type="spellStart"/>
      <w:r w:rsidRPr="00C0198E">
        <w:rPr>
          <w:i/>
          <w:color w:val="000000"/>
        </w:rPr>
        <w:t>Kolstad</w:t>
      </w:r>
      <w:proofErr w:type="spellEnd"/>
      <w:r w:rsidRPr="00C0198E">
        <w:rPr>
          <w:color w:val="000000"/>
        </w:rPr>
        <w:t xml:space="preserve"> decision construed a 1991 amendment to Title VII that </w:t>
      </w:r>
      <w:proofErr w:type="gramStart"/>
      <w:r w:rsidRPr="00C0198E">
        <w:rPr>
          <w:color w:val="000000"/>
        </w:rPr>
        <w:t>made  punitive</w:t>
      </w:r>
      <w:proofErr w:type="gramEnd"/>
      <w:r w:rsidRPr="00C0198E">
        <w:rPr>
          <w:color w:val="000000"/>
        </w:rPr>
        <w:t xml:space="preserve"> damages available in Title VII actions for the first time. Thus it is not explicitly applicable to Section 1981 actions, as to which punitive damages have always been available. Nonetheless, the analysis in </w:t>
      </w:r>
      <w:proofErr w:type="spellStart"/>
      <w:r w:rsidRPr="00C0198E">
        <w:rPr>
          <w:i/>
          <w:color w:val="000000"/>
        </w:rPr>
        <w:t>Kolstad</w:t>
      </w:r>
      <w:proofErr w:type="spellEnd"/>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w:t>
      </w:r>
      <w:proofErr w:type="spellStart"/>
      <w:r w:rsidRPr="00C0198E">
        <w:rPr>
          <w:color w:val="000000"/>
        </w:rPr>
        <w:t>respondeat</w:t>
      </w:r>
      <w:proofErr w:type="spellEnd"/>
      <w:r w:rsidRPr="00C0198E">
        <w:rPr>
          <w:color w:val="000000"/>
        </w:rPr>
        <w:t xml:space="preserve">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proofErr w:type="spellStart"/>
      <w:r w:rsidRPr="00C0198E">
        <w:rPr>
          <w:i/>
          <w:color w:val="000000"/>
        </w:rPr>
        <w:t>Kolstad</w:t>
      </w:r>
      <w:proofErr w:type="spellEnd"/>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proofErr w:type="spellStart"/>
      <w:r w:rsidRPr="00C0198E">
        <w:rPr>
          <w:i/>
          <w:color w:val="000000"/>
        </w:rPr>
        <w:t>Kolstad</w:t>
      </w:r>
      <w:proofErr w:type="spellEnd"/>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proofErr w:type="spellStart"/>
      <w:r w:rsidRPr="00C0198E">
        <w:rPr>
          <w:rStyle w:val="searchterm"/>
          <w:i/>
          <w:color w:val="000000"/>
        </w:rPr>
        <w:t>Kolstad</w:t>
      </w:r>
      <w:proofErr w:type="spellEnd"/>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proofErr w:type="spellStart"/>
      <w:r w:rsidRPr="00C0198E">
        <w:rPr>
          <w:i/>
          <w:color w:val="000000"/>
        </w:rPr>
        <w:t>Kolstad</w:t>
      </w:r>
      <w:proofErr w:type="spellEnd"/>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w:t>
      </w:r>
      <w:r w:rsidRPr="00C0198E">
        <w:rPr>
          <w:color w:val="000000"/>
        </w:rPr>
        <w:lastRenderedPageBreak/>
        <w:t xml:space="preserve">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C0198E">
        <w:rPr>
          <w:color w:val="000000"/>
        </w:rPr>
        <w:t>or</w:t>
      </w:r>
      <w:proofErr w:type="gramEnd"/>
      <w:r w:rsidRPr="00C0198E">
        <w:rPr>
          <w:color w:val="000000"/>
        </w:rPr>
        <w:t xml:space="preserve"> potential harm suffered by” the plaintiff and the punitive award; and the difference between the punitive award “and the civil penalties authorized or imposed in comparable cases.</w:t>
      </w:r>
      <w:r w:rsidRPr="00C0198E">
        <w:rPr>
          <w:i/>
          <w:color w:val="000000"/>
        </w:rPr>
        <w:t xml:space="preserve">”  </w:t>
      </w:r>
      <w:proofErr w:type="gramStart"/>
      <w:r w:rsidRPr="00C0198E">
        <w:rPr>
          <w:i/>
          <w:color w:val="000000"/>
        </w:rPr>
        <w:t>BMW of North America, Inc. v. Gore</w:t>
      </w:r>
      <w:r w:rsidRPr="00C0198E">
        <w:rPr>
          <w:color w:val="000000"/>
        </w:rPr>
        <w:t>, 517 U.S. 559, 575 (1996).</w:t>
      </w:r>
      <w:proofErr w:type="gramEnd"/>
      <w:r w:rsidRPr="00C0198E">
        <w:rPr>
          <w:color w:val="000000"/>
        </w:rPr>
        <w:t xml:space="preserve">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[defendant-employer] intentionally discriminated against [plaintiff</w:t>
      </w:r>
      <w:proofErr w:type="gramStart"/>
      <w:r w:rsidRPr="00C0198E">
        <w:rPr>
          <w:color w:val="000000"/>
        </w:rPr>
        <w:t>]  in</w:t>
      </w:r>
      <w:proofErr w:type="gramEnd"/>
      <w:r w:rsidRPr="00C0198E">
        <w:rPr>
          <w:color w:val="000000"/>
        </w:rPr>
        <w:t xml:space="preserve">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w:t>
      </w:r>
      <w:proofErr w:type="gramStart"/>
      <w:r w:rsidRPr="00C0198E">
        <w:rPr>
          <w:color w:val="000000"/>
        </w:rPr>
        <w:t>]  has</w:t>
      </w:r>
      <w:proofErr w:type="gramEnd"/>
      <w:r w:rsidRPr="00C0198E">
        <w:rPr>
          <w:color w:val="000000"/>
        </w:rPr>
        <w:t xml:space="preserve">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If [defendant</w:t>
      </w:r>
      <w:proofErr w:type="gramStart"/>
      <w:r w:rsidRPr="00C0198E">
        <w:rPr>
          <w:color w:val="000000"/>
        </w:rPr>
        <w:t>]  proves</w:t>
      </w:r>
      <w:proofErr w:type="gramEnd"/>
      <w:r w:rsidRPr="00C0198E">
        <w:rPr>
          <w:color w:val="000000"/>
        </w:rPr>
        <w:t xml:space="preserve">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w:t>
      </w:r>
      <w:proofErr w:type="spellStart"/>
      <w:r w:rsidRPr="00C0198E">
        <w:rPr>
          <w:color w:val="000000"/>
        </w:rPr>
        <w:t>backpay</w:t>
      </w:r>
      <w:proofErr w:type="spellEnd"/>
      <w:r w:rsidRPr="00C0198E">
        <w:rPr>
          <w:color w:val="000000"/>
        </w:rPr>
        <w:t xml:space="preserve"> award under Section 1981 is not restricted to the two years specified for </w:t>
      </w:r>
      <w:proofErr w:type="spellStart"/>
      <w:r w:rsidRPr="00C0198E">
        <w:rPr>
          <w:color w:val="000000"/>
        </w:rPr>
        <w:t>backpay</w:t>
      </w:r>
      <w:proofErr w:type="spellEnd"/>
      <w:r w:rsidRPr="00C0198E">
        <w:rPr>
          <w:color w:val="000000"/>
        </w:rPr>
        <w:t xml:space="preserve">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 xml:space="preserve">See </w:t>
      </w:r>
      <w:proofErr w:type="spellStart"/>
      <w:r w:rsidRPr="00C0198E">
        <w:rPr>
          <w:i/>
          <w:color w:val="000000"/>
        </w:rPr>
        <w:t>Laskaris</w:t>
      </w:r>
      <w:proofErr w:type="spellEnd"/>
      <w:r w:rsidRPr="00C0198E">
        <w:rPr>
          <w:i/>
          <w:color w:val="000000"/>
        </w:rPr>
        <w:t xml:space="preserve">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back pay is nonetheless included because the parties or the court may wish to empanel an advisory jury–especially given the fact that in most cases the plaintiff will be seeking compensatory damages and the jury will be sitting anyway. See Fed. </w:t>
      </w:r>
      <w:proofErr w:type="gramStart"/>
      <w:r w:rsidRPr="00C0198E">
        <w:rPr>
          <w:color w:val="000000"/>
        </w:rPr>
        <w:t>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w:t>
      </w:r>
      <w:proofErr w:type="gramEnd"/>
      <w:r w:rsidRPr="00C0198E">
        <w:rPr>
          <w:color w:val="000000"/>
        </w:rPr>
        <w:t xml:space="preserve">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7"/>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w:t>
      </w:r>
      <w:proofErr w:type="gramStart"/>
      <w:r w:rsidRPr="00C0198E">
        <w:rPr>
          <w:color w:val="000000"/>
        </w:rPr>
        <w:t>So  you</w:t>
      </w:r>
      <w:proofErr w:type="gramEnd"/>
      <w:r w:rsidRPr="00C0198E">
        <w:rPr>
          <w:color w:val="000000"/>
        </w:rPr>
        <w:t xml:space="preserve">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w:t>
      </w:r>
      <w:proofErr w:type="gramStart"/>
      <w:r w:rsidRPr="00C0198E">
        <w:rPr>
          <w:color w:val="000000"/>
        </w:rPr>
        <w:t>is  no</w:t>
      </w:r>
      <w:proofErr w:type="gramEnd"/>
      <w:r w:rsidRPr="00C0198E">
        <w:rPr>
          <w:color w:val="000000"/>
        </w:rPr>
        <w:t xml:space="preserve">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w:t>
      </w:r>
      <w:proofErr w:type="gramStart"/>
      <w:r w:rsidRPr="00C0198E">
        <w:rPr>
          <w:color w:val="000000"/>
        </w:rPr>
        <w:t>included  because</w:t>
      </w:r>
      <w:proofErr w:type="gramEnd"/>
      <w:r w:rsidRPr="00C0198E">
        <w:rPr>
          <w:color w:val="000000"/>
        </w:rPr>
        <w:t xml:space="preserve"> the parties or the court may wish to empanel an advisory jury–especially given the fact that in most cases the plaintiff will be seeking compensatory damages and the jury will be sitting anyway. See Fed. </w:t>
      </w:r>
      <w:proofErr w:type="spellStart"/>
      <w:proofErr w:type="gramStart"/>
      <w:r w:rsidRPr="00C0198E">
        <w:rPr>
          <w:color w:val="000000"/>
        </w:rPr>
        <w:t>R.Civ.P</w:t>
      </w:r>
      <w:proofErr w:type="spellEnd"/>
      <w:r w:rsidRPr="00C0198E">
        <w:rPr>
          <w:color w:val="000000"/>
        </w:rPr>
        <w:t>. 39(c).</w:t>
      </w:r>
      <w:proofErr w:type="gramEnd"/>
      <w:r w:rsidRPr="00C0198E">
        <w:rPr>
          <w:color w:val="000000"/>
        </w:rPr>
        <w:t xml:space="preserve">  Alternatively, the parties may stipulate to a jury determination on front pay, in which case this instruction would also be appropriate.  </w:t>
      </w:r>
      <w:proofErr w:type="gramStart"/>
      <w:r w:rsidRPr="00C0198E">
        <w:rPr>
          <w:i/>
          <w:color w:val="000000"/>
        </w:rPr>
        <w:t>See  Feldman</w:t>
      </w:r>
      <w:proofErr w:type="gramEnd"/>
      <w:r w:rsidRPr="00C0198E">
        <w:rPr>
          <w:i/>
          <w:color w:val="000000"/>
        </w:rPr>
        <w:t xml:space="preserve">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8"/>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w:t>
      </w:r>
      <w:proofErr w:type="gramStart"/>
      <w:r w:rsidRPr="00C0198E">
        <w:rPr>
          <w:color w:val="000000"/>
        </w:rPr>
        <w:t xml:space="preserve">(Citing </w:t>
      </w:r>
      <w:r w:rsidRPr="00C0198E">
        <w:rPr>
          <w:i/>
          <w:color w:val="000000"/>
        </w:rPr>
        <w:t xml:space="preserve">St. Louis Southwestern R. Co. v. Dickerson, </w:t>
      </w:r>
      <w:r w:rsidRPr="00C0198E">
        <w:rPr>
          <w:color w:val="000000"/>
        </w:rPr>
        <w:t>470 U.S. 409, 412 (1985).)</w:t>
      </w:r>
      <w:proofErr w:type="gramEnd"/>
      <w:r w:rsidRPr="00C0198E">
        <w:rPr>
          <w:color w:val="000000"/>
        </w:rPr>
        <w:t xml:space="preserve">  The "self-evident" reason is that "a given sum of money in hand is worth more than the like sum of money payable in the future." The Court concluded that a "failure to instruct the jury </w:t>
      </w:r>
      <w:proofErr w:type="gramStart"/>
      <w:r w:rsidRPr="00C0198E">
        <w:rPr>
          <w:color w:val="000000"/>
        </w:rPr>
        <w:t>that  present</w:t>
      </w:r>
      <w:proofErr w:type="gramEnd"/>
      <w:r w:rsidRPr="00C0198E">
        <w:rPr>
          <w:color w:val="000000"/>
        </w:rPr>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proofErr w:type="spellStart"/>
      <w:r w:rsidRPr="00C0198E">
        <w:rPr>
          <w:i/>
          <w:color w:val="000000"/>
        </w:rPr>
        <w:t>Kaczkowski</w:t>
      </w:r>
      <w:proofErr w:type="spellEnd"/>
      <w:r w:rsidRPr="00C0198E">
        <w:rPr>
          <w:i/>
          <w:color w:val="000000"/>
        </w:rPr>
        <w:t xml:space="preserve"> v. </w:t>
      </w:r>
      <w:proofErr w:type="spellStart"/>
      <w:r w:rsidRPr="00C0198E">
        <w:rPr>
          <w:i/>
          <w:color w:val="000000"/>
        </w:rPr>
        <w:t>Bolubasz</w:t>
      </w:r>
      <w:proofErr w:type="spellEnd"/>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 person whose federal rights were violated is entitled to </w:t>
      </w:r>
      <w:proofErr w:type="gramStart"/>
      <w:r w:rsidRPr="00C0198E">
        <w:rPr>
          <w:color w:val="000000"/>
        </w:rPr>
        <w:t>a recognition</w:t>
      </w:r>
      <w:proofErr w:type="gramEnd"/>
      <w:r w:rsidRPr="00C0198E">
        <w:rPr>
          <w:color w:val="000000"/>
        </w:rPr>
        <w:t xml:space="preserve">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 xml:space="preserve">See </w:t>
      </w:r>
      <w:proofErr w:type="spellStart"/>
      <w:r w:rsidRPr="00C0198E">
        <w:rPr>
          <w:i/>
          <w:color w:val="000000"/>
        </w:rPr>
        <w:t>Erebia</w:t>
      </w:r>
      <w:proofErr w:type="spellEnd"/>
      <w:r w:rsidRPr="00C0198E">
        <w:rPr>
          <w:i/>
          <w:color w:val="000000"/>
        </w:rPr>
        <w:t xml:space="preserve">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C0198E">
        <w:rPr>
          <w:i/>
          <w:color w:val="000000"/>
        </w:rPr>
        <w:t>Pryer</w:t>
      </w:r>
      <w:proofErr w:type="spellEnd"/>
      <w:r w:rsidRPr="00C0198E">
        <w:rPr>
          <w:i/>
          <w:color w:val="000000"/>
        </w:rPr>
        <w:t xml:space="preserve"> v. C.O. 3 Slavic</w:t>
      </w:r>
      <w:r w:rsidRPr="00C0198E">
        <w:rPr>
          <w:color w:val="000000"/>
        </w:rPr>
        <w:t>, 251 F.3d 448, 452 (3d Cir. 2001)</w:t>
      </w:r>
      <w:proofErr w:type="gramStart"/>
      <w:r w:rsidRPr="00C0198E">
        <w:rPr>
          <w:color w:val="000000"/>
        </w:rPr>
        <w:t>,  the</w:t>
      </w:r>
      <w:proofErr w:type="gramEnd"/>
      <w:r w:rsidRPr="00C0198E">
        <w:rPr>
          <w:color w:val="000000"/>
        </w:rPr>
        <w:t xml:space="preserv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proofErr w:type="gramStart"/>
      <w:r w:rsidRPr="00C0198E">
        <w:rPr>
          <w:color w:val="000000"/>
        </w:rPr>
        <w:t>at</w:t>
      </w:r>
      <w:proofErr w:type="gramEnd"/>
      <w:r w:rsidRPr="00C0198E">
        <w:rPr>
          <w:color w:val="000000"/>
        </w:rPr>
        <w:t xml:space="preserve">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w:t>
      </w:r>
      <w:proofErr w:type="gramStart"/>
      <w:r w:rsidRPr="00C0198E">
        <w:rPr>
          <w:color w:val="000000"/>
        </w:rPr>
        <w:t>Id. at 454.</w:t>
      </w:r>
      <w:proofErr w:type="gramEnd"/>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w:t>
      </w:r>
      <w:proofErr w:type="gramStart"/>
      <w:r w:rsidRPr="00C0198E">
        <w:rPr>
          <w:color w:val="000000"/>
        </w:rPr>
        <w:t>citing</w:t>
      </w:r>
      <w:proofErr w:type="gramEnd"/>
      <w:r w:rsidRPr="00C0198E">
        <w:rPr>
          <w:color w:val="000000"/>
        </w:rPr>
        <w:t xml:space="preserve"> </w:t>
      </w:r>
      <w:r w:rsidRPr="00C0198E">
        <w:rPr>
          <w:i/>
          <w:color w:val="000000"/>
        </w:rPr>
        <w:t>United States ex rel. Tyrrell v. Speaker,</w:t>
      </w:r>
      <w:r w:rsidRPr="00C0198E">
        <w:rPr>
          <w:color w:val="000000"/>
        </w:rPr>
        <w:t xml:space="preserve"> 535 F.2d 823, 830 (3d Cir.1976)).</w:t>
      </w:r>
      <w:bookmarkStart w:id="19" w:name="_GoBack"/>
      <w:bookmarkEnd w:id="19"/>
    </w:p>
    <w:sectPr w:rsidR="00252756" w:rsidRPr="005E1416" w:rsidSect="00C66B66">
      <w:headerReference w:type="default" r:id="rId29"/>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8CD6A" w14:textId="77777777" w:rsidR="007D464A" w:rsidRDefault="007D464A">
      <w:r>
        <w:separator/>
      </w:r>
    </w:p>
  </w:endnote>
  <w:endnote w:type="continuationSeparator" w:id="0">
    <w:p w14:paraId="49C2CE82" w14:textId="77777777" w:rsidR="007D464A" w:rsidRDefault="007D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EA55" w14:textId="77777777" w:rsidR="00B87F2B" w:rsidRDefault="00B87F2B">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4EC97E0B"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A0C44" w14:textId="77777777"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C0198E">
      <w:rPr>
        <w:rFonts w:ascii="Century Schoolbook" w:hAnsi="Century Schoolbook"/>
        <w:noProof/>
      </w:rPr>
      <w:t>48</w:t>
    </w:r>
    <w:r w:rsidRPr="005E1416">
      <w:rPr>
        <w:rFonts w:ascii="Century Schoolbook" w:hAnsi="Century Schoolbook"/>
        <w:noProof/>
      </w:rPr>
      <w:fldChar w:fldCharType="end"/>
    </w:r>
  </w:p>
  <w:p w14:paraId="48F56F02" w14:textId="2E874EE8"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Last updated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F9E0" w14:textId="77777777" w:rsidR="007D464A" w:rsidRDefault="007D464A">
      <w:r>
        <w:separator/>
      </w:r>
    </w:p>
  </w:footnote>
  <w:footnote w:type="continuationSeparator" w:id="0">
    <w:p w14:paraId="20061FE0" w14:textId="77777777" w:rsidR="007D464A" w:rsidRDefault="007D464A">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3">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w:t>
      </w:r>
      <w:proofErr w:type="spellStart"/>
      <w:r>
        <w:rPr>
          <w:i/>
        </w:rPr>
        <w:t>Glanzman</w:t>
      </w:r>
      <w:proofErr w:type="spellEnd"/>
      <w:r>
        <w:rPr>
          <w:i/>
        </w:rPr>
        <w:t xml:space="preserve"> </w:t>
      </w:r>
      <w:r>
        <w:t xml:space="preserve">and </w:t>
      </w:r>
      <w:proofErr w:type="spellStart"/>
      <w:r>
        <w:rPr>
          <w:i/>
        </w:rPr>
        <w:t>Fakete</w:t>
      </w:r>
      <w:proofErr w:type="spellEnd"/>
      <w:r>
        <w:rPr>
          <w:i/>
        </w:rPr>
        <w:t xml:space="preserv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roofErr w:type="gramStart"/>
      <w:r>
        <w:t>mixed-motive</w:t>
      </w:r>
      <w:proofErr w:type="gramEnd"/>
      <w:r>
        <w:t xml:space="preserve"> framework to ADEA cases has, as noted above, been overruled by </w:t>
      </w:r>
      <w:r>
        <w:rPr>
          <w:i/>
        </w:rPr>
        <w:t>Gross</w:t>
      </w:r>
      <w:r>
        <w:t>.</w:t>
      </w:r>
    </w:p>
  </w:footnote>
  <w:footnote w:id="4">
    <w:p w14:paraId="46A36ADA" w14:textId="77777777" w:rsidR="00B87F2B" w:rsidRDefault="00B87F2B">
      <w:pPr>
        <w:spacing w:after="240"/>
      </w:pPr>
      <w:proofErr w:type="gramStart"/>
      <w:r>
        <w:rPr>
          <w:vertAlign w:val="superscript"/>
        </w:rPr>
        <w:t>4</w:t>
      </w:r>
      <w:r>
        <w:t xml:space="preserve">  In</w:t>
      </w:r>
      <w:proofErr w:type="gramEnd"/>
      <w:r>
        <w:t xml:space="preserve"> </w:t>
      </w:r>
      <w:proofErr w:type="spellStart"/>
      <w:r>
        <w:rPr>
          <w:i/>
          <w:iCs/>
        </w:rPr>
        <w:t>Nassar</w:t>
      </w:r>
      <w:proofErr w:type="spellEnd"/>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 xml:space="preserve">See </w:t>
      </w:r>
      <w:proofErr w:type="spellStart"/>
      <w:r>
        <w:rPr>
          <w:i/>
          <w:iCs/>
        </w:rPr>
        <w:t>Nassar</w:t>
      </w:r>
      <w:proofErr w:type="spellEnd"/>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5">
    <w:p w14:paraId="1D895015"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5.1.2's first element includes a bracketed alternative for failure to renew an employment arrangement as an adverse employment action.  That alternative is based on </w:t>
      </w:r>
      <w:r>
        <w:rPr>
          <w:i/>
        </w:rPr>
        <w:t xml:space="preserve">Wilkerson v. </w:t>
      </w:r>
      <w:proofErr w:type="gramStart"/>
      <w:r>
        <w:rPr>
          <w:i/>
        </w:rPr>
        <w:t>New Media Tech. Charter School, Inc.</w:t>
      </w:r>
      <w:r>
        <w:t>, 522 F.3d 315, 320 (3d Cir. 2008).</w:t>
      </w:r>
      <w:proofErr w:type="gramEnd"/>
      <w:r>
        <w:t xml:space="preserve">  </w:t>
      </w:r>
      <w:r>
        <w:rPr>
          <w:i/>
        </w:rPr>
        <w:t xml:space="preserve">Wilkerson </w:t>
      </w:r>
      <w:r>
        <w:t>involved a Title VII retaliation claim rather than a Section 1981 claim; thus, it does not provide direct authority for the inclusion of such an alternative in Instruction 6.1.2.</w:t>
      </w:r>
    </w:p>
  </w:footnote>
  <w:footnote w:id="6">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roofErr w:type="gramStart"/>
      <w:r>
        <w:rPr>
          <w:i/>
        </w:rPr>
        <w:t>Anderson v. Wachovia Mortgage Corp.</w:t>
      </w:r>
      <w:r>
        <w:t>, 621 F.3d 261, 275 (3d Cir. 2010).</w:t>
      </w:r>
      <w:proofErr w:type="gramEnd"/>
    </w:p>
  </w:footnote>
  <w:footnote w:id="7">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 xml:space="preserve">Pennsylvania State Police v. </w:t>
      </w:r>
      <w:proofErr w:type="spellStart"/>
      <w:r>
        <w:rPr>
          <w:i/>
        </w:rPr>
        <w:t>Suders</w:t>
      </w:r>
      <w:proofErr w:type="spellEnd"/>
      <w:r>
        <w:t>, 542 U.S. 129, 150 (2004).</w:t>
      </w:r>
    </w:p>
  </w:footnote>
  <w:footnote w:id="8">
    <w:p w14:paraId="32DB4BAD" w14:textId="77777777" w:rsidR="00B87F2B" w:rsidRDefault="00B87F2B">
      <w:pPr>
        <w:spacing w:after="240"/>
      </w:pPr>
      <w:proofErr w:type="gramStart"/>
      <w:r>
        <w:rPr>
          <w:vertAlign w:val="superscript"/>
        </w:rPr>
        <w:t>8</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proofErr w:type="gramStart"/>
      <w:r>
        <w:rPr>
          <w:i/>
          <w:iCs/>
        </w:rPr>
        <w:t>Vance v. Ball State Univ.</w:t>
      </w:r>
      <w:r>
        <w:t>, 133 S. Ct. 2434, 2439 (2013).</w:t>
      </w:r>
      <w:proofErr w:type="gramEnd"/>
      <w:r>
        <w:t xml:space="preserve">  For further discussion of </w:t>
      </w:r>
      <w:r>
        <w:rPr>
          <w:i/>
          <w:iCs/>
        </w:rPr>
        <w:t>Vance</w:t>
      </w:r>
      <w:r>
        <w:t>, see Comment 5.1.4.</w:t>
      </w:r>
    </w:p>
  </w:footnote>
  <w:footnote w:id="9">
    <w:p w14:paraId="02144F4A" w14:textId="77777777" w:rsidR="00B87F2B" w:rsidRDefault="00B87F2B">
      <w:pPr>
        <w:spacing w:after="240"/>
      </w:pPr>
      <w:proofErr w:type="gramStart"/>
      <w:r>
        <w:rPr>
          <w:vertAlign w:val="superscript"/>
        </w:rPr>
        <w:t>9</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proofErr w:type="gramStart"/>
      <w:r>
        <w:rPr>
          <w:i/>
          <w:iCs/>
        </w:rPr>
        <w:t>Vance v. Ball State Univ.</w:t>
      </w:r>
      <w:r>
        <w:t>, 133 S. Ct. 2434, 2439 (2013).</w:t>
      </w:r>
      <w:proofErr w:type="gramEnd"/>
      <w:r>
        <w:t xml:space="preserve">  For further discussion of </w:t>
      </w:r>
      <w:r>
        <w:rPr>
          <w:i/>
          <w:iCs/>
        </w:rPr>
        <w:t>Vance</w:t>
      </w:r>
      <w:r>
        <w:t>, see Comment 5.1.5.</w:t>
      </w:r>
    </w:p>
  </w:footnote>
  <w:footnote w:id="10">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1">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2">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proofErr w:type="spellStart"/>
      <w:r w:rsidRPr="00952E00">
        <w:rPr>
          <w:i/>
        </w:rPr>
        <w:t>Oliva</w:t>
      </w:r>
      <w:proofErr w:type="spellEnd"/>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w:t>
      </w:r>
      <w:proofErr w:type="spellStart"/>
      <w:r w:rsidRPr="00952E00">
        <w:t>Oliva</w:t>
      </w:r>
      <w:proofErr w:type="spellEnd"/>
      <w:r w:rsidRPr="00952E00">
        <w:t xml:space="preserve">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w:t>
      </w:r>
      <w:proofErr w:type="spellStart"/>
      <w:r w:rsidRPr="00952E00">
        <w:t>Oliva</w:t>
      </w:r>
      <w:proofErr w:type="spellEnd"/>
      <w:r w:rsidRPr="00952E00">
        <w:t xml:space="preserve">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Pr="00DB06C3" w:rsidRDefault="00B87F2B" w:rsidP="005A0E5F">
      <w:pPr>
        <w:pStyle w:val="FootnoteText"/>
        <w:ind w:firstLine="0"/>
        <w:rPr>
          <w:u w:val="single"/>
        </w:rPr>
      </w:pPr>
      <w:proofErr w:type="gramStart"/>
      <w:r w:rsidRPr="00952E00">
        <w:rPr>
          <w:i/>
          <w:szCs w:val="24"/>
        </w:rPr>
        <w:t xml:space="preserve">Estate of </w:t>
      </w:r>
      <w:proofErr w:type="spellStart"/>
      <w:r w:rsidRPr="00952E00">
        <w:rPr>
          <w:i/>
          <w:szCs w:val="24"/>
        </w:rPr>
        <w:t>Oliva</w:t>
      </w:r>
      <w:proofErr w:type="spellEnd"/>
      <w:r w:rsidRPr="00952E00">
        <w:rPr>
          <w:i/>
          <w:szCs w:val="24"/>
        </w:rPr>
        <w:t xml:space="preserve"> ex rel. McHugh v.</w:t>
      </w:r>
      <w:proofErr w:type="gramEnd"/>
      <w:r w:rsidRPr="00952E00">
        <w:rPr>
          <w:i/>
          <w:szCs w:val="24"/>
        </w:rPr>
        <w:t xml:space="preserve"> </w:t>
      </w:r>
      <w:proofErr w:type="gramStart"/>
      <w:r w:rsidRPr="00952E00">
        <w:rPr>
          <w:i/>
          <w:szCs w:val="24"/>
        </w:rPr>
        <w:t>New Jersey</w:t>
      </w:r>
      <w:r w:rsidRPr="00952E00">
        <w:rPr>
          <w:szCs w:val="24"/>
        </w:rPr>
        <w:t>, 604 F.3d 788, 798 (3d Cir. 2010) (footnotes omitted).</w:t>
      </w:r>
      <w:proofErr w:type="gramEnd"/>
      <w:r w:rsidRPr="00952E00">
        <w:rPr>
          <w:szCs w:val="24"/>
        </w:rPr>
        <w:t xml:space="preserve">  The Court of Appeals devoted a much lengthier discussion to questions of causation, holding ultimately that the plaintiff had failed to establish causation as to any of the allegedly retaliatory acts.  </w:t>
      </w:r>
      <w:r w:rsidRPr="00952E00">
        <w:rPr>
          <w:i/>
          <w:szCs w:val="24"/>
        </w:rPr>
        <w:t xml:space="preserve">See </w:t>
      </w:r>
      <w:proofErr w:type="spellStart"/>
      <w:r w:rsidRPr="00952E00">
        <w:rPr>
          <w:i/>
          <w:szCs w:val="24"/>
        </w:rPr>
        <w:t>Oliva</w:t>
      </w:r>
      <w:proofErr w:type="spellEnd"/>
      <w:r w:rsidRPr="00952E00">
        <w:rPr>
          <w:szCs w:val="24"/>
        </w:rPr>
        <w:t xml:space="preserve">, </w:t>
      </w:r>
      <w:proofErr w:type="gramStart"/>
      <w:r w:rsidRPr="00952E00">
        <w:rPr>
          <w:szCs w:val="24"/>
        </w:rPr>
        <w:t>604 F.3d at 798-802</w:t>
      </w:r>
      <w:proofErr w:type="gramEnd"/>
      <w:r w:rsidRPr="00952E00">
        <w:rPr>
          <w:szCs w:val="24"/>
        </w:rPr>
        <w:t>.</w:t>
      </w:r>
    </w:p>
  </w:footnote>
  <w:footnote w:id="13">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xml:space="preserve">, </w:t>
      </w:r>
      <w:proofErr w:type="gramStart"/>
      <w:r>
        <w:t>554 F.3d at 121</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368F"/>
    <w:rsid w:val="00016EFC"/>
    <w:rsid w:val="00021633"/>
    <w:rsid w:val="00033FA8"/>
    <w:rsid w:val="00041D5B"/>
    <w:rsid w:val="00071B75"/>
    <w:rsid w:val="0007427B"/>
    <w:rsid w:val="00096944"/>
    <w:rsid w:val="000A683A"/>
    <w:rsid w:val="000B2E42"/>
    <w:rsid w:val="000F62F9"/>
    <w:rsid w:val="00122623"/>
    <w:rsid w:val="001A26A2"/>
    <w:rsid w:val="001B3D30"/>
    <w:rsid w:val="002449BE"/>
    <w:rsid w:val="00252756"/>
    <w:rsid w:val="00255F13"/>
    <w:rsid w:val="00264765"/>
    <w:rsid w:val="0027175C"/>
    <w:rsid w:val="0029440C"/>
    <w:rsid w:val="00311D13"/>
    <w:rsid w:val="00313DA4"/>
    <w:rsid w:val="003274B0"/>
    <w:rsid w:val="0038594F"/>
    <w:rsid w:val="003A6D7A"/>
    <w:rsid w:val="003F740B"/>
    <w:rsid w:val="004113EF"/>
    <w:rsid w:val="004551A7"/>
    <w:rsid w:val="00455A0C"/>
    <w:rsid w:val="00487363"/>
    <w:rsid w:val="004B21C5"/>
    <w:rsid w:val="004E3D42"/>
    <w:rsid w:val="004F00E2"/>
    <w:rsid w:val="00513546"/>
    <w:rsid w:val="005179C4"/>
    <w:rsid w:val="00527975"/>
    <w:rsid w:val="005A0E5F"/>
    <w:rsid w:val="005C2917"/>
    <w:rsid w:val="005C623D"/>
    <w:rsid w:val="005E1416"/>
    <w:rsid w:val="005F4485"/>
    <w:rsid w:val="0060368F"/>
    <w:rsid w:val="00604665"/>
    <w:rsid w:val="00613DA0"/>
    <w:rsid w:val="00645798"/>
    <w:rsid w:val="00685490"/>
    <w:rsid w:val="006971A9"/>
    <w:rsid w:val="006D46A1"/>
    <w:rsid w:val="006F6A2C"/>
    <w:rsid w:val="00725FFE"/>
    <w:rsid w:val="00765400"/>
    <w:rsid w:val="00787957"/>
    <w:rsid w:val="007961B2"/>
    <w:rsid w:val="007D11CE"/>
    <w:rsid w:val="007D464A"/>
    <w:rsid w:val="007F3A28"/>
    <w:rsid w:val="008172AD"/>
    <w:rsid w:val="00851E5D"/>
    <w:rsid w:val="00873415"/>
    <w:rsid w:val="008E2A59"/>
    <w:rsid w:val="00942F72"/>
    <w:rsid w:val="00943ADE"/>
    <w:rsid w:val="00952E00"/>
    <w:rsid w:val="0095674D"/>
    <w:rsid w:val="009575C8"/>
    <w:rsid w:val="009B146C"/>
    <w:rsid w:val="009C0DEC"/>
    <w:rsid w:val="009D169A"/>
    <w:rsid w:val="009D3EB2"/>
    <w:rsid w:val="009F0679"/>
    <w:rsid w:val="00A40600"/>
    <w:rsid w:val="00A827D9"/>
    <w:rsid w:val="00B0521A"/>
    <w:rsid w:val="00B12F80"/>
    <w:rsid w:val="00B47674"/>
    <w:rsid w:val="00B57185"/>
    <w:rsid w:val="00B71758"/>
    <w:rsid w:val="00B83D63"/>
    <w:rsid w:val="00B87F2B"/>
    <w:rsid w:val="00BD760B"/>
    <w:rsid w:val="00BD7D30"/>
    <w:rsid w:val="00BF603A"/>
    <w:rsid w:val="00C0198E"/>
    <w:rsid w:val="00C128A3"/>
    <w:rsid w:val="00C34EAC"/>
    <w:rsid w:val="00C35D5C"/>
    <w:rsid w:val="00C501E1"/>
    <w:rsid w:val="00C50F0B"/>
    <w:rsid w:val="00C66B66"/>
    <w:rsid w:val="00C870E5"/>
    <w:rsid w:val="00CB4AA8"/>
    <w:rsid w:val="00CB5C0B"/>
    <w:rsid w:val="00CD0B0C"/>
    <w:rsid w:val="00D46C48"/>
    <w:rsid w:val="00D86DE6"/>
    <w:rsid w:val="00DA5792"/>
    <w:rsid w:val="00DF7C27"/>
    <w:rsid w:val="00E02A3B"/>
    <w:rsid w:val="00E421D7"/>
    <w:rsid w:val="00E90721"/>
    <w:rsid w:val="00EC77D5"/>
    <w:rsid w:val="00EF321F"/>
    <w:rsid w:val="00F12850"/>
    <w:rsid w:val="00F33A1E"/>
    <w:rsid w:val="00F41DB0"/>
    <w:rsid w:val="00F76A40"/>
    <w:rsid w:val="00F779F9"/>
    <w:rsid w:val="00F81532"/>
    <w:rsid w:val="00F84935"/>
    <w:rsid w:val="00F86270"/>
    <w:rsid w:val="00FB7903"/>
    <w:rsid w:val="00FC0F6C"/>
    <w:rsid w:val="00F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039C-714F-47F5-93A6-E64BB7D3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15648</Words>
  <Characters>85339</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Struve</dc:creator>
  <cp:lastModifiedBy>Catherine T Struve</cp:lastModifiedBy>
  <cp:revision>12</cp:revision>
  <cp:lastPrinted>2014-10-25T23:36:00Z</cp:lastPrinted>
  <dcterms:created xsi:type="dcterms:W3CDTF">2014-11-04T19:29:00Z</dcterms:created>
  <dcterms:modified xsi:type="dcterms:W3CDTF">2014-11-06T16:56:00Z</dcterms:modified>
</cp:coreProperties>
</file>