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ED2B" w14:textId="77777777" w:rsidR="00A47413" w:rsidRPr="002F29BD" w:rsidRDefault="00A47413" w:rsidP="00F70088">
      <w:pPr>
        <w:widowControl w:val="0"/>
        <w:tabs>
          <w:tab w:val="center" w:pos="4680"/>
        </w:tabs>
        <w:spacing w:after="240"/>
        <w:jc w:val="both"/>
        <w:rPr>
          <w:b/>
        </w:rPr>
      </w:pPr>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v.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Jargowsky,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1"/>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2"/>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5DE14B84"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7F3174E"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xml:space="preserve">] salaries, hired and fired them, and had control over their daily employment activities.’”  </w:t>
      </w:r>
      <w:r w:rsidRPr="002F29BD">
        <w:rPr>
          <w:i/>
        </w:rPr>
        <w:t>Covington</w:t>
      </w:r>
      <w:r w:rsidRPr="002F29BD">
        <w:t xml:space="preserve">, 710 F.3d at 119 (quoting </w:t>
      </w:r>
      <w:r w:rsidR="00BE7032" w:rsidRPr="002F29BD">
        <w:rPr>
          <w:i/>
        </w:rPr>
        <w:t>Covington v. Int’</w:t>
      </w:r>
      <w:r w:rsidRPr="002F29BD">
        <w:rPr>
          <w:i/>
        </w:rPr>
        <w:t>l Ass</w:t>
      </w:r>
      <w:r w:rsidR="00BE7032" w:rsidRPr="002F29BD">
        <w:rPr>
          <w:i/>
        </w:rPr>
        <w:t>’</w:t>
      </w:r>
      <w:r w:rsidRPr="002F29BD">
        <w:rPr>
          <w:i/>
        </w:rPr>
        <w:t>n of Approved Basketball Officials</w:t>
      </w:r>
      <w:r w:rsidRPr="002F29BD">
        <w:t>, No. 08–3639, 2010 WL 3404977, at *2 (D.N.J. Aug. 26, 2010))</w:t>
      </w:r>
      <w:r w:rsidR="00576B1A">
        <w:t xml:space="preserve">; </w:t>
      </w:r>
      <w:r w:rsidR="00653067" w:rsidRPr="00653067">
        <w:rPr>
          <w:i/>
        </w:rPr>
        <w:t>see also Faush v. Tuesday Morning, Inc.</w:t>
      </w:r>
      <w:r w:rsidR="00653067" w:rsidRPr="00653067">
        <w:t xml:space="preserve">, 808 F.3d 208, 209 (3d Cir. 2015) (holding that summary judgment was inappropriate because, under the circumstances, it was for the jury to decide whether the client of a temporary-staffing agency counted as an employer of one of the agency’s </w:t>
      </w:r>
      <w:r w:rsidR="00653067" w:rsidRPr="00653067">
        <w:lastRenderedPageBreak/>
        <w:t>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r w:rsidR="00682CFD" w:rsidRPr="00682CFD">
        <w:rPr>
          <w:i/>
        </w:rPr>
        <w:t>LeBoon v. Lancaster Jewish Cmty. Ctr. Ass’n</w:t>
      </w:r>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r w:rsidRPr="002F29BD">
        <w:rPr>
          <w:i/>
        </w:rPr>
        <w:t>Le</w:t>
      </w:r>
      <w:r w:rsidR="00421408">
        <w:rPr>
          <w:i/>
        </w:rPr>
        <w:t>B</w:t>
      </w:r>
      <w:r w:rsidRPr="002F29BD">
        <w:rPr>
          <w:i/>
        </w:rPr>
        <w:t xml:space="preserve">oon,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Id.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xml:space="preserve">. at 710 (“The case before us is an employment </w:t>
      </w:r>
      <w:r w:rsidR="00CD6E58" w:rsidRPr="002F29BD">
        <w:lastRenderedPageBreak/>
        <w:t>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r w:rsidR="00A47413" w:rsidRPr="002F29BD">
        <w:rPr>
          <w:i/>
        </w:rPr>
        <w:t xml:space="preserve">Petruska v. </w:t>
      </w:r>
      <w:r w:rsidRPr="002F29BD">
        <w:rPr>
          <w:i/>
        </w:rPr>
        <w:t>Gannon Univ.</w:t>
      </w:r>
      <w:r w:rsidRPr="002F29BD">
        <w:t>, 462 F.3d 294, 299 (3d Cir. 2006) (pre-Hosanna-Tabor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w:t>
      </w:r>
      <w:r w:rsidRPr="002F29BD">
        <w:rPr>
          <w:i/>
        </w:rPr>
        <w:t>See also Petruska</w:t>
      </w:r>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5FAFF48D" w:rsidR="00FE7AD5" w:rsidRPr="002F29BD" w:rsidRDefault="006C6AB6" w:rsidP="007E45F8">
      <w:pPr>
        <w:spacing w:after="240"/>
        <w:ind w:firstLine="720"/>
        <w:jc w:val="both"/>
      </w:pPr>
      <w:r>
        <w:t>Title VII prohibits adverse employment actions motivated by a protected characteristic; among those characteristics is “religion.”  42 U.S.C. § 2000e–2(a)(1).  Where a Title VII religious-discrimination claim is grounded on a claim that the employer was motivated by the plaintiff’s religious beliefs,</w:t>
      </w:r>
      <w:r w:rsidR="00023B5F" w:rsidRPr="00023B5F">
        <w:rPr>
          <w:rStyle w:val="FootnoteReference"/>
        </w:rPr>
        <w:footnoteReference w:id="3"/>
      </w:r>
      <w:r>
        <w:t xml:space="preserve"> the instructions provided in this Chapter should be a good fit.  But “religion” as used in Title VII includes more than religious belief.  “The term ‘religion’ includes all aspects of religious observance and practice, as well as belief, unless an employer demonstrates that he is </w:t>
      </w:r>
      <w:r>
        <w:lastRenderedPageBreak/>
        <w:t xml:space="preserve">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135 S. Ct. 2028, 2033-34 (2015) (holding that “religious practice is one of the protected characteristics that cannot be accorded disparate treatment and must 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1978 Act specifies that Title  VII’s “ter[m]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xml:space="preserve">, 527 F.3d 358, 364 (3d Cir. 2008) (concluding “that an employer may not discriminate against a woman employee </w:t>
      </w:r>
      <w:r w:rsidRPr="00FB3406">
        <w:lastRenderedPageBreak/>
        <w:t>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7258257A"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AD33DD" w:rsidRPr="002F29BD">
        <w:sym w:font="WP TypographicSymbols" w:char="0040"/>
      </w:r>
      <w:r w:rsidR="00AD33DD" w:rsidRPr="002F29BD">
        <w:t>).</w:t>
      </w:r>
      <w:r w:rsidR="00DB6BA8"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Default="00A47413" w:rsidP="00F70088">
      <w:pPr>
        <w:widowControl w:val="0"/>
        <w:spacing w:after="240"/>
        <w:jc w:val="both"/>
      </w:pPr>
      <w:r w:rsidRPr="002F29BD">
        <w:tab/>
        <w:t xml:space="preserve">For a discussion of Title VII claims based on gender stereotyping, see </w:t>
      </w:r>
      <w:r w:rsidRPr="002F29BD">
        <w:rPr>
          <w:i/>
        </w:rPr>
        <w:t>Prowel v. Wise Business Forms, Inc.</w:t>
      </w:r>
      <w:r w:rsidRPr="002F29BD">
        <w:t>, 579 F.3d 285, 292 (3d Cir. 2009) (“[I]t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p>
    <w:p w14:paraId="4212FA0D" w14:textId="584DF626" w:rsidR="00575F8C" w:rsidRPr="00575F8C" w:rsidRDefault="00575F8C" w:rsidP="00575F8C">
      <w:pPr>
        <w:widowControl w:val="0"/>
        <w:spacing w:after="240"/>
        <w:jc w:val="both"/>
        <w:rPr>
          <w:i/>
        </w:rPr>
      </w:pPr>
      <w:r w:rsidRPr="00575F8C">
        <w:rPr>
          <w:i/>
        </w:rPr>
        <w:t>Discrimination on the basis of sexual orientation or transgender status</w:t>
      </w:r>
    </w:p>
    <w:p w14:paraId="44663F34" w14:textId="0FD654D2" w:rsidR="005B5953" w:rsidRPr="002F29BD" w:rsidRDefault="00575F8C" w:rsidP="00575F8C">
      <w:pPr>
        <w:widowControl w:val="0"/>
        <w:spacing w:after="240"/>
        <w:jc w:val="both"/>
        <w:sectPr w:rsidR="005B5953" w:rsidRPr="002F29BD" w:rsidSect="00143162">
          <w:headerReference w:type="default" r:id="rId12"/>
          <w:pgSz w:w="12240" w:h="15840"/>
          <w:pgMar w:top="1440" w:right="1440" w:bottom="1920" w:left="1440" w:header="720" w:footer="1440" w:gutter="0"/>
          <w:lnNumType w:countBy="1" w:distance="576" w:restart="newSection"/>
          <w:cols w:space="720"/>
          <w:docGrid w:linePitch="326"/>
        </w:sectPr>
      </w:pPr>
      <w:r>
        <w:tab/>
        <w:t xml:space="preserve">The Third Circuit has held that Title VII does not bar discrimination on the basis of sexual orientation.  </w:t>
      </w:r>
      <w:r w:rsidRPr="00575F8C">
        <w:rPr>
          <w:i/>
        </w:rPr>
        <w:t>See Bibby v. Philadelphia Coca Cola Bottling Co.</w:t>
      </w:r>
      <w:r>
        <w:t xml:space="preserve">, 260 F.3d 257, 261 (3d Cir. 2001) (“Title VII does not prohibit discrimination based on sexual orientation.”).  More recently, the EEOC has published opinions (in cases involving federal-government employment) recognizing sexual-orientation and gender-identity claims as actionable under Title VII.  </w:t>
      </w:r>
      <w:r w:rsidRPr="00575F8C">
        <w:rPr>
          <w:i/>
        </w:rPr>
        <w:t>See Macy v. Holder</w:t>
      </w:r>
      <w:r>
        <w:t xml:space="preserve">, EEOC Appeal No. 0120120821, 2012 WL 1435995, at *4 (EEOC Apr. 20, 2012) (“clarif[ying] that claims of discrimination based on transgender status, also referred to as claims of discrimination based on gender identity, are cognizable under Title VII's sex discrimination prohibition, and may therefore be processed under Part 1614 of EEOC's federal sector EEO complaints process”); </w:t>
      </w:r>
      <w:r w:rsidRPr="00575F8C">
        <w:rPr>
          <w:i/>
        </w:rPr>
        <w:t>Baldwin v. Foxx</w:t>
      </w:r>
      <w:r>
        <w:t xml:space="preserve">, EEOC Appeal No. 0120133080, 2015 WL 4397641, at </w:t>
      </w:r>
      <w:r>
        <w:lastRenderedPageBreak/>
        <w:t xml:space="preserve">*10 (EEOC July 15, 2015) (holding “that Complainant’s allegations of discrimination on the basis of his sexual orientation state a claim of discrimination on the basis of sex within the meaning of Title VII”).  As of spring 2016, the Third Circuit has not revisited its holding in </w:t>
      </w:r>
      <w:r w:rsidRPr="00575F8C">
        <w:rPr>
          <w:i/>
        </w:rPr>
        <w:t>Bibby</w:t>
      </w:r>
      <w:r>
        <w:t xml:space="preserve"> since the issuance of these EEOC decisions.</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6A5CB51F" w:rsidR="00A47413" w:rsidRPr="002F29BD" w:rsidRDefault="00A47413" w:rsidP="00F70088">
      <w:pPr>
        <w:widowControl w:val="0"/>
        <w:spacing w:after="240"/>
        <w:jc w:val="both"/>
      </w:pPr>
      <w:r w:rsidRPr="002F29BD">
        <w:tab/>
        <w:t xml:space="preserve">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w:t>
      </w:r>
      <w:r w:rsidR="00925817">
        <w:t>motivating factor in [defendant’</w:t>
      </w:r>
      <w:r w:rsidRPr="002F29BD">
        <w:t>s] decision</w:t>
      </w:r>
      <w:r w:rsidR="00925817">
        <w:t xml:space="preserve"> to</w:t>
      </w:r>
      <w:r w:rsidRPr="002F29BD">
        <w:t xml:space="preserve">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6BBCFF90"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w:t>
      </w:r>
      <w:r w:rsidRPr="00160BDF">
        <w:t>plaintiff]]</w:t>
      </w:r>
      <w:r w:rsidR="00160BDF" w:rsidRPr="00160BDF">
        <w:rPr>
          <w:szCs w:val="24"/>
        </w:rPr>
        <w:t xml:space="preserve"> [or otherwise discriminated against [plaintiff] in a serious and tangible way with respect to [plaintiff’s] compensation, terms, conditions, or privileges of employment]</w:t>
      </w:r>
      <w:r w:rsidR="00160BDF" w:rsidRPr="00160BDF">
        <w:rPr>
          <w:rStyle w:val="FootnoteReference"/>
          <w:szCs w:val="24"/>
        </w:rPr>
        <w:footnoteReference w:id="4"/>
      </w:r>
      <w:r w:rsidRPr="00160BDF">
        <w:t xml:space="preserve">; </w:t>
      </w:r>
      <w:r w:rsidRPr="002F29BD">
        <w:t>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5"/>
      </w:r>
    </w:p>
    <w:p w14:paraId="31414ED4" w14:textId="1E1CC980" w:rsidR="00A47413" w:rsidRPr="002F29BD" w:rsidRDefault="00A47413" w:rsidP="00F70088">
      <w:pPr>
        <w:widowControl w:val="0"/>
        <w:spacing w:after="240"/>
        <w:jc w:val="both"/>
      </w:pPr>
      <w:r w:rsidRPr="002F29BD">
        <w:lastRenderedPageBreak/>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69886421"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defense  —  tracks the instructions approved in </w:t>
      </w:r>
      <w:r w:rsidRPr="002F29BD">
        <w:rPr>
          <w:i/>
        </w:rPr>
        <w:t>Desert Palace</w:t>
      </w:r>
      <w:r w:rsidRPr="002F29BD">
        <w:t xml:space="preserve">.  </w:t>
      </w:r>
    </w:p>
    <w:p w14:paraId="18387A76" w14:textId="73F394FE"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w:t>
      </w:r>
      <w:r w:rsidR="00483737">
        <w:t>For the moment</w:t>
      </w:r>
      <w:r w:rsidRPr="001A3E6D">
        <w:t xml:space="preserve">, the Committee has not attempted to determine whether the standard outlined in </w:t>
      </w:r>
      <w:r w:rsidRPr="00F432EF">
        <w:rPr>
          <w:i/>
        </w:rPr>
        <w:t>Egan</w:t>
      </w:r>
      <w:r w:rsidRPr="001A3E6D">
        <w:t xml:space="preserve"> also governs in Title VII cases. That standard differs from the suggestions offered in prior versions of this Comment; those prior suggestions are set out in a footnote.</w:t>
      </w:r>
      <w:r w:rsidR="00710B73">
        <w:rPr>
          <w:rStyle w:val="FootnoteReference"/>
        </w:rPr>
        <w:footnoteReference w:id="6"/>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it is clear that </w:t>
      </w:r>
      <w:r w:rsidRPr="002F29BD">
        <w:t xml:space="preserve">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r w:rsidRPr="002F29BD">
        <w:rPr>
          <w:i/>
        </w:rPr>
        <w:t xml:space="preserve">Makky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xml:space="preserve">, 490 U.S. </w:t>
      </w:r>
      <w:r w:rsidRPr="002F29BD">
        <w:lastRenderedPageBreak/>
        <w:t>228 (1989), under which a plaintiff may show that an employment decision was made based on both legitimate and illegitimate reasons.”).</w:t>
      </w:r>
      <w:r w:rsidR="00B0609C">
        <w:rPr>
          <w:rStyle w:val="FootnoteReference"/>
        </w:rPr>
        <w:footnoteReference w:id="7"/>
      </w:r>
      <w:r w:rsidRPr="002F29BD">
        <w:t xml:space="preserve"> </w:t>
      </w:r>
      <w:r w:rsidRPr="002F29BD">
        <w:rPr>
          <w:i/>
        </w:rPr>
        <w:t xml:space="preserve">See also 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r w:rsidRPr="002F29BD">
        <w:rPr>
          <w:i/>
        </w:rPr>
        <w:t>Starceski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(“[E]ven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1C8F8676" w14:textId="77777777" w:rsidR="001E3B63" w:rsidRPr="001906E3" w:rsidRDefault="001E3B63" w:rsidP="001E3B63">
      <w:pPr>
        <w:widowControl w:val="0"/>
        <w:shd w:val="clear" w:color="auto" w:fill="FFFFFF" w:themeFill="background1"/>
        <w:spacing w:after="240"/>
        <w:jc w:val="both"/>
        <w:rPr>
          <w:i/>
          <w:szCs w:val="24"/>
        </w:rPr>
      </w:pPr>
      <w:r w:rsidRPr="001906E3">
        <w:rPr>
          <w:i/>
          <w:szCs w:val="24"/>
        </w:rPr>
        <w:t>Adverse Employment Action – General Considerations</w:t>
      </w:r>
    </w:p>
    <w:p w14:paraId="49262985" w14:textId="77777777" w:rsidR="001E3B63" w:rsidRPr="001906E3" w:rsidRDefault="001E3B63" w:rsidP="001E3B63">
      <w:pPr>
        <w:widowControl w:val="0"/>
        <w:shd w:val="clear" w:color="auto" w:fill="FFFFFF" w:themeFill="background1"/>
        <w:spacing w:after="240"/>
        <w:ind w:firstLine="720"/>
        <w:jc w:val="both"/>
        <w:rPr>
          <w:szCs w:val="24"/>
        </w:rPr>
      </w:pPr>
      <w:r w:rsidRPr="001906E3">
        <w:rPr>
          <w:szCs w:val="24"/>
        </w:rPr>
        <w:t>Title VII provides that “[i]t shall be an unlawful employment practice for an employer … to fail or refuse to hire or to discharge any individual, or otherwise to discriminate against any individual with respect to his compensation, terms, conditions, or privileges of employment, because of such individual’s race, color, religion, sex, or national origin.”  42 U.S.C. § 2000e-2(a)(1).</w:t>
      </w:r>
      <w:r w:rsidRPr="001906E3">
        <w:rPr>
          <w:rStyle w:val="FootnoteReference"/>
          <w:szCs w:val="24"/>
        </w:rPr>
        <w:footnoteReference w:id="8"/>
      </w:r>
      <w:r w:rsidRPr="001906E3">
        <w:rPr>
          <w:szCs w:val="24"/>
        </w:rPr>
        <w:t xml:space="preserve">  Failures or refusals to hire and discharges are specifically included within the statute’s </w:t>
      </w:r>
      <w:r w:rsidRPr="001906E3">
        <w:rPr>
          <w:szCs w:val="24"/>
        </w:rPr>
        <w:lastRenderedPageBreak/>
        <w:t>scope.  Other employment actions are included if they “otherwise … discriminate against any individual with respect to his compensation, terms, conditions, or privileges of employment.”  Thus, wage discrimination counts as an adverse action, since it is discrimination with respect to compensation.</w:t>
      </w:r>
      <w:r w:rsidRPr="001906E3">
        <w:rPr>
          <w:rStyle w:val="FootnoteReference"/>
          <w:szCs w:val="24"/>
        </w:rPr>
        <w:footnoteReference w:id="9"/>
      </w:r>
      <w:r w:rsidRPr="001906E3">
        <w:rPr>
          <w:szCs w:val="24"/>
        </w:rPr>
        <w:t xml:space="preserve">  The circumstances under which harassing conduct rises to the level of discrimination in the terms, conditions, or privileges of employment have been spelled out by caselaw,</w:t>
      </w:r>
      <w:r w:rsidRPr="001906E3">
        <w:rPr>
          <w:rStyle w:val="FootnoteReference"/>
          <w:szCs w:val="24"/>
        </w:rPr>
        <w:footnoteReference w:id="10"/>
      </w:r>
      <w:r w:rsidRPr="001906E3">
        <w:rPr>
          <w:szCs w:val="24"/>
        </w:rPr>
        <w:t xml:space="preserve"> and Instructions 5.1.3 through 5.1.5 accordingly guide the jury through the application of the standards that the Supreme Court and Third Circuit caselaw have set.  Likewise, constructive discharge counts as action that affects employment terms, conditions, or privileges,</w:t>
      </w:r>
      <w:r w:rsidRPr="001906E3">
        <w:rPr>
          <w:rStyle w:val="FootnoteReference"/>
          <w:szCs w:val="24"/>
        </w:rPr>
        <w:footnoteReference w:id="11"/>
      </w:r>
      <w:r w:rsidRPr="001906E3">
        <w:rPr>
          <w:szCs w:val="24"/>
        </w:rPr>
        <w:t xml:space="preserve"> and Instruction 5.2.2 guides the jury on how to assess whether a constructive discharge has occurred.  “[T]he ‘terms, conditions, or privileges of employment’ clearly include benefits that are part of an employment contract.”</w:t>
      </w:r>
      <w:r w:rsidRPr="001906E3">
        <w:rPr>
          <w:rStyle w:val="FootnoteReference"/>
          <w:szCs w:val="24"/>
        </w:rPr>
        <w:footnoteReference w:id="12"/>
      </w:r>
      <w:r w:rsidRPr="001906E3">
        <w:rPr>
          <w:szCs w:val="24"/>
        </w:rPr>
        <w:t xml:space="preserve">  But, in addition, the term “privileges” encompasses benefits that, though they are not contractually required, are incidents of employment or form part and parcel of the employment relationship.</w:t>
      </w:r>
      <w:r w:rsidRPr="001906E3">
        <w:rPr>
          <w:rStyle w:val="FootnoteReference"/>
          <w:szCs w:val="24"/>
        </w:rPr>
        <w:footnoteReference w:id="13"/>
      </w:r>
      <w:r w:rsidRPr="001906E3">
        <w:rPr>
          <w:szCs w:val="24"/>
        </w:rPr>
        <w:t xml:space="preserve">  The Court of Appeals has indicated that an alteration of the terms, </w:t>
      </w:r>
      <w:r w:rsidRPr="001906E3">
        <w:rPr>
          <w:szCs w:val="24"/>
        </w:rPr>
        <w:lastRenderedPageBreak/>
        <w:t>conditions, or privileges of employment must be “serious and tangible” in order to be actionable.</w:t>
      </w:r>
      <w:r w:rsidRPr="001906E3">
        <w:rPr>
          <w:rStyle w:val="FootnoteReference"/>
          <w:szCs w:val="24"/>
        </w:rPr>
        <w:footnoteReference w:id="14"/>
      </w:r>
      <w:r w:rsidRPr="001906E3">
        <w:rPr>
          <w:szCs w:val="24"/>
        </w:rPr>
        <w:t xml:space="preserve">  But there is not a great deal of Third Circuit caselaw addressing what meets that test or who should decide whether the test is met.  Some of the relevant caselaw arose in the context of Title VII retaliation claims, which – before the Supreme Court’s 2006 decision in </w:t>
      </w:r>
      <w:r w:rsidRPr="001906E3">
        <w:rPr>
          <w:i/>
          <w:szCs w:val="24"/>
        </w:rPr>
        <w:t>Burlington Northern</w:t>
      </w:r>
      <w:r w:rsidRPr="001906E3">
        <w:rPr>
          <w:szCs w:val="24"/>
        </w:rPr>
        <w:t xml:space="preserve"> – were subject (in the Third Circuit) to the same “adverse employment action” test as claims under Title VII’s substantive discrimination provision.</w:t>
      </w:r>
      <w:r w:rsidRPr="001906E3">
        <w:rPr>
          <w:rStyle w:val="FootnoteReference"/>
          <w:szCs w:val="24"/>
        </w:rPr>
        <w:footnoteReference w:id="15"/>
      </w:r>
      <w:r w:rsidRPr="001906E3">
        <w:rPr>
          <w:szCs w:val="24"/>
        </w:rPr>
        <w:t xml:space="preserve">  In a number of instances, the Court of Appeals has affirmed grants of summary judgment that turned upon a ruling concerning the absence of an adverse employment action.</w:t>
      </w:r>
      <w:r w:rsidRPr="001906E3">
        <w:rPr>
          <w:rStyle w:val="FootnoteReference"/>
          <w:szCs w:val="24"/>
        </w:rPr>
        <w:footnoteReference w:id="16"/>
      </w:r>
      <w:r w:rsidRPr="001906E3">
        <w:rPr>
          <w:szCs w:val="24"/>
        </w:rPr>
        <w:t xml:space="preserve">  On the other hand, where the material adverseness of an employment action requires assessment of fact-specific circumstances, the Court of Appeals has on at least one occasion specified that this assessment is for the jury rather than the judge.</w:t>
      </w:r>
      <w:r w:rsidRPr="001906E3">
        <w:rPr>
          <w:rStyle w:val="FootnoteReference"/>
          <w:szCs w:val="24"/>
        </w:rPr>
        <w:footnoteReference w:id="17"/>
      </w:r>
      <w:r w:rsidRPr="001906E3">
        <w:rPr>
          <w:szCs w:val="24"/>
        </w:rPr>
        <w:t xml:space="preserve">  Failure </w:t>
      </w:r>
      <w:r w:rsidRPr="001906E3">
        <w:rPr>
          <w:szCs w:val="24"/>
        </w:rPr>
        <w:lastRenderedPageBreak/>
        <w:t>to accommodate a religious practice can be the basis for a claim under Section 2000e-2(a)(1), but the model instructions do not attempt to formulate an instruction for use in such cases.</w:t>
      </w:r>
      <w:r w:rsidRPr="001906E3">
        <w:rPr>
          <w:rStyle w:val="FootnoteReference"/>
          <w:szCs w:val="24"/>
        </w:rPr>
        <w:footnoteReference w:id="18"/>
      </w:r>
    </w:p>
    <w:p w14:paraId="6249B5C1" w14:textId="7A05DF97" w:rsidR="00F77E19" w:rsidRPr="001E3B63" w:rsidRDefault="001E3B63" w:rsidP="001E3B63">
      <w:pPr>
        <w:widowControl w:val="0"/>
        <w:shd w:val="clear" w:color="auto" w:fill="FFFFFF" w:themeFill="background1"/>
        <w:spacing w:after="240"/>
        <w:ind w:firstLine="720"/>
        <w:jc w:val="both"/>
        <w:rPr>
          <w:szCs w:val="24"/>
        </w:rPr>
      </w:pPr>
      <w:r w:rsidRPr="001906E3">
        <w:rPr>
          <w:szCs w:val="24"/>
        </w:rPr>
        <w:t>Instruction 5.1.1 offers a list of alternatives by which the plaintiff could meet the “adverse employment action” element – failure to hire; failure to renew an employment agreement; failure to promote; demotion; termination; constructive discharge; or “otherwise discriminat[ing] against [plaintiff] in a serious and tangible way with respect to [plaintiff’s] compensation, terms, conditions, or privileges of employment.”  In a case where the plaintiff relies upon the last of these options (“otherwise discriminat[ing]”),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serious and tangible); as to such actions, the Committee has not attempted to determine whether it is for the judge or for the jury to decide whether the action was serious and tangible so as to count as an adverse employment action.</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w:t>
      </w:r>
      <w:r>
        <w:lastRenderedPageBreak/>
        <w:t xml:space="preserve">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r w:rsidRPr="002F29BD">
        <w:rPr>
          <w:i/>
        </w:rPr>
        <w:t xml:space="preserve">Makky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r w:rsidRPr="002F29BD">
        <w:rPr>
          <w:i/>
        </w:rPr>
        <w:t xml:space="preserve">Makky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sidRPr="002F29BD">
        <w:rPr>
          <w:i/>
        </w:rPr>
        <w:t>Makky</w:t>
      </w:r>
      <w:r w:rsidRPr="002F29BD">
        <w:t xml:space="preserve">. The examples given by the court are in the nature of licenses or certifications by an external body — in the vast majority of cases, the parties will not dispute whether the license or certification was issued. (In </w:t>
      </w:r>
      <w:r w:rsidRPr="002F29BD">
        <w:rPr>
          <w:i/>
        </w:rPr>
        <w:t xml:space="preserve">Makky, </w:t>
      </w:r>
      <w:r w:rsidRPr="002F29BD">
        <w:t>the requirement was that the employee 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71A71FAE" w14:textId="28A7BCDB" w:rsidR="00143162" w:rsidRPr="002F29BD" w:rsidRDefault="00A47413" w:rsidP="00F70088">
      <w:pPr>
        <w:widowControl w:val="0"/>
        <w:spacing w:after="240"/>
        <w:jc w:val="both"/>
      </w:pPr>
      <w:r w:rsidRPr="002F29BD">
        <w:lastRenderedPageBreak/>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3"/>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7E8C1035" w:rsidR="00A47413" w:rsidRPr="002F29BD" w:rsidRDefault="00A47413" w:rsidP="00F70088">
      <w:pPr>
        <w:widowControl w:val="0"/>
        <w:spacing w:after="240"/>
        <w:jc w:val="both"/>
      </w:pPr>
      <w:r w:rsidRPr="002F29BD">
        <w:tab/>
        <w:t>In this case [plaintiff] is alleging that</w:t>
      </w:r>
      <w:r w:rsidR="00764D63">
        <w:t xml:space="preserve"> [defendant]</w:t>
      </w:r>
      <w:r w:rsidRPr="002F29BD">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322BD57E"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w:t>
      </w:r>
      <w:r w:rsidRPr="007A181D">
        <w:t>]]</w:t>
      </w:r>
      <w:r w:rsidR="007A181D" w:rsidRPr="007A181D">
        <w:rPr>
          <w:szCs w:val="24"/>
        </w:rPr>
        <w:t xml:space="preserve"> [or otherwise discriminated against [plaintiff] in a serious and tangible way with respect to [plaintiff’s] compensation, terms, conditions, or privileges of employment]</w:t>
      </w:r>
      <w:r w:rsidR="007A181D" w:rsidRPr="007A181D">
        <w:rPr>
          <w:rStyle w:val="FootnoteReference"/>
          <w:szCs w:val="24"/>
        </w:rPr>
        <w:footnoteReference w:id="19"/>
      </w:r>
      <w:r w:rsidRPr="002F29BD">
        <w:t>;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5FC95F5E" w:rsidR="00A47413" w:rsidRPr="002F29BD" w:rsidRDefault="00A47413" w:rsidP="00F70088">
      <w:pPr>
        <w:widowControl w:val="0"/>
        <w:spacing w:after="240"/>
        <w:jc w:val="both"/>
      </w:pPr>
      <w:r w:rsidRPr="002F29BD">
        <w:tab/>
      </w:r>
      <w:bookmarkStart w:id="0" w:name="Pretext_language_start"/>
      <w:r w:rsidR="00903A7B" w:rsidRPr="00903A7B">
        <w:rPr>
          <w:szCs w:val="24"/>
        </w:rPr>
        <w:t xml:space="preserve">You should weigh </w:t>
      </w:r>
      <w:bookmarkEnd w:id="0"/>
      <w:r w:rsidR="00903A7B" w:rsidRPr="00903A7B">
        <w:rPr>
          <w:szCs w:val="24"/>
        </w:rPr>
        <w:t>all the evidence received in the case in deciding whether [defendant] intentionally discriminated against [plaintiff]</w:t>
      </w:r>
      <w:r w:rsidR="00903A7B" w:rsidRPr="00903A7B">
        <w:t>.</w:t>
      </w:r>
      <w:r w:rsidR="00903A7B" w:rsidRPr="002F29BD">
        <w:t xml:space="preserve"> </w:t>
      </w:r>
      <w:r w:rsidRPr="002F29BD">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w:t>
      </w:r>
      <w:r w:rsidR="00B00D3E">
        <w:t>.</w:t>
      </w:r>
      <w:r w:rsidRPr="002F29BD">
        <w:t>]</w:t>
      </w:r>
    </w:p>
    <w:p w14:paraId="462DE61C" w14:textId="0C0C66A3" w:rsidR="00A47413" w:rsidRPr="002F29BD" w:rsidRDefault="00A47413" w:rsidP="00F70088">
      <w:pPr>
        <w:widowControl w:val="0"/>
        <w:spacing w:after="240"/>
        <w:jc w:val="both"/>
      </w:pPr>
      <w:r w:rsidRPr="002F29BD">
        <w:tab/>
        <w:t>[Defendant] has given a nondiscriminatory reason for its [describe defendant’s action].</w:t>
      </w:r>
      <w:r w:rsidR="00327A0F">
        <w:t xml:space="preserve"> </w:t>
      </w:r>
      <w:r w:rsidR="00327A0F" w:rsidRPr="00327A0F">
        <w:rPr>
          <w:szCs w:val="24"/>
        </w:rPr>
        <w:t xml:space="preserve">If you believe [defendant’s] stated reason and if you find that the [adverse employment action] would have occurred because of defendant’s stated reason regardless of [plaintiff’s] </w:t>
      </w:r>
      <w:r w:rsidR="00785FB7">
        <w:rPr>
          <w:szCs w:val="24"/>
        </w:rPr>
        <w:t>[protected status]</w:t>
      </w:r>
      <w:r w:rsidR="00327A0F" w:rsidRPr="00327A0F">
        <w:rPr>
          <w:szCs w:val="24"/>
        </w:rPr>
        <w:t>, then you must find for [defendant].</w:t>
      </w:r>
      <w:r w:rsidRPr="002F29BD">
        <w:t xml:space="preserve"> If you disbelieve [defendant’s] </w:t>
      </w:r>
      <w:r w:rsidR="009E28C5">
        <w:t>stated reason</w:t>
      </w:r>
      <w:r w:rsidRPr="002F29BD">
        <w:t xml:space="preserve"> for its conduct, then you may, but need not, find that [plaintiff] has proved intentional discrimination. In</w:t>
      </w:r>
      <w:r w:rsidR="00D72757">
        <w:t xml:space="preserve"> determining whether [defendant’</w:t>
      </w:r>
      <w:r w:rsidRPr="002F29BD">
        <w:t>s] stated reason for its actions was a pretext, or excuse, for discrimination, you may not question [defendant</w:t>
      </w:r>
      <w:r w:rsidR="00E17951">
        <w:t>’</w:t>
      </w:r>
      <w:r w:rsidRPr="002F29BD">
        <w:t xml:space="preserve">s] business judgment. You cannot find intentional discrimination simply because you disagree with the business judgment of [defendant] or believe </w:t>
      </w:r>
      <w:r w:rsidRPr="002F29BD">
        <w:lastRenderedPageBreak/>
        <w:t>it is harsh or unreasonable. You are not to consider [defendant's] wisdom. However, you may consider whether</w:t>
      </w:r>
      <w:r w:rsidR="00FB3FCD">
        <w:t xml:space="preserve"> [plaintiff] has proven that</w:t>
      </w:r>
      <w:r w:rsidRPr="002F29BD">
        <w:t xml:space="preserve"> [defendant</w:t>
      </w:r>
      <w:r w:rsidR="00FB3FCD">
        <w:t>’</w:t>
      </w:r>
      <w:r w:rsidRPr="002F29BD">
        <w:t>s] reason is merely a cover-up for discrimination.</w:t>
      </w:r>
    </w:p>
    <w:p w14:paraId="106AE4EB" w14:textId="1A85B5B0"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w:t>
      </w:r>
      <w:r w:rsidR="001628E6">
        <w:t>ans that if not for [plaintiff’</w:t>
      </w:r>
      <w:r w:rsidRPr="002F29BD">
        <w:t xml:space="preserve">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20"/>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lastRenderedPageBreak/>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24791C83" w:rsidR="00A47413" w:rsidRPr="002F29BD" w:rsidRDefault="00A47413" w:rsidP="00F70088">
      <w:pPr>
        <w:widowControl w:val="0"/>
        <w:spacing w:after="240"/>
        <w:jc w:val="both"/>
      </w:pPr>
      <w:r w:rsidRPr="002F29BD">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1" w:name="citeas((Cite_as:_100_F.3d_1061,_*1067)"/>
      <w:bookmarkStart w:id="2" w:name="citeas__Cite_as__100_F_3d_1061___1067_"/>
      <w:bookmarkEnd w:id="1"/>
      <w:bookmarkEnd w:id="2"/>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r w:rsidR="00682CFD" w:rsidRPr="00682CFD">
        <w:rPr>
          <w:i/>
        </w:rPr>
        <w:t>LeBoon v. Lancaster Jewish Cmty. Ctr. Ass’n</w:t>
      </w:r>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w:t>
      </w:r>
      <w:r w:rsidRPr="002F29BD">
        <w:lastRenderedPageBreak/>
        <w:t xml:space="preserve">rested with Atkinson to demonstrate that the reasons proffered were pretextual and that gender was a determinative factor in the decisions.”);  </w:t>
      </w:r>
      <w:r w:rsidRPr="002F29BD">
        <w:rPr>
          <w:i/>
        </w:rPr>
        <w:t xml:space="preserve">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21"/>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00CDBF85" w:rsidR="00CD2A7F" w:rsidRPr="002F29BD" w:rsidRDefault="00BD290F" w:rsidP="00F70088">
      <w:pPr>
        <w:spacing w:after="240"/>
        <w:jc w:val="both"/>
      </w:pPr>
      <w:r w:rsidRPr="002F29BD">
        <w:rPr>
          <w:i/>
        </w:rPr>
        <w:lastRenderedPageBreak/>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 (quoting </w:t>
      </w:r>
      <w:r w:rsidRPr="002F29BD">
        <w:rPr>
          <w:i/>
        </w:rPr>
        <w:t>Fuentes</w:t>
      </w:r>
      <w:r w:rsidRPr="002F29BD">
        <w:t>, 32 F.3d at 764).).</w:t>
      </w:r>
    </w:p>
    <w:p w14:paraId="3C9F548E" w14:textId="20D13501"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 xml:space="preserve">2006 WL 680871 at *4 (M.D.Pa.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 xml:space="preserve">207 F.3d 207, 214-15 &amp; n. 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6619FCF0" w:rsidR="00A47413" w:rsidRDefault="00A47413" w:rsidP="00F70088">
      <w:pPr>
        <w:widowControl w:val="0"/>
        <w:spacing w:after="240"/>
        <w:jc w:val="both"/>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00D7681B">
        <w:t xml:space="preserve"> that “</w:t>
      </w:r>
      <w:r w:rsidRPr="002F29BD">
        <w:t xml:space="preserve">[b]arring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w:t>
      </w:r>
      <w:r w:rsidR="00D7681B">
        <w:t>o certain positions.”</w:t>
      </w:r>
      <w:bookmarkStart w:id="3" w:name="SR;16665"/>
      <w:bookmarkStart w:id="4" w:name="SR_16665"/>
      <w:bookmarkEnd w:id="3"/>
      <w:bookmarkEnd w:id="4"/>
      <w:r w:rsidRPr="002F29BD">
        <w:t xml:space="preserve"> The </w:t>
      </w:r>
      <w:r w:rsidRPr="002F29BD">
        <w:rPr>
          <w:i/>
        </w:rPr>
        <w:t>Billet</w:t>
      </w:r>
      <w:r w:rsidR="00D7681B">
        <w:t xml:space="preserve"> court noted that “</w:t>
      </w:r>
      <w:r w:rsidRPr="002F29BD">
        <w:t xml:space="preserve">[a] plaintiff has the burden of casting doubt on an </w:t>
      </w:r>
      <w:r w:rsidRPr="002F29BD">
        <w:rPr>
          <w:rStyle w:val="searchterm"/>
        </w:rPr>
        <w:t>employer's</w:t>
      </w:r>
      <w:bookmarkStart w:id="5" w:name="SR;16693"/>
      <w:bookmarkStart w:id="6" w:name="SR_16693"/>
      <w:bookmarkEnd w:id="5"/>
      <w:bookmarkEnd w:id="6"/>
      <w:r w:rsidRPr="002F29BD">
        <w:t xml:space="preserve"> articulated </w:t>
      </w:r>
      <w:r w:rsidRPr="002F29BD">
        <w:rPr>
          <w:rStyle w:val="searchterm"/>
        </w:rPr>
        <w:t>reasons</w:t>
      </w:r>
      <w:bookmarkStart w:id="7" w:name="SR;16695"/>
      <w:bookmarkStart w:id="8" w:name="SR_16695"/>
      <w:bookmarkEnd w:id="7"/>
      <w:bookmarkEnd w:id="8"/>
      <w:r w:rsidRPr="002F29BD">
        <w:t xml:space="preserve"> for an </w:t>
      </w:r>
      <w:r w:rsidRPr="002F29BD">
        <w:rPr>
          <w:rStyle w:val="searchterm"/>
        </w:rPr>
        <w:t>employment decision</w:t>
      </w:r>
      <w:bookmarkStart w:id="9" w:name="SR;16699"/>
      <w:bookmarkStart w:id="10" w:name="SR_16699"/>
      <w:bookmarkEnd w:id="9"/>
      <w:bookmarkEnd w:id="10"/>
      <w:r w:rsidRPr="002F29BD">
        <w:t xml:space="preserve">. Without some evidence to cast this doubt, this Court will </w:t>
      </w:r>
      <w:r w:rsidRPr="002F29BD">
        <w:rPr>
          <w:rStyle w:val="searchterm"/>
        </w:rPr>
        <w:t>not</w:t>
      </w:r>
      <w:bookmarkStart w:id="11" w:name="SR;16711"/>
      <w:bookmarkStart w:id="12" w:name="SR_16711"/>
      <w:bookmarkEnd w:id="11"/>
      <w:bookmarkEnd w:id="12"/>
      <w:r w:rsidRPr="002F29BD">
        <w:t xml:space="preserve"> interfere in an otherwise valid management </w:t>
      </w:r>
      <w:r w:rsidRPr="002F29BD">
        <w:rPr>
          <w:rStyle w:val="searchterm"/>
        </w:rPr>
        <w:t>decision</w:t>
      </w:r>
      <w:bookmarkStart w:id="13" w:name="SR;16718"/>
      <w:bookmarkStart w:id="14" w:name="SR_16718"/>
      <w:bookmarkEnd w:id="13"/>
      <w:bookmarkEnd w:id="14"/>
      <w:r w:rsidRPr="002F29BD">
        <w:t>.</w:t>
      </w:r>
      <w:r w:rsidR="00D7681B">
        <w:t>”</w:t>
      </w:r>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 n. 6 (1st Cir.1979)</w:t>
      </w:r>
      <w:bookmarkStart w:id="15" w:name="SR;16757"/>
      <w:bookmarkStart w:id="16" w:name="SR_16757"/>
      <w:bookmarkEnd w:id="15"/>
      <w:bookmarkEnd w:id="16"/>
      <w:r w:rsidR="00D7681B">
        <w:t>, where the court stated that “</w:t>
      </w:r>
      <w:r w:rsidRPr="002F29BD">
        <w:t xml:space="preserve">[w]hile an </w:t>
      </w:r>
      <w:r w:rsidRPr="002F29BD">
        <w:rPr>
          <w:rStyle w:val="searchterm"/>
        </w:rPr>
        <w:t>employer's</w:t>
      </w:r>
      <w:bookmarkStart w:id="17" w:name="SR;16774"/>
      <w:bookmarkStart w:id="18" w:name="SR_16774"/>
      <w:bookmarkEnd w:id="17"/>
      <w:bookmarkEnd w:id="18"/>
      <w:r w:rsidRPr="002F29BD">
        <w:t xml:space="preserve"> judgment or course of </w:t>
      </w:r>
      <w:r w:rsidRPr="002F29BD">
        <w:rPr>
          <w:rStyle w:val="searchterm"/>
        </w:rPr>
        <w:t>action</w:t>
      </w:r>
      <w:bookmarkStart w:id="19" w:name="SR;16779"/>
      <w:bookmarkStart w:id="20" w:name="SR_16779"/>
      <w:bookmarkEnd w:id="19"/>
      <w:bookmarkEnd w:id="20"/>
      <w:r w:rsidRPr="002F29BD">
        <w:t xml:space="preserve"> may seem poor or erroneous to outsiders, the relevant </w:t>
      </w:r>
      <w:r w:rsidRPr="002F29BD">
        <w:rPr>
          <w:rStyle w:val="searchterm"/>
        </w:rPr>
        <w:t>question</w:t>
      </w:r>
      <w:bookmarkStart w:id="21" w:name="SR;16789"/>
      <w:bookmarkStart w:id="22" w:name="SR_16789"/>
      <w:bookmarkEnd w:id="21"/>
      <w:bookmarkEnd w:id="22"/>
      <w:r w:rsidRPr="002F29BD">
        <w:t xml:space="preserve"> is simply whether the given </w:t>
      </w:r>
      <w:r w:rsidRPr="002F29BD">
        <w:rPr>
          <w:rStyle w:val="searchterm"/>
        </w:rPr>
        <w:t>reason</w:t>
      </w:r>
      <w:bookmarkStart w:id="23" w:name="SR;16795"/>
      <w:bookmarkStart w:id="24" w:name="SR_16795"/>
      <w:bookmarkEnd w:id="23"/>
      <w:bookmarkEnd w:id="24"/>
      <w:r w:rsidRPr="002F29BD">
        <w:t xml:space="preserve"> was a </w:t>
      </w:r>
      <w:r w:rsidRPr="002F29BD">
        <w:rPr>
          <w:rStyle w:val="searchterm"/>
        </w:rPr>
        <w:t>pretext</w:t>
      </w:r>
      <w:bookmarkStart w:id="25" w:name="SR;16798"/>
      <w:bookmarkStart w:id="26" w:name="SR_16798"/>
      <w:bookmarkEnd w:id="25"/>
      <w:bookmarkEnd w:id="26"/>
      <w:r w:rsidRPr="002F29BD">
        <w:t xml:space="preserve"> for illegal </w:t>
      </w:r>
      <w:r w:rsidRPr="002F29BD">
        <w:rPr>
          <w:rStyle w:val="searchterm"/>
        </w:rPr>
        <w:t>discrimination</w:t>
      </w:r>
      <w:bookmarkStart w:id="27" w:name="SR;16801"/>
      <w:bookmarkStart w:id="28" w:name="SR_16801"/>
      <w:bookmarkEnd w:id="27"/>
      <w:bookmarkEnd w:id="28"/>
      <w:r w:rsidR="00D7681B">
        <w:t>.”</w:t>
      </w:r>
    </w:p>
    <w:p w14:paraId="33989A87" w14:textId="77777777" w:rsidR="00AE1E92" w:rsidRPr="001555E0" w:rsidRDefault="00AE1E92" w:rsidP="00AE1E92">
      <w:pPr>
        <w:widowControl w:val="0"/>
        <w:shd w:val="clear" w:color="auto" w:fill="FFFFFF" w:themeFill="background1"/>
        <w:spacing w:after="240"/>
        <w:jc w:val="both"/>
        <w:rPr>
          <w:i/>
          <w:szCs w:val="24"/>
        </w:rPr>
      </w:pPr>
      <w:r w:rsidRPr="001555E0">
        <w:rPr>
          <w:i/>
          <w:szCs w:val="24"/>
        </w:rPr>
        <w:t>Adverse Employment Action – General Considerations</w:t>
      </w:r>
    </w:p>
    <w:p w14:paraId="74A2CBD3" w14:textId="006D06F6" w:rsidR="00D7681B" w:rsidRPr="00AE1E92" w:rsidRDefault="00AE1E92" w:rsidP="00AE1E92">
      <w:pPr>
        <w:widowControl w:val="0"/>
        <w:spacing w:after="240"/>
        <w:ind w:firstLine="720"/>
        <w:jc w:val="both"/>
      </w:pPr>
      <w:r w:rsidRPr="001555E0">
        <w:rPr>
          <w:szCs w:val="24"/>
        </w:rPr>
        <w:t xml:space="preserve">Instruction 5.1.2 offers a list of alternatives by which the plaintiff could meet the “adverse employment action” element – failure to hire; failure to renew an employment agreement; failure to promote; demotion; termination; constructive discharge; or “otherwise discriminat[ing] against [plaintiff] in a serious and tangible way with respect to [plaintiff’s] compensation, terms, conditions, or privileges of employment.”  In a case where the plaintiff relies upon the last of these options (“otherwise discriminat[ing]”), the court will need to determine whether categorizing the event(s) in question as an adverse employment action presents a question of law for the court or a question for the jury.  As noted below, some types of actions are categorically outside the ambit </w:t>
      </w:r>
      <w:r w:rsidRPr="001555E0">
        <w:rPr>
          <w:szCs w:val="24"/>
        </w:rPr>
        <w:lastRenderedPageBreak/>
        <w:t>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sufficiently serious and tangible); as to such actions, the Committee has not attempted to determine whether it is for the judge or for the jury to decide whether the action was sufficiently serious and tangible to count as an adverse employment action.  See Comment 5.1.1 for further discussion of this issue.</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w[ould]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w:t>
      </w:r>
      <w:r w:rsidRPr="002F29BD">
        <w:lastRenderedPageBreak/>
        <w:t xml:space="preserve">has met an objective job requirement within the meaning of </w:t>
      </w:r>
      <w:r w:rsidRPr="002F29BD">
        <w:rPr>
          <w:i/>
        </w:rPr>
        <w:t>Makky</w:t>
      </w:r>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22"/>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 xml:space="preserve">take tangible employment action against [plaintiff].  [As you will recall, a tangible employment action is defined as a significant change in employment status, such as hiring, firing, failing to promote, reassignment with significantly different </w:t>
      </w:r>
      <w:r w:rsidR="002B6595" w:rsidRPr="002F29BD">
        <w:lastRenderedPageBreak/>
        <w:t>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23"/>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See Burlington Industries, Inc. v. Ellerth</w:t>
      </w:r>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 xml:space="preserve">29 C.F.R. § 1604.11(a)(2).  In a case where the plaintiff rests the quid pro quo </w:t>
      </w:r>
      <w:r w:rsidRPr="002F29BD">
        <w:lastRenderedPageBreak/>
        <w:t>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Burlington Industries, Inc. v. Ellerth</w:t>
      </w:r>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r w:rsidRPr="002F29BD">
        <w:rPr>
          <w:i/>
        </w:rPr>
        <w:t>Ellerth</w:t>
      </w:r>
      <w:r w:rsidRPr="002F29BD">
        <w:t>, 524 U.S. at 765.</w:t>
      </w:r>
    </w:p>
    <w:p w14:paraId="4CF33D3D" w14:textId="2EEC76A9"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Burlington Industries, Inc. v. Ellerth</w:t>
      </w:r>
      <w:r w:rsidRPr="002F29BD">
        <w:t>, 524 U.S. 742, 761 (1998).</w:t>
      </w:r>
      <w:r w:rsidR="00A35CEB">
        <w:rPr>
          <w:rStyle w:val="FootnoteReference"/>
        </w:rPr>
        <w:footnoteReference w:id="24"/>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xml:space="preserve">., 796 F.3d 323, 328 (3d Cir. 2015) (holding that a paid suspension while an employee was investigated for </w:t>
      </w:r>
      <w:r w:rsidR="005F5C0E" w:rsidRPr="005F5C0E">
        <w:lastRenderedPageBreak/>
        <w:t>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r w:rsidRPr="002F29BD">
        <w:rPr>
          <w:i/>
        </w:rPr>
        <w:t xml:space="preserve">Ellerth / 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3652348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r w:rsidRPr="002F29BD">
        <w:rPr>
          <w:i/>
        </w:rPr>
        <w:t>Ellerth</w:t>
      </w:r>
      <w:r w:rsidRPr="002F29BD">
        <w:t xml:space="preserve">, 524 U.S. at 754.  And on the question of employer liability, because such a claim involves no tangible employment action, the </w:t>
      </w:r>
      <w:r w:rsidRPr="002F29BD">
        <w:rPr>
          <w:i/>
        </w:rPr>
        <w:t xml:space="preserve">Ellerth / 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r w:rsidRPr="002F29BD">
        <w:rPr>
          <w:i/>
        </w:rPr>
        <w:t>Ellerth</w:t>
      </w:r>
      <w:r w:rsidRPr="002F29BD">
        <w:t xml:space="preserve"> a plaintiff in such a case would need to meet the hostile environment standard for proving discrimination.  What is less clear is whether the same is true for cases in which the plaintiff submits to the supervisor’s advances.  Neither </w:t>
      </w:r>
      <w:r w:rsidRPr="002F29BD">
        <w:rPr>
          <w:i/>
        </w:rPr>
        <w:t>Ellerth</w:t>
      </w:r>
      <w:r w:rsidRPr="002F29BD">
        <w:t xml:space="preserve"> nor </w:t>
      </w:r>
      <w:r w:rsidRPr="002F29BD">
        <w:rPr>
          <w:i/>
        </w:rPr>
        <w:t>Faragher</w:t>
      </w:r>
      <w:r w:rsidRPr="002F29BD">
        <w:t xml:space="preserve"> was such a case and those cases do not directly illuminate the question. </w:t>
      </w:r>
    </w:p>
    <w:p w14:paraId="4E8BF556" w14:textId="470BD947" w:rsidR="00A47413" w:rsidRPr="002F29BD" w:rsidRDefault="00A47413" w:rsidP="00F70088">
      <w:pPr>
        <w:widowControl w:val="0"/>
        <w:spacing w:after="240"/>
        <w:jc w:val="both"/>
      </w:pPr>
      <w:r w:rsidRPr="002F29BD">
        <w:tab/>
        <w:t xml:space="preserve">Similarly, on the question of employer liability </w:t>
      </w:r>
      <w:r w:rsidRPr="002F29BD">
        <w:rPr>
          <w:i/>
        </w:rPr>
        <w:t>Ellerth</w:t>
      </w:r>
      <w:r w:rsidRPr="002F29BD">
        <w:t xml:space="preserve"> and </w:t>
      </w:r>
      <w:r w:rsidRPr="002F29BD">
        <w:rPr>
          <w:i/>
        </w:rPr>
        <w:t>Faragher</w:t>
      </w:r>
      <w:r w:rsidRPr="002F29BD">
        <w:t xml:space="preserve"> do not directly address whether the </w:t>
      </w:r>
      <w:r w:rsidRPr="002F29BD">
        <w:rPr>
          <w:i/>
        </w:rPr>
        <w:t xml:space="preserve">Ellerth / Faragher </w:t>
      </w:r>
      <w:r w:rsidRPr="002F29BD">
        <w:t xml:space="preserve">affirmative defense would be available in such a case.  The </w:t>
      </w:r>
      <w:r w:rsidRPr="002F29BD">
        <w:lastRenderedPageBreak/>
        <w:t xml:space="preserve">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r w:rsidRPr="002F29BD">
        <w:rPr>
          <w:i/>
        </w:rPr>
        <w:t>Ellerth</w:t>
      </w:r>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r w:rsidRPr="002F29BD">
        <w:rPr>
          <w:i/>
        </w:rPr>
        <w:t>Ellerth</w:t>
      </w:r>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see Ellerth</w:t>
      </w:r>
      <w:r w:rsidRPr="002F29BD">
        <w:t xml:space="preserve">, 524 U.S. at 762 (stressing that tangible employment actions are usually documented, may be subject to review by the employer, and may require the employer’s approval); </w:t>
      </w:r>
      <w:r w:rsidRPr="002F29BD">
        <w:rPr>
          <w:i/>
        </w:rPr>
        <w:t>see also Lutkewitte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r w:rsidRPr="002F29BD">
        <w:rPr>
          <w:i/>
        </w:rPr>
        <w:t>Ellerth</w:t>
      </w:r>
      <w:r w:rsidRPr="002F29BD">
        <w:t xml:space="preserve">, 524 U.S. at 762). </w:t>
      </w:r>
    </w:p>
    <w:p w14:paraId="40BA56CD" w14:textId="359E7795" w:rsidR="001947F0" w:rsidRPr="002F29BD" w:rsidRDefault="001947F0" w:rsidP="008F7050">
      <w:pPr>
        <w:widowControl w:val="0"/>
        <w:spacing w:after="240"/>
        <w:ind w:firstLine="720"/>
        <w:jc w:val="both"/>
      </w:pPr>
      <w:r w:rsidRPr="001947F0">
        <w:t xml:space="preserve">Some uncertain light was shed on the availability of the </w:t>
      </w:r>
      <w:r w:rsidRPr="008F7050">
        <w:rPr>
          <w:i/>
        </w:rPr>
        <w:t>Ellerth</w:t>
      </w:r>
      <w:r w:rsidRPr="001947F0">
        <w:t xml:space="preserve"> / </w:t>
      </w:r>
      <w:r w:rsidRPr="008F7050">
        <w:rPr>
          <w:i/>
        </w:rPr>
        <w:t>Faragher</w:t>
      </w:r>
      <w:r w:rsidRPr="001947F0">
        <w:t xml:space="preserve"> defense, in a </w:t>
      </w:r>
      <w:r w:rsidRPr="001947F0">
        <w:lastRenderedPageBreak/>
        <w:t xml:space="preserve">submission-to-demands case, by </w:t>
      </w:r>
      <w:r w:rsidRPr="008F7050">
        <w:rPr>
          <w:i/>
        </w:rPr>
        <w:t>Moody v. Atlantic City Board of Education</w:t>
      </w:r>
      <w:r w:rsidRPr="001947F0">
        <w:t xml:space="preserve">, </w:t>
      </w:r>
      <w:r w:rsidR="008F7050" w:rsidRPr="008F7050">
        <w:t>870 F.3d 206</w:t>
      </w:r>
      <w:r w:rsidRPr="001947F0">
        <w:t xml:space="preserve"> (3d Cir. 2017).  In </w:t>
      </w:r>
      <w:r w:rsidRPr="00E80FFD">
        <w:rPr>
          <w:i/>
        </w:rPr>
        <w:t>Moody</w:t>
      </w:r>
      <w:r w:rsidRPr="001947F0">
        <w:t xml:space="preserve">, the plaintiff alleged that her supervisor “told her that she would get an employment contract if she had sex with him,” and that – perceiving a threat to her job – she “reluctantly had sex with him.”  </w:t>
      </w:r>
      <w:r w:rsidRPr="00F83018">
        <w:rPr>
          <w:i/>
        </w:rPr>
        <w:t>Id</w:t>
      </w:r>
      <w:r w:rsidRPr="001947F0">
        <w:t xml:space="preserve">. at </w:t>
      </w:r>
      <w:r w:rsidR="00F83018">
        <w:t>211</w:t>
      </w:r>
      <w:r w:rsidRPr="001947F0">
        <w:t xml:space="preserve">.  (The court of appeals had no occasion to analyze this as a </w:t>
      </w:r>
      <w:r w:rsidRPr="00F83018">
        <w:rPr>
          <w:i/>
        </w:rPr>
        <w:t xml:space="preserve">quid pro quo </w:t>
      </w:r>
      <w:r w:rsidRPr="001947F0">
        <w:t xml:space="preserve">claim because the plaintiff stated the intent to proceed under a hostile-environment framework rather than a </w:t>
      </w:r>
      <w:r w:rsidRPr="00F83018">
        <w:rPr>
          <w:i/>
        </w:rPr>
        <w:t>quid pro quo</w:t>
      </w:r>
      <w:r w:rsidRPr="001947F0">
        <w:t xml:space="preserve"> framework.  </w:t>
      </w:r>
      <w:r w:rsidRPr="00F83018">
        <w:rPr>
          <w:i/>
        </w:rPr>
        <w:t>See id</w:t>
      </w:r>
      <w:r w:rsidR="00F83018">
        <w:t>. at 21</w:t>
      </w:r>
      <w:r w:rsidRPr="001947F0">
        <w:t xml:space="preserve">3.)  The court of appeals held that there were disputed questions of material fact that required resolution in order to determine whether the defendant could invoke the </w:t>
      </w:r>
      <w:r w:rsidRPr="00F83018">
        <w:rPr>
          <w:i/>
        </w:rPr>
        <w:t>Ellerth</w:t>
      </w:r>
      <w:r w:rsidRPr="001947F0">
        <w:t xml:space="preserve"> / </w:t>
      </w:r>
      <w:r w:rsidRPr="00F83018">
        <w:rPr>
          <w:i/>
        </w:rPr>
        <w:t>Faragher</w:t>
      </w:r>
      <w:r w:rsidRPr="001947F0">
        <w:t xml:space="preserve"> defense.  </w:t>
      </w:r>
      <w:r w:rsidRPr="00F83018">
        <w:rPr>
          <w:i/>
        </w:rPr>
        <w:t>See id</w:t>
      </w:r>
      <w:r w:rsidR="00F83018">
        <w:t>. at 220</w:t>
      </w:r>
      <w:r w:rsidRPr="001947F0">
        <w:t xml:space="preserve">.  But in so holding, the court of appeals did not rely upon the plaintiff’s allegation that she submitted to her supervisor’s demand for sex.  Rather, the court of appeals reasoned that “[a] reasonable juror could conclude that Marshall gave Moody [work] hours to entice her to accede to his sexual demands and then reduced her hours after she rejected him”; accordingly, the court reasoned, there was “a disputed issue of material fact as to whether she suffered a tangible employment action” – namely, whether the supervisor reduced the plaintiff’s hours after she rejected him.  </w:t>
      </w:r>
      <w:r w:rsidRPr="00F83018">
        <w:rPr>
          <w:i/>
        </w:rPr>
        <w:t>Id</w:t>
      </w:r>
      <w:r w:rsidRPr="001947F0">
        <w:t>.</w:t>
      </w:r>
      <w:r w:rsidR="00F83018">
        <w:t xml:space="preserve"> at 219.</w:t>
      </w:r>
      <w:r w:rsidRPr="001947F0">
        <w:t xml:space="preserve">  (By “rejected,” the court was referring to the plaintiff’s account that, after submitting to the demand for sex, she told her supervisor it would</w:t>
      </w:r>
      <w:r w:rsidR="00F83018">
        <w:t xml:space="preserve"> never happen again.  </w:t>
      </w:r>
      <w:r w:rsidR="00F83018" w:rsidRPr="00F83018">
        <w:rPr>
          <w:i/>
        </w:rPr>
        <w:t>Id</w:t>
      </w:r>
      <w:r w:rsidR="00F83018">
        <w:t>. at 211.</w:t>
      </w:r>
      <w:r w:rsidRPr="001947F0">
        <w:t>)</w:t>
      </w:r>
    </w:p>
    <w:p w14:paraId="19D04691" w14:textId="1CFCABCB"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1660B2C4"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B6721D">
        <w:t xml:space="preserve">  </w:t>
      </w:r>
      <w:r w:rsidR="00B6721D" w:rsidRPr="00D62DC6">
        <w:rPr>
          <w:i/>
        </w:rPr>
        <w:t>See also Moody</w:t>
      </w:r>
      <w:r w:rsidR="00B6721D" w:rsidRPr="00B6721D">
        <w:t xml:space="preserve">, </w:t>
      </w:r>
      <w:r w:rsidR="00C4176A">
        <w:t>870 F.3d at</w:t>
      </w:r>
      <w:r w:rsidR="00B6721D" w:rsidRPr="00B6721D">
        <w:t xml:space="preserve"> </w:t>
      </w:r>
      <w:r w:rsidR="00C4176A">
        <w:t xml:space="preserve">217 </w:t>
      </w:r>
      <w:r w:rsidR="00B6721D" w:rsidRPr="00B6721D">
        <w:t>(“[T]he record here supports the conclusion that Marshall was Moody’s supervisor because (a) the Board empowered him as the custodial foreman to select from the list of substitute custodians who could actually work at New York Avenue School;</w:t>
      </w:r>
      <w:r w:rsidR="00495F67">
        <w:t xml:space="preserve"> </w:t>
      </w:r>
      <w:r w:rsidR="00B6721D" w:rsidRPr="00B6721D">
        <w:t>…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lastRenderedPageBreak/>
        <w:t>Comment</w:t>
      </w:r>
      <w:r w:rsidRPr="002F29BD">
        <w:tab/>
      </w:r>
    </w:p>
    <w:p w14:paraId="3F3CA587" w14:textId="77777777" w:rsidR="00A47413"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5EE3749F" w14:textId="77777777" w:rsidR="00BF0FEA" w:rsidRDefault="00BF0FEA" w:rsidP="00BF0FEA">
      <w:pPr>
        <w:widowControl w:val="0"/>
        <w:spacing w:after="240"/>
        <w:ind w:firstLine="720"/>
        <w:jc w:val="both"/>
      </w:pPr>
      <w:r>
        <w:t>The Court of Appeals has set out the elements of a hostile work environment claim as follows:</w:t>
      </w:r>
    </w:p>
    <w:p w14:paraId="56FDE502" w14:textId="77777777" w:rsidR="00BF0FEA" w:rsidRDefault="00BF0FEA" w:rsidP="00BF0FEA">
      <w:pPr>
        <w:widowControl w:val="0"/>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BF0FEA">
        <w:rPr>
          <w:i/>
        </w:rPr>
        <w:t>respondeat superior</w:t>
      </w:r>
      <w:r>
        <w:t xml:space="preserve"> liability.</w:t>
      </w:r>
    </w:p>
    <w:p w14:paraId="6607234F" w14:textId="6547511F" w:rsidR="00BF0FEA" w:rsidRPr="002F29BD" w:rsidRDefault="00BF0FEA" w:rsidP="00BF0FEA">
      <w:pPr>
        <w:widowControl w:val="0"/>
        <w:spacing w:after="240"/>
        <w:jc w:val="both"/>
      </w:pPr>
      <w:r w:rsidRPr="00BF0FEA">
        <w:rPr>
          <w:i/>
        </w:rPr>
        <w:t>Mandel v. M &amp; Q Packaging Corp</w:t>
      </w:r>
      <w:r>
        <w:t>., 706 F.3d 157, 167 (3d Cir. 2013).</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25"/>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D956537"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Burlington Industries, Inc. v. Ellerth</w:t>
      </w:r>
      <w:r w:rsidRPr="002F29BD">
        <w:t>, 524 U.S. 742, 761 (1998).</w:t>
      </w:r>
      <w:r w:rsidR="00A51957">
        <w:rPr>
          <w:rStyle w:val="FootnoteReference"/>
        </w:rPr>
        <w:footnoteReference w:id="26"/>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xml:space="preserve">, 522 F.3d 315, 320 (3d Cir. 2008) (holding that the failure to renew an employment arrangement, “whether at-will or for a limited period of time, is an employment action, and an employer violates Title VII if it takes an adverse employment action </w:t>
      </w:r>
      <w:r w:rsidRPr="002F29BD">
        <w:lastRenderedPageBreak/>
        <w:t>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19BC56F3"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133 S. Ct. 2434, 2439 (2013).</w:t>
      </w:r>
      <w:r w:rsidR="008D153C">
        <w:rPr>
          <w:rStyle w:val="FootnoteReference"/>
        </w:rPr>
        <w:footnoteReference w:id="27"/>
      </w:r>
      <w:r w:rsidR="009124AD" w:rsidRPr="002F29BD">
        <w:t xml:space="preserve">  </w:t>
      </w:r>
      <w:r w:rsidRPr="002F29BD">
        <w:t>Respondeat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28"/>
      </w:r>
      <w:r w:rsidRPr="002F29BD">
        <w:t xml:space="preserve">  </w:t>
      </w:r>
      <w:r w:rsidR="00020512" w:rsidRPr="002F29BD">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w:t>
      </w:r>
      <w:r w:rsidRPr="002F29BD">
        <w:lastRenderedPageBreak/>
        <w:t>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See</w:t>
      </w:r>
      <w:r w:rsidRPr="002F29BD">
        <w:rPr>
          <w:i/>
        </w:rPr>
        <w:t xml:space="preserve"> Harris </w:t>
      </w:r>
      <w:r w:rsidRPr="002F29BD">
        <w:rPr>
          <w:i/>
        </w:rPr>
        <w:lastRenderedPageBreak/>
        <w:t>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FC7B7A5" w14:textId="1B9DC453"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w:t>
      </w:r>
      <w:r w:rsidR="0081090B">
        <w:t>’</w:t>
      </w:r>
      <w:r w:rsidRPr="002F29BD">
        <w:t xml:space="preserve">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xml:space="preserve">, 26 F.3d 439, 446-47 (3d Cir.1994). </w:t>
      </w:r>
    </w:p>
    <w:p w14:paraId="7D459135" w14:textId="1C4D5B18" w:rsidR="00FC06F0" w:rsidRDefault="00FC06F0"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FC06F0">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FC06F0">
        <w:rPr>
          <w:i/>
        </w:rPr>
        <w:t>Moody v. Atl. City Bd. of Educ</w:t>
      </w:r>
      <w:r w:rsidRPr="00FC06F0">
        <w:t xml:space="preserve">., </w:t>
      </w:r>
      <w:r w:rsidR="00982F5D" w:rsidRPr="00982F5D">
        <w:t>870 F.3d 206</w:t>
      </w:r>
      <w:r w:rsidR="00982F5D">
        <w:t>, 215</w:t>
      </w:r>
      <w:r w:rsidRPr="00FC06F0">
        <w:t xml:space="preserve"> (3d Cir. 2017) (quoting </w:t>
      </w:r>
      <w:r w:rsidRPr="00FC06F0">
        <w:rPr>
          <w:i/>
        </w:rPr>
        <w:t>Clark Cty. Sch. Dist. v. Breeden</w:t>
      </w:r>
      <w:r w:rsidRPr="00FC06F0">
        <w:t>, 532 U.S. 268, 270-71 (2001) (citation and internal quotation marks omitted)).</w:t>
      </w:r>
    </w:p>
    <w:p w14:paraId="7BDCE57E" w14:textId="70E09F5A"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Pr="002F29BD">
        <w:rPr>
          <w:i/>
        </w:rPr>
        <w:t>Jensen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323715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r w:rsidR="000006EC">
        <w:t xml:space="preserve"> </w:t>
      </w:r>
      <w:r w:rsidR="000006EC" w:rsidRPr="000006EC">
        <w:rPr>
          <w:i/>
        </w:rPr>
        <w:t>See, e.g</w:t>
      </w:r>
      <w:r w:rsidR="000006EC" w:rsidRPr="000006EC">
        <w:t xml:space="preserve">., </w:t>
      </w:r>
      <w:r w:rsidR="000006EC" w:rsidRPr="000006EC">
        <w:rPr>
          <w:i/>
        </w:rPr>
        <w:t>Moody v. Atl. City Bd. of Educ</w:t>
      </w:r>
      <w:r w:rsidR="000006EC" w:rsidRPr="000006EC">
        <w:t>., 870 F.3d 206</w:t>
      </w:r>
      <w:r w:rsidR="000006EC">
        <w:t xml:space="preserve">, </w:t>
      </w:r>
      <w:r w:rsidR="004F09B8">
        <w:t>215</w:t>
      </w:r>
      <w:r w:rsidR="000006EC" w:rsidRPr="000006EC">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29"/>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38B130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Pr="002F29BD">
        <w:tab/>
      </w:r>
      <w:r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xml:space="preserve">, 260 F.3d 265, 277 n.5 (3d Cir. 2001) (“We have yet to address a hostile work environment claim based on religion. However, Title VII has been </w:t>
      </w:r>
      <w:r w:rsidRPr="002F29BD">
        <w:lastRenderedPageBreak/>
        <w:t>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72A0ACB9" w14:textId="77777777" w:rsidR="00A06380"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Court of Appeals has set out the elements of a hostile work environment claim as follows:</w:t>
      </w:r>
    </w:p>
    <w:p w14:paraId="190F2C59" w14:textId="77777777" w:rsidR="00A06380" w:rsidRDefault="00A06380" w:rsidP="00A80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A80AB9">
        <w:rPr>
          <w:i/>
        </w:rPr>
        <w:t>respondeat superior</w:t>
      </w:r>
      <w:r>
        <w:t xml:space="preserve"> liability.</w:t>
      </w:r>
    </w:p>
    <w:p w14:paraId="4C74CB20" w14:textId="7624FE9D" w:rsidR="00A06380" w:rsidRPr="002F29BD"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A80AB9">
        <w:rPr>
          <w:i/>
        </w:rPr>
        <w:t>Mandel v. M &amp; Q Packaging Corp</w:t>
      </w:r>
      <w:r>
        <w:t>., 706 F.3d 157, 167 (3d Cir. 2013).</w:t>
      </w:r>
    </w:p>
    <w:p w14:paraId="25FE0FF7" w14:textId="3AC462F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w:t>
      </w:r>
      <w:r w:rsidR="005927BA" w:rsidRPr="002F29BD">
        <w:lastRenderedPageBreak/>
        <w:t>“intangible”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524 U.S. 775, 808 (1998).</w:t>
      </w:r>
      <w:r w:rsidR="00543DFB">
        <w:rPr>
          <w:rStyle w:val="FootnoteReference"/>
        </w:rPr>
        <w:footnoteReference w:id="30"/>
      </w:r>
      <w:r w:rsidRPr="002F29BD">
        <w:t xml:space="preserve"> In </w:t>
      </w:r>
      <w:r w:rsidRPr="002F29BD">
        <w:rPr>
          <w:i/>
        </w:rPr>
        <w:t>Faragher</w:t>
      </w:r>
      <w:r w:rsidRPr="002F29BD">
        <w:t xml:space="preserve"> and in </w:t>
      </w:r>
      <w:r w:rsidRPr="002F29BD">
        <w:rPr>
          <w:i/>
        </w:rPr>
        <w:t>Burlington Industries, Inc. v. Ellerth</w:t>
      </w:r>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r w:rsidRPr="002F29BD">
        <w:rPr>
          <w:i/>
        </w:rPr>
        <w:t xml:space="preserve">Ellerth,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31"/>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00FE2ACC">
        <w:rPr>
          <w:rStyle w:val="FootnoteReference"/>
        </w:rPr>
        <w:footnoteReference w:id="32"/>
      </w:r>
      <w:r w:rsidRPr="002F29BD">
        <w:t xml:space="preserve"> </w:t>
      </w:r>
      <w:r w:rsidRPr="002F29BD">
        <w:rPr>
          <w:i/>
        </w:rPr>
        <w:t>Ellerth</w:t>
      </w:r>
      <w:r w:rsidRPr="002F29BD">
        <w:t>, 524 U.S. at 751 (1998).</w:t>
      </w:r>
    </w:p>
    <w:p w14:paraId="1EB74987" w14:textId="5F9252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r w:rsidRPr="002F29BD">
        <w:rPr>
          <w:i/>
        </w:rPr>
        <w:t>Ellerth</w:t>
      </w:r>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133 S. Ct. 2434, 2439 (2013).</w:t>
      </w:r>
      <w:r w:rsidR="00616C77">
        <w:rPr>
          <w:rStyle w:val="FootnoteReference"/>
        </w:rPr>
        <w:footnoteReference w:id="33"/>
      </w:r>
      <w:r w:rsidR="001C3B3F" w:rsidRPr="002F29BD">
        <w:t xml:space="preserve"> </w:t>
      </w:r>
      <w:r w:rsidR="00AD33DD" w:rsidRPr="002F29BD">
        <w:t xml:space="preserve"> </w:t>
      </w:r>
      <w:r w:rsidRPr="002F29BD">
        <w:t>Respondeat superior liability for the acts of non-</w:t>
      </w:r>
      <w:r w:rsidRPr="002F29BD">
        <w:lastRenderedPageBreak/>
        <w:t xml:space="preserve">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34"/>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lastRenderedPageBreak/>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1232EB25" w14:textId="3E0B6B28" w:rsidR="00A47413" w:rsidRPr="002F29BD" w:rsidRDefault="00A47413" w:rsidP="001E6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w:t>
      </w:r>
      <w:r w:rsidR="001E6D09">
        <w:t>rs the conditions of the victim’</w:t>
      </w:r>
      <w:r w:rsidRPr="002F29BD">
        <w:t xml:space="preserve">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43CC4926" w14:textId="0E6A238F" w:rsidR="00277034" w:rsidRDefault="00277034"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77034">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277034">
        <w:rPr>
          <w:i/>
        </w:rPr>
        <w:t>Moody v. Atl. City Bd. of Educ</w:t>
      </w:r>
      <w:r w:rsidRPr="00277034">
        <w:t xml:space="preserve">., 870 F.3d 206, 215 (3d Cir. 2017) (quoting </w:t>
      </w:r>
      <w:r w:rsidRPr="00277034">
        <w:rPr>
          <w:i/>
        </w:rPr>
        <w:t>Clark Cty. Sch. Dist. v. Breeden</w:t>
      </w:r>
      <w:r w:rsidRPr="00277034">
        <w:t>, 532 U.S. 268, 270-71 (2001) (citation and internal quotation marks omitted)).</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w:t>
      </w:r>
      <w:r w:rsidRPr="002F29BD">
        <w:rPr>
          <w:i/>
        </w:rPr>
        <w:lastRenderedPageBreak/>
        <w:t xml:space="preserve">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4278678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r w:rsidR="00940504">
        <w:t xml:space="preserve"> </w:t>
      </w:r>
      <w:r w:rsidR="00940504" w:rsidRPr="00940504">
        <w:rPr>
          <w:i/>
        </w:rPr>
        <w:t>See, e.g</w:t>
      </w:r>
      <w:r w:rsidR="00940504" w:rsidRPr="00940504">
        <w:t xml:space="preserve">., </w:t>
      </w:r>
      <w:r w:rsidR="00940504" w:rsidRPr="00940504">
        <w:rPr>
          <w:i/>
        </w:rPr>
        <w:t>Moody v. Atl. City Bd. of Educ</w:t>
      </w:r>
      <w:r w:rsidR="00940504" w:rsidRPr="00940504">
        <w:t>., 870 F.3d 206, 215 (3d Cir. 2017) (finding evidence that met the “severe” test where plaintiff alleged that her supervisor “expected [her] to give sexual favors in exchange for work, touched [her] against her wishes, made sexual comments to her, and exposed himself to her”).</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r w:rsidRPr="002F29BD">
        <w:rPr>
          <w:i/>
        </w:rPr>
        <w:t xml:space="preserve">Ellerth </w:t>
      </w:r>
      <w:r w:rsidRPr="002F29BD">
        <w:t xml:space="preserve">and </w:t>
      </w:r>
      <w:r w:rsidRPr="002F29BD">
        <w:rPr>
          <w:i/>
        </w:rPr>
        <w:t>Faragher</w:t>
      </w:r>
      <w:r w:rsidRPr="002F29BD">
        <w:t xml:space="preserve">. The Court concluded that “an employer does not have recourse to the </w:t>
      </w:r>
      <w:r w:rsidRPr="002F29BD">
        <w:rPr>
          <w:i/>
        </w:rPr>
        <w:t xml:space="preserve">Ellerth/Faragher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Ellerth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sidRPr="002F29BD">
        <w:rPr>
          <w:i/>
        </w:rPr>
        <w:t>Ellerth</w:t>
      </w:r>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to suspect that a resignation is not the typical kind daily occurring in the work force. And as </w:t>
      </w:r>
      <w:r w:rsidRPr="002F29BD">
        <w:rPr>
          <w:i/>
        </w:rPr>
        <w:t>Ellerth</w:t>
      </w:r>
      <w:r w:rsidRPr="002F29BD">
        <w:t xml:space="preserve"> and </w:t>
      </w:r>
      <w:r w:rsidRPr="002F29BD">
        <w:rPr>
          <w:i/>
        </w:rPr>
        <w:t>Faragher</w:t>
      </w:r>
      <w:r w:rsidRPr="002F29BD">
        <w:t xml:space="preserve"> further point out, an official act reflected in company records--a </w:t>
      </w:r>
      <w:r w:rsidRPr="002F29BD">
        <w:lastRenderedPageBreak/>
        <w:t xml:space="preserve">demotion or a reduction in compensation, for example--shows "beyond question" that the supervisor has used his managerial or controlling position to the employee's disadvantage. See </w:t>
      </w:r>
      <w:r w:rsidRPr="002F29BD">
        <w:rPr>
          <w:i/>
        </w:rPr>
        <w:t>Ellerth</w:t>
      </w:r>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r w:rsidRPr="002F29BD">
        <w:rPr>
          <w:i/>
        </w:rPr>
        <w:t xml:space="preserve">Ellerth/Faragher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r w:rsidRPr="002F29BD">
        <w:rPr>
          <w:i/>
        </w:rPr>
        <w:t>Ellerth</w:t>
      </w:r>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24347F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U.S.C.A.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62D83B69"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U.S.C.A.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F.Supp.2d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w:t>
      </w:r>
      <w:r w:rsidR="00A47413" w:rsidRPr="002F29BD">
        <w:lastRenderedPageBreak/>
        <w:t>impact theory, and not under a theory of intentional discrimination, if successful on her Title VII claim she would be entitled only to equitable relief. 42 U.S.C. §1981a(a)(1).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35"/>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36"/>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t>
      </w:r>
      <w:r w:rsidRPr="002F29BD">
        <w:lastRenderedPageBreak/>
        <w:t xml:space="preserve">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72B1025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Title VII protects employees and former employees who attempt to exercise the rights guaranteed by the Act against retaliation by employers. 42 U.S.C.A.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37"/>
      </w:r>
      <w:r w:rsidRPr="002F29BD">
        <w:t xml:space="preserve"> 2) making a charge of employment discrimination;</w:t>
      </w:r>
      <w:r w:rsidR="00A4472F">
        <w:rPr>
          <w:rStyle w:val="FootnoteReference"/>
        </w:rPr>
        <w:footnoteReference w:id="38"/>
      </w:r>
      <w:r w:rsidRPr="002F29BD">
        <w:t xml:space="preserve"> 3) 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39"/>
      </w:r>
      <w:r w:rsidRPr="0091367D">
        <w:t xml:space="preserve"> In </w:t>
      </w:r>
      <w:r w:rsidRPr="0091367D">
        <w:rPr>
          <w:i/>
        </w:rPr>
        <w:t>Crawford v. Metropolitan Gov’t of Nashville and Davidson Cty., Tennessee</w:t>
      </w:r>
      <w:r w:rsidRPr="0091367D">
        <w:t xml:space="preserve">, 555 U.S. 271, 277 (2009), the Court held that the antiretaliation </w:t>
      </w:r>
      <w:r w:rsidRPr="0091367D">
        <w:lastRenderedPageBreak/>
        <w:t xml:space="preserve">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p>
    <w:p w14:paraId="5B3968A0" w14:textId="2CBBCE2C"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xml:space="preserve">, but only that ‘he was acting under a good faith, reasonable belief that a violation existed.’”  </w:t>
      </w:r>
      <w:r w:rsidRPr="002F29BD">
        <w:rPr>
          <w:i/>
          <w:iCs/>
        </w:rPr>
        <w:t xml:space="preserve">Aman v. </w:t>
      </w:r>
      <w:r w:rsidR="00A47413" w:rsidRPr="002F29BD">
        <w:rPr>
          <w:i/>
        </w:rPr>
        <w:t>Cort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 xml:space="preserve">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 the Court of Appeals in </w:t>
      </w:r>
      <w:r w:rsidR="00FA06CA" w:rsidRPr="00020B81">
        <w:rPr>
          <w:i/>
        </w:rPr>
        <w:t>Slagle v. County of Clarion</w:t>
      </w:r>
      <w:r w:rsidR="00FA06CA" w:rsidRPr="00FA06CA">
        <w:t xml:space="preserve">, 435 F.3d 262 (3d Cir. 2006), stated that for filing a charge to constitute protected activity, “[a]ll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w:t>
      </w:r>
      <w:r w:rsidRPr="002F29BD">
        <w:lastRenderedPageBreak/>
        <w:t xml:space="preserve">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527904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40"/>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v.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7234C9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w:t>
      </w:r>
      <w:r w:rsidRPr="002F29BD">
        <w:lastRenderedPageBreak/>
        <w:t xml:space="preserve">effort to determine a plaintiff's unusual subjective feelings. We have emphasized the need for objective standards in other Title VII contexts, and those same concerns animate our decision here. See, </w:t>
      </w:r>
      <w:r w:rsidRPr="002F29BD">
        <w:rPr>
          <w:i/>
        </w:rPr>
        <w:t>e.g.</w:t>
      </w:r>
      <w:r w:rsidRPr="002F29BD">
        <w:t xml:space="preserve">, [Pennsylvania State Police v. ] </w:t>
      </w:r>
      <w:r w:rsidRPr="002F29BD">
        <w:rPr>
          <w:i/>
        </w:rPr>
        <w:t>Suders,</w:t>
      </w:r>
      <w:r w:rsidRPr="002F29BD">
        <w:t xml:space="preserve"> 542 U.S., at 141, 124 S. Ct. 2342, 159 L. Ed. 2d 204 (constructive discharge doctrine); </w:t>
      </w:r>
      <w:r w:rsidRPr="002F29BD">
        <w:rPr>
          <w:i/>
        </w:rPr>
        <w:t>Harris</w:t>
      </w:r>
      <w:r w:rsidRPr="002F29BD">
        <w:t xml:space="preserve"> v.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28DBEB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Id. at 352 (aggressive enforcement of sick-check policy “well might have dissuaded a reasonable worker from making or supportin</w:t>
      </w:r>
      <w:r w:rsidR="003370B4">
        <w:t xml:space="preserve">g a charge of discrimination.”); </w:t>
      </w:r>
      <w:r w:rsidR="003370B4" w:rsidRPr="003370B4">
        <w:rPr>
          <w:i/>
        </w:rPr>
        <w:t>Moody v. Atl. City Bd. of Educ</w:t>
      </w:r>
      <w:r w:rsidR="003370B4" w:rsidRPr="003370B4">
        <w:t>., 870 F.3d 206</w:t>
      </w:r>
      <w:r w:rsidR="003370B4">
        <w:t>, 220</w:t>
      </w:r>
      <w:r w:rsidR="003370B4" w:rsidRPr="003370B4">
        <w:t xml:space="preserve"> (3d Cir. 2017) (holding that plaintiff presented evidence that would justify a finding of a materially adverse action where plaintiff’s “working hours declined three-fold in the months following her complaint as compared to the months preceding her complaint”)</w:t>
      </w:r>
      <w:r w:rsidR="003370B4">
        <w:t>.</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w:t>
      </w:r>
      <w:r w:rsidRPr="002F29BD">
        <w:lastRenderedPageBreak/>
        <w:t>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pari materia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v. </w:t>
      </w:r>
      <w:r w:rsidRPr="002F29BD">
        <w:rPr>
          <w:i/>
        </w:rPr>
        <w:t>Green,</w:t>
      </w:r>
      <w:r w:rsidRPr="002F29BD">
        <w:t xml:space="preserve"> 411 U.S. 792, 800-801, 93 S. Ct. 1817, 36 L. Ed. 2d </w:t>
      </w:r>
      <w:r w:rsidRPr="002F29BD">
        <w:lastRenderedPageBreak/>
        <w:t xml:space="preserve">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2F29BD">
        <w:t xml:space="preserve">v.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2F29BD">
        <w:t xml:space="preserve">v.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v.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Title VII. For example, a white employee who complains about discrimination </w:t>
      </w:r>
      <w:r w:rsidRPr="002F29BD">
        <w:lastRenderedPageBreak/>
        <w:t xml:space="preserve">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Title VII, the third-party victim of the retaliation must show that he or she “falls within the zone of interests protected by Title VII.”  </w:t>
      </w:r>
      <w:r w:rsidRPr="002F29BD">
        <w:rPr>
          <w:i/>
        </w:rPr>
        <w:t>Id.</w:t>
      </w:r>
      <w:r w:rsidRPr="002F29BD">
        <w:t xml:space="preserve"> at 870.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that.a plaintiff may rely on a "broad array of evidence" to demonstrate a causal link between his protected activity and the adverse action taken </w:t>
      </w:r>
      <w:r w:rsidRPr="002F29BD">
        <w:lastRenderedPageBreak/>
        <w:t xml:space="preserve">against him. </w:t>
      </w:r>
      <w:r w:rsidRPr="002F29BD">
        <w:rPr>
          <w:i/>
        </w:rPr>
        <w:t>Farrell</w:t>
      </w:r>
      <w:r w:rsidRPr="002F29BD">
        <w:t xml:space="preserve"> [v. Planters Lifesavers Co.,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[v. Scott Paper Co.,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time period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437CCD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r w:rsidR="00682CFD" w:rsidRPr="00682CFD">
        <w:rPr>
          <w:i/>
        </w:rPr>
        <w:t>LeBoon v. Lancaster Jewish Cmty. Ctr. Ass’n</w:t>
      </w:r>
      <w:r w:rsidRPr="002F29BD">
        <w:rPr>
          <w:i/>
        </w:rPr>
        <w:t>,</w:t>
      </w:r>
      <w:r w:rsidRPr="002F29BD">
        <w:t xml:space="preserve"> 503 F.3d 217, 233 (3d Cir. </w:t>
      </w:r>
      <w:r w:rsidRPr="002F29BD">
        <w:lastRenderedPageBreak/>
        <w:t>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00A111B4">
        <w:t xml:space="preserve">; </w:t>
      </w:r>
      <w:r w:rsidR="00E758A5" w:rsidRPr="00E758A5">
        <w:rPr>
          <w:i/>
        </w:rPr>
        <w:t>Carvalho-Grevious v. Delaware State Univ</w:t>
      </w:r>
      <w:r w:rsidR="00E758A5" w:rsidRPr="00E758A5">
        <w:t xml:space="preserve">., 851 F.3d 249, 259-63 (3d Cir. 2017) (applying the </w:t>
      </w:r>
      <w:r w:rsidR="00E758A5" w:rsidRPr="00E758A5">
        <w:rPr>
          <w:i/>
        </w:rPr>
        <w:t>McDonnell-Douglas</w:t>
      </w:r>
      <w:r w:rsidR="00E758A5" w:rsidRPr="00E758A5">
        <w:t xml:space="preserve"> burden-shifting test in reviewing the grant of summary judgment on the plaintiff’s Title VII and Section 1981 retaliation claims); </w:t>
      </w:r>
      <w:r w:rsidR="00E758A5" w:rsidRPr="00E758A5">
        <w:rPr>
          <w:i/>
        </w:rPr>
        <w:t>Moody v. Atl. City Bd. of Educ</w:t>
      </w:r>
      <w:r w:rsidR="00E758A5" w:rsidRPr="00E758A5">
        <w:t>., 870 F.3d 206</w:t>
      </w:r>
      <w:r w:rsidR="00E758A5">
        <w:t>, 221</w:t>
      </w:r>
      <w:r w:rsidR="00E758A5" w:rsidRPr="00E758A5">
        <w:t xml:space="preserve"> (3d Cir. 2017) (holding that “[t]he close temporal connection between [plaintiff’s] complaint and the reduction in her hours” sufficed “to provide prima facie evidence of a causal connection” where plaintiff’s “hours declined immediately following the filing of her complaint and never recovered”)</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41"/>
      </w:r>
      <w:r w:rsidRPr="002F29BD">
        <w:t xml:space="preserve"> If the court </w:t>
      </w:r>
      <w:r w:rsidRPr="002F29BD">
        <w:lastRenderedPageBreak/>
        <w:t>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7E6C49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xml:space="preserve">, 131 S. Ct. 1186, 1194 (2011) (footnotes omitted).  The Court did not explicitly state whether this ruling extends to Title VII discrimination claims under 42 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42"/>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Retaliation Against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For the fairly unusual case in which the employer is alleged to have retaliated for perceived rather than actual protected activity, 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78396A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xml:space="preserve">, 133 S.Ct.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r w:rsidR="00C15217">
        <w:rPr>
          <w:rStyle w:val="FootnoteReference"/>
        </w:rPr>
        <w:footnoteReference w:id="43"/>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19"/>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w:t>
      </w:r>
      <w:r w:rsidRPr="002F29BD">
        <w:lastRenderedPageBreak/>
        <w:t>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5E918B4B" w14:textId="77777777" w:rsidR="00982B1B" w:rsidRDefault="00A47413"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82B1B">
        <w:t>The Court of Appeals has set out the elements of a hostile work environment claim as follows:</w:t>
      </w:r>
    </w:p>
    <w:p w14:paraId="1099A825" w14:textId="77777777" w:rsidR="00982B1B" w:rsidRDefault="00982B1B" w:rsidP="00634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r w:rsidRPr="000D12B3">
        <w:rPr>
          <w:i/>
        </w:rPr>
        <w:t>respondeat superior</w:t>
      </w:r>
      <w:r>
        <w:t xml:space="preserve"> liability.</w:t>
      </w:r>
    </w:p>
    <w:p w14:paraId="3CCA4196" w14:textId="71D45C7E" w:rsidR="00A47413" w:rsidRPr="002F29BD" w:rsidRDefault="00982B1B"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D12B3">
        <w:rPr>
          <w:i/>
        </w:rPr>
        <w:t>Mandel v. M &amp; Q Packaging Corp</w:t>
      </w:r>
      <w:r>
        <w:t xml:space="preserve">., 706 F.3d 157, 167 (3d Cir. 2013); </w:t>
      </w:r>
      <w:r w:rsidRPr="000D12B3">
        <w:rPr>
          <w:i/>
        </w:rPr>
        <w:t>see also Castleberry v. STI Grp.</w:t>
      </w:r>
      <w:r>
        <w:t>, 863 F.3d 259, 264 (3d Cir. 2017) (noting, in a Section 1981 case, that although circuit precedent had used various formulations, “[t]he correct standard is ‘severe or pervasive’”).</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xml:space="preserve">, 435 F.3d 444, 449 (3d Cir. 2006) (“Many may suffer severe harassment at work, but if the reason for that harassment is one that is not prescribed by Title VII, it follows that Title VII provides no </w:t>
      </w:r>
      <w:r w:rsidRPr="002F29BD">
        <w:lastRenderedPageBreak/>
        <w:t>relief.”)</w:t>
      </w:r>
    </w:p>
    <w:p w14:paraId="30124B76" w14:textId="186FC150"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r w:rsidR="0047655D">
        <w:t xml:space="preserve">  </w:t>
      </w:r>
      <w:r w:rsidR="0047655D" w:rsidRPr="0047655D">
        <w:rPr>
          <w:i/>
        </w:rPr>
        <w:t>Compare Moody v. Atl. City Bd. of Educ</w:t>
      </w:r>
      <w:r w:rsidR="0047655D" w:rsidRPr="0047655D">
        <w:t xml:space="preserve">., </w:t>
      </w:r>
      <w:r w:rsidR="00893A2E" w:rsidRPr="00893A2E">
        <w:t>870 F.3d 206</w:t>
      </w:r>
      <w:r w:rsidR="00893A2E">
        <w:t xml:space="preserve">, </w:t>
      </w:r>
      <w:r w:rsidR="00104683">
        <w:t>215</w:t>
      </w:r>
      <w:r w:rsidR="0047655D" w:rsidRPr="0047655D">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05D57B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9C4E2B">
        <w:t xml:space="preserve"> use with any of Instructions 5.1.1 through 5.1.4</w:t>
      </w:r>
      <w:r w:rsidRPr="002F29BD">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2F29BD">
        <w:rPr>
          <w:i/>
        </w:rPr>
        <w:t xml:space="preserve">Ellerth / 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r w:rsidRPr="002F29BD">
        <w:rPr>
          <w:i/>
        </w:rPr>
        <w:t xml:space="preserve">Ellerth/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33D506E4"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r w:rsidRPr="002F29BD">
        <w:tab/>
        <w:t xml:space="preserve">In </w:t>
      </w:r>
      <w:r w:rsidRPr="002F29BD">
        <w:rPr>
          <w:i/>
        </w:rPr>
        <w:t>Suders</w:t>
      </w:r>
      <w:r w:rsidRPr="002F29BD">
        <w:t xml:space="preserve">, the Court explained that “[u]nder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0D1D9B" w:rsidRPr="000D1D9B">
        <w:rPr>
          <w:szCs w:val="24"/>
        </w:rPr>
        <w:t xml:space="preserve">; </w:t>
      </w:r>
      <w:r w:rsidR="000D1D9B" w:rsidRPr="000D1D9B">
        <w:rPr>
          <w:i/>
          <w:szCs w:val="24"/>
        </w:rPr>
        <w:t>DiFiore v. CSL Behring, LLC</w:t>
      </w:r>
      <w:r w:rsidR="000D1D9B" w:rsidRPr="000D1D9B">
        <w:rPr>
          <w:szCs w:val="24"/>
        </w:rPr>
        <w:t xml:space="preserve">, 879 F.3d 71, 79 (3d Cir. 2018) (False Claims Act retaliation claim and Pennsylvania wrongful discharge claim) (holding that “no reasonable jury could find” constructive discharge where plaintiff “may have been subjected to difficult or unpleasant working conditions, but these conditions [fell] well short of unbearable” and plaintiff “did not sufficiently explore alternative solutions or means of </w:t>
      </w:r>
      <w:r w:rsidR="000D1D9B" w:rsidRPr="000D1D9B">
        <w:rPr>
          <w:szCs w:val="24"/>
        </w:rPr>
        <w:lastRenderedPageBreak/>
        <w:t>improving her situation”)</w:t>
      </w:r>
      <w:r w:rsidR="00AD33DD" w:rsidRPr="000D1D9B">
        <w:t>.</w:t>
      </w:r>
      <w:r w:rsidR="006C5A20">
        <w:t xml:space="preserve"> </w:t>
      </w:r>
      <w:r w:rsidR="006C5A20" w:rsidRPr="006C5A20">
        <w:t xml:space="preserve">Though the Instruction does not set out resignation as a stand-alone element, the claim requires that the plaintiff actually did resign.  </w:t>
      </w:r>
      <w:r w:rsidR="006C5A20" w:rsidRPr="009116F6">
        <w:rPr>
          <w:i/>
        </w:rPr>
        <w:t>See Green v. Brennan</w:t>
      </w:r>
      <w:r w:rsidR="006C5A20" w:rsidRPr="006C5A20">
        <w:t>, 136 S. Ct. 1769, 1777 (2016) (“A claim of constructive discharge … has two basic elements. A plaintiff must prove first that he was discriminated against by his employer to the point where a reasonable person in his position would have felt compelled to resign…. But he must also show that he actually resigned.”).</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23FE30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U.S.C.A.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w:t>
      </w:r>
      <w:r w:rsidRPr="002F29BD">
        <w:lastRenderedPageBreak/>
        <w:t xml:space="preserve">BFOQ where employer adopted policy barring all women, except those whose infertility was medically documented, from jobs involving actual or potential lead exposure exceeding OSHA standards); </w:t>
      </w:r>
      <w:r w:rsidRPr="002F29BD">
        <w:rPr>
          <w:i/>
        </w:rPr>
        <w:t>Dothard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074273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U.S.C.A. § 2000e-2(e)(1). There is no BFOQ defense in racial discrimination cases. 42 U.S.C.A.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2" w:name="SR;4173"/>
      <w:bookmarkStart w:id="33" w:name="SR_4173"/>
      <w:bookmarkEnd w:id="32"/>
      <w:bookmarkEnd w:id="33"/>
      <w:r w:rsidRPr="002F29BD">
        <w:t xml:space="preserve">, overt gender-based discrimination can be countenanced if sex "is a </w:t>
      </w:r>
      <w:r w:rsidRPr="002F29BD">
        <w:rPr>
          <w:rStyle w:val="searchterm"/>
        </w:rPr>
        <w:t>bona fide occupational qualification</w:t>
      </w:r>
      <w:bookmarkStart w:id="34" w:name="SR;4188"/>
      <w:bookmarkStart w:id="35" w:name="SR_4188"/>
      <w:bookmarkEnd w:id="34"/>
      <w:bookmarkEnd w:id="35"/>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36" w:name="SR;4211"/>
      <w:bookmarkStart w:id="37" w:name="SR_4211"/>
      <w:bookmarkEnd w:id="36"/>
      <w:bookmarkEnd w:id="37"/>
      <w:r w:rsidRPr="002F29BD">
        <w:t xml:space="preserve">. The Supreme Court has interpreted this provision to mean that discrimination is permissible only if those aspects of a job that allegedly require discrimination fall within the " 'essence' of the particular </w:t>
      </w:r>
      <w:bookmarkStart w:id="38" w:name="SDU_31"/>
      <w:bookmarkEnd w:id="38"/>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9" w:name="HN;F13"/>
      <w:bookmarkStart w:id="40" w:name="HN_F13"/>
      <w:bookmarkEnd w:id="39"/>
      <w:bookmarkEnd w:id="40"/>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1" w:name="SDU_32"/>
      <w:bookmarkEnd w:id="41"/>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28672AF1"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See also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2" w:name="SDU_77"/>
      <w:bookmarkEnd w:id="42"/>
      <w:r w:rsidRPr="002F29BD">
        <w:rPr>
          <w:rStyle w:val="bestsection"/>
        </w:rPr>
        <w:t xml:space="preserve">job </w:t>
      </w:r>
      <w:r w:rsidRPr="002F29BD">
        <w:rPr>
          <w:rStyle w:val="searchterm"/>
        </w:rPr>
        <w:lastRenderedPageBreak/>
        <w:t>qualifications</w:t>
      </w:r>
      <w:bookmarkStart w:id="43" w:name="SR;16176"/>
      <w:bookmarkStart w:id="44" w:name="SR_16176"/>
      <w:bookmarkEnd w:id="43"/>
      <w:bookmarkEnd w:id="44"/>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44"/>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5AC3333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Title VII   distinguishes between disparate treatment and disparate impact discrimination and allows recovery of compensatory damages only to those who suffered intentional discrimination. 42 U.S.C.A.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The Civil Rights Act of 1991 (42 U.S.C. § 1981a) provides for compensatory damages and 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Pr="002F29BD">
        <w:rPr>
          <w:vertAlign w:val="superscript"/>
        </w:rPr>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w:t>
      </w:r>
      <w:r w:rsidRPr="002F29BD">
        <w:lastRenderedPageBreak/>
        <w:t>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w:t>
      </w:r>
      <w:r w:rsidRPr="002F29BD">
        <w:lastRenderedPageBreak/>
        <w:t>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24F928F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266D85C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w:t>
      </w:r>
      <w:r w:rsidRPr="002F29BD">
        <w:lastRenderedPageBreak/>
        <w:t xml:space="preserve">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See 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See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w:t>
      </w:r>
      <w:r w:rsidRPr="002F29BD">
        <w:lastRenderedPageBreak/>
        <w:t>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w:t>
      </w:r>
      <w:r w:rsidRPr="002F29BD">
        <w:rPr>
          <w:b/>
          <w:i/>
        </w:rPr>
        <w:lastRenderedPageBreak/>
        <w:t xml:space="preserve">charge filing period based on an act more than two years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See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7305BE" w:rsidRPr="002F29BD">
        <w:t xml:space="preserve"> </w:t>
      </w:r>
      <w:r w:rsidRPr="002F29BD">
        <w:t>Civ.</w:t>
      </w:r>
      <w:r w:rsidR="007305BE" w:rsidRPr="002F29BD">
        <w:t xml:space="preserve"> </w:t>
      </w:r>
      <w:r w:rsidRPr="002F29BD">
        <w:t xml:space="preserve">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w:t>
      </w:r>
      <w:r w:rsidRPr="002F29BD">
        <w:lastRenderedPageBreak/>
        <w:t>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w:t>
      </w:r>
      <w:r w:rsidRPr="002F29BD">
        <w:lastRenderedPageBreak/>
        <w:t>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45"/>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46"/>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5" w:name="SDU_19"/>
      <w:bookmarkEnd w:id="45"/>
      <w:r w:rsidRPr="002F29BD">
        <w:rPr>
          <w:rStyle w:val="bestsection"/>
        </w:rPr>
        <w:t xml:space="preserve">deducted from a </w:t>
      </w:r>
      <w:r w:rsidRPr="002F29BD">
        <w:rPr>
          <w:rStyle w:val="searchterm"/>
        </w:rPr>
        <w:t>Title VII back pay</w:t>
      </w:r>
      <w:bookmarkStart w:id="46" w:name="SR;3861"/>
      <w:bookmarkStart w:id="47" w:name="SR_3861"/>
      <w:bookmarkEnd w:id="46"/>
      <w:bookmarkEnd w:id="47"/>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The reasonableness of a Title VII claimant's diligence should be evaluated in light of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 xml:space="preserve">paying job did not constitute a failure to mitigate because additional cost of commuting would </w:t>
      </w:r>
      <w:r w:rsidRPr="002F29BD">
        <w:lastRenderedPageBreak/>
        <w:t>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[Add the following instruction if defendant claims </w:t>
      </w:r>
      <w:r w:rsidRPr="002F29BD">
        <w:rPr>
          <w:rStyle w:val="WPHyperlink"/>
          <w:b/>
          <w:color w:val="auto"/>
          <w:u w:val="none"/>
        </w:rPr>
        <w:t>“</w:t>
      </w:r>
      <w:r w:rsidRPr="002F29BD">
        <w:t>after-acquired evidence</w:t>
      </w:r>
      <w:r w:rsidRPr="002F29BD">
        <w:rPr>
          <w:rStyle w:val="WPHyperlink"/>
          <w:b/>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1B29359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See Pollard v. E. I. du Pont de Nemours &amp; Co., 532 U.S. 843 (2001) (holding that front pay under Title VII is not an </w:t>
      </w:r>
      <w:r w:rsidRPr="002F29BD">
        <w:lastRenderedPageBreak/>
        <w:t xml:space="preserve">element of compensatory damages). In Pollard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See also Donlin v. Philips Lighting North America Corp.,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especially given the fact that in most cases the plaintiff will be seeking compensatory damages and the jury will be sitting anyway. See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Front pay is considered a remedy that substitutes for reinstatement, and is awarded when reinstatement is not viable under the circumstances. See Berndt v. Kaiser Aluminum &amp; Chemical Sales, Inc.,</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48" w:name="SR;6439"/>
      <w:bookmarkStart w:id="49" w:name="SR_6439"/>
      <w:bookmarkEnd w:id="48"/>
      <w:bookmarkEnd w:id="49"/>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1703F5C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r w:rsidRPr="002F29BD">
        <w:rPr>
          <w:i/>
        </w:rPr>
        <w:t>Kaczkowski v. Bolubasz</w:t>
      </w:r>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Id.</w:t>
      </w:r>
      <w:r w:rsidRPr="002F29BD">
        <w:rPr>
          <w:i/>
        </w:rPr>
        <w:t xml:space="preserve"> </w:t>
      </w:r>
      <w:r w:rsidRPr="002F29BD">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63F1FF08" w14:textId="77777777"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See </w:t>
      </w:r>
      <w:r w:rsidRPr="002F29BD">
        <w:rPr>
          <w:i/>
        </w:rPr>
        <w:t>Mayberry v. Robinson,</w:t>
      </w:r>
      <w:r w:rsidRPr="002F29BD">
        <w:t xml:space="preserve"> 427 F.Supp. 297, 314 (M.D.Pa.1977)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0" w:name="SR;10437"/>
      <w:bookmarkStart w:id="51" w:name="SR_10437"/>
      <w:bookmarkEnd w:id="50"/>
      <w:bookmarkEnd w:id="51"/>
      <w:r w:rsidRPr="002F29BD">
        <w:t>).</w:t>
      </w:r>
      <w:bookmarkStart w:id="52" w:name="_GoBack"/>
      <w:bookmarkEnd w:id="52"/>
    </w:p>
    <w:sectPr w:rsidR="00A47413" w:rsidRPr="003313BC" w:rsidSect="00F30832">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5000" w14:textId="77777777" w:rsidR="00BC38D9" w:rsidRDefault="00BC38D9">
      <w:r>
        <w:separator/>
      </w:r>
    </w:p>
  </w:endnote>
  <w:endnote w:type="continuationSeparator" w:id="0">
    <w:p w14:paraId="1F128EA6" w14:textId="77777777" w:rsidR="00BC38D9" w:rsidRDefault="00BC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3DB3" w14:textId="77777777" w:rsidR="00A06380" w:rsidRDefault="00A063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F6F8" w14:textId="77777777" w:rsidR="00A06380" w:rsidRDefault="00A06380">
    <w:pPr>
      <w:pStyle w:val="Footer"/>
      <w:jc w:val="center"/>
    </w:pPr>
  </w:p>
  <w:p w14:paraId="4BCD4800" w14:textId="2046D395" w:rsidR="00A06380" w:rsidRDefault="00BC38D9">
    <w:pPr>
      <w:pStyle w:val="Footer"/>
      <w:jc w:val="center"/>
    </w:pPr>
    <w:sdt>
      <w:sdtPr>
        <w:id w:val="258566352"/>
        <w:docPartObj>
          <w:docPartGallery w:val="Page Numbers (Bottom of Page)"/>
          <w:docPartUnique/>
        </w:docPartObj>
      </w:sdtPr>
      <w:sdtEndPr>
        <w:rPr>
          <w:noProof/>
        </w:rPr>
      </w:sdtEndPr>
      <w:sdtContent>
        <w:r w:rsidR="00A06380">
          <w:fldChar w:fldCharType="begin"/>
        </w:r>
        <w:r w:rsidR="00A06380">
          <w:instrText xml:space="preserve"> PAGE   \* MERGEFORMAT </w:instrText>
        </w:r>
        <w:r w:rsidR="00A06380">
          <w:fldChar w:fldCharType="separate"/>
        </w:r>
        <w:r w:rsidR="00962E08">
          <w:rPr>
            <w:noProof/>
          </w:rPr>
          <w:t>90</w:t>
        </w:r>
        <w:r w:rsidR="00A06380">
          <w:rPr>
            <w:noProof/>
          </w:rPr>
          <w:fldChar w:fldCharType="end"/>
        </w:r>
      </w:sdtContent>
    </w:sdt>
  </w:p>
  <w:p w14:paraId="0289BB40" w14:textId="43EF3B93" w:rsidR="00A06380" w:rsidRDefault="00A06380" w:rsidP="00581ED0">
    <w:pPr>
      <w:pStyle w:val="Footer"/>
      <w:jc w:val="right"/>
    </w:pPr>
  </w:p>
  <w:p w14:paraId="3A8A3456" w14:textId="48C5F4A7" w:rsidR="00A06380" w:rsidRPr="007771D9" w:rsidRDefault="00A06380" w:rsidP="00D7279B">
    <w:pPr>
      <w:pStyle w:val="Footer"/>
      <w:jc w:val="right"/>
    </w:pPr>
    <w:r w:rsidRPr="00E13FD6">
      <w:rPr>
        <w:rFonts w:ascii="Century Schoolbook" w:hAnsi="Century Schoolbook"/>
        <w:i/>
        <w:iCs/>
      </w:rPr>
      <w:t xml:space="preserve">Last updated </w:t>
    </w:r>
    <w:r w:rsidR="00962E08">
      <w:rPr>
        <w:rFonts w:ascii="Century Schoolbook" w:hAnsi="Century Schoolbook"/>
        <w:i/>
        <w:iCs/>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5D13C" w14:textId="77777777" w:rsidR="00BC38D9" w:rsidRDefault="00BC38D9">
      <w:r>
        <w:separator/>
      </w:r>
    </w:p>
  </w:footnote>
  <w:footnote w:type="continuationSeparator" w:id="0">
    <w:p w14:paraId="35BDEE2D" w14:textId="77777777" w:rsidR="00BC38D9" w:rsidRDefault="00BC38D9">
      <w:r>
        <w:continuationSeparator/>
      </w:r>
    </w:p>
  </w:footnote>
  <w:footnote w:id="1">
    <w:p w14:paraId="3E7615EB" w14:textId="0DCCC4E8" w:rsidR="00A06380" w:rsidRDefault="00A06380">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2">
    <w:p w14:paraId="55D1CF5D" w14:textId="5999C2D9"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Pr="0020129A">
        <w:t>622 F.3d 266</w:t>
      </w:r>
      <w:r>
        <w:t>, 273 (3d Cir. 2010) (holding that Section 2000e-5(e)(3)(A) “does not apply to failure-to-promote claims”).</w:t>
      </w:r>
    </w:p>
  </w:footnote>
  <w:footnote w:id="3">
    <w:p w14:paraId="43D9C91C" w14:textId="77777777" w:rsidR="00023B5F" w:rsidRPr="00E426B1" w:rsidRDefault="00023B5F" w:rsidP="00023B5F">
      <w:pPr>
        <w:pStyle w:val="FootnoteText"/>
        <w:rPr>
          <w:szCs w:val="24"/>
        </w:rPr>
      </w:pPr>
      <w:r>
        <w:rPr>
          <w:rStyle w:val="FootnoteReference"/>
        </w:rPr>
        <w:footnoteRef/>
      </w:r>
      <w:r>
        <w:t xml:space="preserve"> </w:t>
      </w:r>
      <w:r w:rsidRPr="00023B5F">
        <w:rPr>
          <w:szCs w:val="24"/>
        </w:rPr>
        <w:t xml:space="preserve">In assessing whether beliefs are religious, one should consider whether those beliefs “‘address[] fundamental and ultimate questions having to do with deep and imponderable matters,’ are ‘comprehensive in nature,’ and are accompanied by ‘certain formal and external signs.’”  </w:t>
      </w:r>
      <w:r w:rsidRPr="00023B5F">
        <w:rPr>
          <w:i/>
          <w:szCs w:val="24"/>
        </w:rPr>
        <w:t>Fallon v. Mercy Catholic Med. Ctr.</w:t>
      </w:r>
      <w:r w:rsidRPr="00023B5F">
        <w:rPr>
          <w:szCs w:val="24"/>
        </w:rPr>
        <w:t xml:space="preserve">, 877 F.3d 487, 491 (3d Cir. 2017) (quoting </w:t>
      </w:r>
      <w:r w:rsidRPr="00023B5F">
        <w:rPr>
          <w:i/>
          <w:szCs w:val="24"/>
        </w:rPr>
        <w:t>Africa v. Com. of Pa</w:t>
      </w:r>
      <w:r w:rsidRPr="00023B5F">
        <w:rPr>
          <w:szCs w:val="24"/>
        </w:rPr>
        <w:t>., 662 F.2d 1025, 1032 (3d Cir. 1981), and holding that the plaintiff’s anti-vaccination beliefs did not count as religious because they satisfied none of these three factors).</w:t>
      </w:r>
    </w:p>
  </w:footnote>
  <w:footnote w:id="4">
    <w:p w14:paraId="2D8BEAD7" w14:textId="77777777" w:rsidR="00160BDF" w:rsidRPr="00160BDF" w:rsidRDefault="00160BDF" w:rsidP="00160BDF">
      <w:pPr>
        <w:pStyle w:val="FootnoteText"/>
        <w:rPr>
          <w:szCs w:val="24"/>
        </w:rPr>
      </w:pPr>
      <w:r w:rsidRPr="00160BDF">
        <w:rPr>
          <w:rStyle w:val="FootnoteReference"/>
        </w:rPr>
        <w:footnoteRef/>
      </w:r>
      <w:r w:rsidRPr="00160BDF">
        <w:t xml:space="preserve"> </w:t>
      </w:r>
      <w:r w:rsidRPr="00160BDF">
        <w:rPr>
          <w:szCs w:val="24"/>
        </w:rPr>
        <w:t>Please see the Comment for discussion of the last item in this list of alternatives.</w:t>
      </w:r>
    </w:p>
  </w:footnote>
  <w:footnote w:id="5">
    <w:p w14:paraId="289C2468" w14:textId="77777777" w:rsidR="00A06380" w:rsidRDefault="00A06380"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6">
    <w:p w14:paraId="04773B90" w14:textId="603108AB" w:rsidR="00A06380" w:rsidRDefault="00A06380">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A06380" w:rsidRDefault="00A06380">
      <w:pPr>
        <w:pStyle w:val="FootnoteText"/>
      </w:pPr>
    </w:p>
    <w:p w14:paraId="68BB0D23" w14:textId="6FBD7E29" w:rsidR="00A06380" w:rsidRDefault="00A06380">
      <w:pPr>
        <w:pStyle w:val="FootnoteText"/>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(M.D.Pa.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decisionmaking process that may be viewed as directly reflecting the alleged discriminatory attitude.”) (internal citations and quotations omitted).</w:t>
      </w:r>
    </w:p>
    <w:p w14:paraId="3773A499" w14:textId="77777777" w:rsidR="00A06380" w:rsidRDefault="00A06380">
      <w:pPr>
        <w:pStyle w:val="FootnoteText"/>
      </w:pPr>
    </w:p>
    <w:p w14:paraId="59125B25" w14:textId="77777777" w:rsidR="00A06380" w:rsidRPr="002F29BD" w:rsidRDefault="00A06380"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A06380" w:rsidRPr="002F29BD" w:rsidRDefault="00A06380"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A06380" w:rsidRPr="002F29BD" w:rsidRDefault="00A06380"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A06380" w:rsidRDefault="00A06380" w:rsidP="001100B4">
      <w:pPr>
        <w:pStyle w:val="FootnoteText"/>
        <w:ind w:left="720"/>
      </w:pPr>
      <w:r w:rsidRPr="002F29BD">
        <w:t>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A06380" w:rsidRDefault="00A06380" w:rsidP="001100B4">
      <w:pPr>
        <w:pStyle w:val="FootnoteText"/>
      </w:pPr>
    </w:p>
  </w:footnote>
  <w:footnote w:id="7">
    <w:p w14:paraId="6205CCF7" w14:textId="402B7F24" w:rsidR="00A06380" w:rsidRDefault="00A06380">
      <w:pPr>
        <w:pStyle w:val="FootnoteText"/>
      </w:pPr>
      <w:r>
        <w:rPr>
          <w:rStyle w:val="FootnoteReference"/>
        </w:rPr>
        <w:footnoteRef/>
      </w:r>
      <w:r>
        <w:t xml:space="preserve"> </w:t>
      </w:r>
      <w:r w:rsidRPr="00B0609C">
        <w:t xml:space="preserve">The </w:t>
      </w:r>
      <w:r w:rsidRPr="008230F1">
        <w:rPr>
          <w:i/>
        </w:rPr>
        <w:t>Makky</w:t>
      </w:r>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8">
    <w:p w14:paraId="04DB553C"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In addition, Section 2000e-2(a)(2) provides that “[i]t shall be an unlawful employment practice for an employer …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2000e-2(a)(2).  Caselaw concerning disparate treatment claims tends to focus on Section 2000e-2(a)(1), whereas Section 2000e-2(a)(2) is often viewed as targeting practices that have a disparate impact.  </w:t>
      </w:r>
      <w:r w:rsidRPr="001906E3">
        <w:rPr>
          <w:i/>
          <w:szCs w:val="24"/>
        </w:rPr>
        <w:t>See, e.g</w:t>
      </w:r>
      <w:r w:rsidRPr="001906E3">
        <w:rPr>
          <w:szCs w:val="24"/>
        </w:rPr>
        <w:t xml:space="preserve">., </w:t>
      </w:r>
      <w:r w:rsidRPr="001906E3">
        <w:rPr>
          <w:i/>
          <w:szCs w:val="24"/>
        </w:rPr>
        <w:t>E.E.O.C. v. Abercrombie &amp; Fitch Stores, Inc</w:t>
      </w:r>
      <w:r w:rsidRPr="001906E3">
        <w:rPr>
          <w:szCs w:val="24"/>
        </w:rPr>
        <w:t>., 135 S. Ct. 2028, 2032 (2015) (noting that Sections 2000e-2(a)(1) and (2) are “often referred to as the ‘disparate treatment’ (or ‘intentional discrimination’) provision and the ‘disparate impact’ provision”).  The discussion in the text focuses on Section 2000e-2(a)(1).</w:t>
      </w:r>
    </w:p>
  </w:footnote>
  <w:footnote w:id="9">
    <w:p w14:paraId="6D619172"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w:t>
      </w:r>
      <w:r w:rsidRPr="001906E3">
        <w:rPr>
          <w:szCs w:val="24"/>
        </w:rPr>
        <w:t xml:space="preserve"> Comment 5.0, discussing </w:t>
      </w:r>
      <w:r w:rsidRPr="001906E3">
        <w:rPr>
          <w:i/>
          <w:szCs w:val="24"/>
        </w:rPr>
        <w:t>Washington Cty. v. Gunther</w:t>
      </w:r>
      <w:r w:rsidRPr="001906E3">
        <w:rPr>
          <w:szCs w:val="24"/>
        </w:rPr>
        <w:t>, 452 U.S. 161 (1981).</w:t>
      </w:r>
    </w:p>
  </w:footnote>
  <w:footnote w:id="10">
    <w:p w14:paraId="5315BA86"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e.g.</w:t>
      </w:r>
      <w:r w:rsidRPr="001906E3">
        <w:rPr>
          <w:szCs w:val="24"/>
        </w:rPr>
        <w:t xml:space="preserve">, </w:t>
      </w:r>
      <w:r w:rsidRPr="001906E3">
        <w:rPr>
          <w:i/>
          <w:szCs w:val="24"/>
        </w:rPr>
        <w:t>Harris v. Forklift Sys., Inc</w:t>
      </w:r>
      <w:r w:rsidRPr="001906E3">
        <w:rPr>
          <w:szCs w:val="24"/>
        </w:rPr>
        <w:t xml:space="preserve">., 510 U.S. 17, 21 (1993) (“‘The phrase “terms, conditions, or privileges of employment” evinces a congressional intent “to strike at the entire spectrum of disparate treatment of men and women” in employment,’ which includes requiring people to work in a discriminatorily hostile or abusive environment.” (quoting </w:t>
      </w:r>
      <w:r w:rsidRPr="001906E3">
        <w:rPr>
          <w:i/>
          <w:szCs w:val="24"/>
        </w:rPr>
        <w:t>Meritor Sav. Bank, FSB v. Vinson</w:t>
      </w:r>
      <w:r w:rsidRPr="001906E3">
        <w:rPr>
          <w:szCs w:val="24"/>
        </w:rPr>
        <w:t xml:space="preserve">, 477 U.S. 57, 64 (1986) (quoting </w:t>
      </w:r>
      <w:r w:rsidRPr="001906E3">
        <w:rPr>
          <w:i/>
          <w:szCs w:val="24"/>
        </w:rPr>
        <w:t>City of Los Angeles, Dep’t of Water &amp; Power v. Manhart</w:t>
      </w:r>
      <w:r w:rsidRPr="001906E3">
        <w:rPr>
          <w:szCs w:val="24"/>
        </w:rPr>
        <w:t xml:space="preserve">, 435 U.S. 702, 707 n.13 (1978)))); </w:t>
      </w:r>
      <w:r w:rsidRPr="001906E3">
        <w:rPr>
          <w:i/>
          <w:szCs w:val="24"/>
        </w:rPr>
        <w:t>Vance v. Ball State Univ</w:t>
      </w:r>
      <w:r w:rsidRPr="001906E3">
        <w:rPr>
          <w:szCs w:val="24"/>
        </w:rPr>
        <w:t>., 133 S. Ct. 2434, 2441 (2013) (“[T]he plaintiff must show that the work environment was so pervaded by discrimination that the terms and conditions of employment were altered.”).</w:t>
      </w:r>
    </w:p>
  </w:footnote>
  <w:footnote w:id="11">
    <w:p w14:paraId="03A1871E" w14:textId="77777777" w:rsidR="001E3B63" w:rsidRPr="001906E3" w:rsidRDefault="001E3B63" w:rsidP="001E3B63">
      <w:pPr>
        <w:pStyle w:val="FootnoteText"/>
      </w:pPr>
      <w:r w:rsidRPr="001906E3">
        <w:rPr>
          <w:rStyle w:val="FootnoteReference"/>
        </w:rPr>
        <w:footnoteRef/>
      </w:r>
      <w:r w:rsidRPr="001906E3">
        <w:t xml:space="preserve"> </w:t>
      </w:r>
      <w:r w:rsidRPr="001906E3">
        <w:rPr>
          <w:i/>
          <w:szCs w:val="24"/>
        </w:rPr>
        <w:t>See, e.g.</w:t>
      </w:r>
      <w:r w:rsidRPr="001906E3">
        <w:rPr>
          <w:szCs w:val="24"/>
        </w:rPr>
        <w:t xml:space="preserve">, </w:t>
      </w:r>
      <w:r w:rsidRPr="001906E3">
        <w:rPr>
          <w:i/>
          <w:szCs w:val="24"/>
        </w:rPr>
        <w:t>Pennsylvania State Police v. Suders</w:t>
      </w:r>
      <w:r w:rsidRPr="001906E3">
        <w:rPr>
          <w:szCs w:val="24"/>
        </w:rPr>
        <w:t>, 542 U.S. 129, 142-43 (2004).</w:t>
      </w:r>
    </w:p>
  </w:footnote>
  <w:footnote w:id="12">
    <w:p w14:paraId="66C9349B" w14:textId="77777777" w:rsidR="001E3B63" w:rsidRPr="001906E3" w:rsidRDefault="001E3B63" w:rsidP="001E3B63">
      <w:pPr>
        <w:pStyle w:val="FootnoteText"/>
      </w:pPr>
      <w:r w:rsidRPr="001906E3">
        <w:rPr>
          <w:rStyle w:val="FootnoteReference"/>
        </w:rPr>
        <w:footnoteRef/>
      </w:r>
      <w:r w:rsidRPr="001906E3">
        <w:t xml:space="preserve"> </w:t>
      </w:r>
      <w:r w:rsidRPr="001906E3">
        <w:rPr>
          <w:i/>
          <w:szCs w:val="24"/>
        </w:rPr>
        <w:t>Hishon v. King &amp; Spalding</w:t>
      </w:r>
      <w:r w:rsidRPr="001906E3">
        <w:rPr>
          <w:szCs w:val="24"/>
        </w:rPr>
        <w:t xml:space="preserve">, 467 U.S. 69, 74 (1984); </w:t>
      </w:r>
      <w:r w:rsidRPr="001906E3">
        <w:rPr>
          <w:i/>
          <w:szCs w:val="24"/>
        </w:rPr>
        <w:t>see also id</w:t>
      </w:r>
      <w:r w:rsidRPr="001906E3">
        <w:rPr>
          <w:szCs w:val="24"/>
        </w:rPr>
        <w:t>. at 75 (“If the evidence at trial establishes that the parties contracted to have petitioner considered for partnership, that promise clearly was a term, condition, or privilege of her employment. Title VII would then bind respondent to consider petitioner for partnership as the statute provides, i.e., without regard to petitioner’s sex.”).</w:t>
      </w:r>
    </w:p>
  </w:footnote>
  <w:footnote w:id="13">
    <w:p w14:paraId="4FF40CAD" w14:textId="77777777" w:rsidR="001E3B63" w:rsidRPr="001906E3" w:rsidRDefault="001E3B63" w:rsidP="001E3B63">
      <w:pPr>
        <w:pStyle w:val="FootnoteText"/>
      </w:pPr>
      <w:r w:rsidRPr="001906E3">
        <w:rPr>
          <w:rStyle w:val="FootnoteReference"/>
          <w:szCs w:val="24"/>
        </w:rPr>
        <w:footnoteRef/>
      </w:r>
      <w:r w:rsidRPr="001906E3">
        <w:rPr>
          <w:szCs w:val="24"/>
        </w:rPr>
        <w:t xml:space="preserve"> “Those benefits that comprise the ‘incidents of employment,’ S.Rep. No. 867, 88th Cong., 2d Sess., 11 (1964), or that form ‘an aspect of the relationship between the employer and employees,’ </w:t>
      </w:r>
      <w:r w:rsidRPr="001906E3">
        <w:rPr>
          <w:i/>
          <w:szCs w:val="24"/>
        </w:rPr>
        <w:t>Chemical &amp; Alkali Workers v. Pittsburgh Plate Glass Co</w:t>
      </w:r>
      <w:r w:rsidRPr="001906E3">
        <w:rPr>
          <w:szCs w:val="24"/>
        </w:rPr>
        <w:t xml:space="preserve">., 404 U.S. 157, 178 … (1971), may not be afforded in a manner contrary to Title VII.”  </w:t>
      </w:r>
      <w:r w:rsidRPr="001906E3">
        <w:rPr>
          <w:i/>
          <w:szCs w:val="24"/>
        </w:rPr>
        <w:t>Hishon</w:t>
      </w:r>
      <w:r w:rsidRPr="001906E3">
        <w:rPr>
          <w:szCs w:val="24"/>
        </w:rPr>
        <w:t xml:space="preserve">, 467 U.S. at 75-76 (footnotes omitted).  The </w:t>
      </w:r>
      <w:r w:rsidRPr="001906E3">
        <w:rPr>
          <w:i/>
          <w:szCs w:val="24"/>
        </w:rPr>
        <w:t>Hishon</w:t>
      </w:r>
      <w:r w:rsidRPr="001906E3">
        <w:rPr>
          <w:szCs w:val="24"/>
        </w:rPr>
        <w:t xml:space="preserve"> Court also suggested that the question is whether the benefit in question “was part and parcel of [the relevant type of employee’s] status as an employee” of the employer.  </w:t>
      </w:r>
      <w:r w:rsidRPr="001906E3">
        <w:rPr>
          <w:i/>
          <w:szCs w:val="24"/>
        </w:rPr>
        <w:t>Id</w:t>
      </w:r>
      <w:r w:rsidRPr="001906E3">
        <w:rPr>
          <w:szCs w:val="24"/>
        </w:rPr>
        <w:t>. at 76.</w:t>
      </w:r>
    </w:p>
  </w:footnote>
  <w:footnote w:id="14">
    <w:p w14:paraId="6097380A"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Jones v. Se. Pa. Transp. Auth</w:t>
      </w:r>
      <w:r w:rsidRPr="001906E3">
        <w:rPr>
          <w:szCs w:val="24"/>
        </w:rPr>
        <w:t xml:space="preserve">., 796 F.3d 323, 326 (3d Cir. 2015) (quoting prior Third Circuit caselaw).  In </w:t>
      </w:r>
      <w:r w:rsidRPr="001906E3">
        <w:rPr>
          <w:i/>
          <w:szCs w:val="24"/>
        </w:rPr>
        <w:t>Jones</w:t>
      </w:r>
      <w:r w:rsidRPr="001906E3">
        <w:rPr>
          <w:szCs w:val="24"/>
        </w:rPr>
        <w:t xml:space="preserve">, the court held that “[a] paid suspension pending an investigation of an employee’s alleged wrongdoing” did not count as an adverse action under Section 2000e–2(a)(1), because “the terms and conditions of employment ordinarily include the possibility that an employee will be subject to an employer’s disciplinary policies in appropriate circumstances.”  </w:t>
      </w:r>
      <w:r w:rsidRPr="001906E3">
        <w:rPr>
          <w:i/>
          <w:szCs w:val="24"/>
        </w:rPr>
        <w:t>Jones</w:t>
      </w:r>
      <w:r w:rsidRPr="001906E3">
        <w:rPr>
          <w:szCs w:val="24"/>
        </w:rPr>
        <w:t xml:space="preserve">, 796 F.3d at 326 (quoting </w:t>
      </w:r>
      <w:r w:rsidRPr="001906E3">
        <w:rPr>
          <w:i/>
          <w:szCs w:val="24"/>
        </w:rPr>
        <w:t>Joseph v. Leavitt</w:t>
      </w:r>
      <w:r w:rsidRPr="001906E3">
        <w:rPr>
          <w:szCs w:val="24"/>
        </w:rPr>
        <w:t xml:space="preserve">, 465 F.3d 87, 91 (2d Cir. 2006)).  In </w:t>
      </w:r>
      <w:r w:rsidRPr="001906E3">
        <w:rPr>
          <w:i/>
          <w:szCs w:val="24"/>
        </w:rPr>
        <w:t>Jones</w:t>
      </w:r>
      <w:r w:rsidRPr="001906E3">
        <w:rPr>
          <w:szCs w:val="24"/>
        </w:rPr>
        <w:t xml:space="preserve">, the Court of Appeals affirmed the grant of summary judgment to the defendant.  </w:t>
      </w:r>
      <w:r w:rsidRPr="001906E3">
        <w:rPr>
          <w:i/>
          <w:szCs w:val="24"/>
        </w:rPr>
        <w:t>See Jones</w:t>
      </w:r>
      <w:r w:rsidRPr="001906E3">
        <w:rPr>
          <w:szCs w:val="24"/>
        </w:rPr>
        <w:t>, 796 F.3d at 332.</w:t>
      </w:r>
    </w:p>
  </w:footnote>
  <w:footnote w:id="15">
    <w:p w14:paraId="244DC6C1"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Robinson v. City of Pittsburgh</w:t>
      </w:r>
      <w:r w:rsidRPr="001906E3">
        <w:rPr>
          <w:szCs w:val="24"/>
        </w:rPr>
        <w:t xml:space="preserve">, 120 F.3d 1286, 1300–01 (3d Cir. 1997) (holding “that the ‘adverse employment action’ element of a retaliation plaintiff’s prima facie case incorporates the same requirement that the retaliatory conduct rise to the level of a violation of 42 U.S.C. § 2000e–2(a)(1) or (2)” and that the plaintiff’s “allegations that she was subjected to ‘unsubstantiated oral reprimands’ and ‘unnecessary derogatory comments’” did not meet that test). </w:t>
      </w:r>
      <w:r w:rsidRPr="001906E3">
        <w:rPr>
          <w:i/>
          <w:szCs w:val="24"/>
        </w:rPr>
        <w:t>See also Mondzelewski v. Pathmark Stores, Inc.</w:t>
      </w:r>
      <w:r w:rsidRPr="001906E3">
        <w:rPr>
          <w:szCs w:val="24"/>
        </w:rPr>
        <w:t>, 162 F.3d 778, 787-88 (3d Cir. 1998) (reversing grant of summary judgment to defendant on plaintiff’s ADA retaliation claim, and noting that while “minor or trivial actions that merely make an employee ‘unhappy’ are not sufficient to qualify as retaliation under the ADA,” relegating “an employee to an undesirable schedule can be more than a ‘trivial’ or minor change in the employee's working conditions”).</w:t>
      </w:r>
    </w:p>
  </w:footnote>
  <w:footnote w:id="16">
    <w:p w14:paraId="56CE9BE6"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Jones</w:t>
      </w:r>
      <w:r w:rsidRPr="001906E3">
        <w:rPr>
          <w:szCs w:val="24"/>
        </w:rPr>
        <w:t xml:space="preserve">, 796 F.3d at 332; </w:t>
      </w:r>
      <w:r w:rsidRPr="001906E3">
        <w:rPr>
          <w:i/>
          <w:szCs w:val="24"/>
        </w:rPr>
        <w:t>Harris v. Supervalu Holdings-PA LLC</w:t>
      </w:r>
      <w:r w:rsidRPr="001906E3">
        <w:rPr>
          <w:szCs w:val="24"/>
        </w:rPr>
        <w:t xml:space="preserve">, 262 F. App'x 470, 472 (3d Cir. 2008) (nonprecedential per curiam opinion).  </w:t>
      </w:r>
      <w:r w:rsidRPr="001906E3">
        <w:rPr>
          <w:i/>
          <w:szCs w:val="24"/>
        </w:rPr>
        <w:t>See also Walker v. Centocor Ortho Biotech, Inc</w:t>
      </w:r>
      <w:r w:rsidRPr="001906E3">
        <w:rPr>
          <w:szCs w:val="24"/>
        </w:rPr>
        <w:t xml:space="preserve">., 558 F. App’x 216, 220 (3d Cir. 2014) (nonprecedential opinion concerning Section 1981 claim); </w:t>
      </w:r>
      <w:r w:rsidRPr="001906E3">
        <w:rPr>
          <w:i/>
          <w:szCs w:val="24"/>
        </w:rPr>
        <w:t>Barnes v. Nationwide Mut. Ins. Co</w:t>
      </w:r>
      <w:r w:rsidRPr="001906E3">
        <w:rPr>
          <w:szCs w:val="24"/>
        </w:rPr>
        <w:t>., 598 F. App'x 86, 87 (3d Cir. 2015) (same).</w:t>
      </w:r>
    </w:p>
  </w:footnote>
  <w:footnote w:id="17">
    <w:p w14:paraId="4F3FB2D3" w14:textId="77777777" w:rsidR="001E3B63" w:rsidRPr="001906E3" w:rsidRDefault="001E3B63"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Hampton v. Borough of Tinton Falls Police Dep’t</w:t>
      </w:r>
      <w:r w:rsidRPr="001906E3">
        <w:rPr>
          <w:szCs w:val="24"/>
        </w:rPr>
        <w:t xml:space="preserve">, 98 F.3d 107, 116 (3d Cir. 1996) (“Although the rotation may not be a demotion, it came on the heels of [Hampton’s] EEOC filing, and plaintiffs argue that the road patrol assignment is less desirable than that of detective bureau. Moreover, Hampton remains in his new assignment even though it was supposed to have been temporary. The significance of these facts should be resolved by jury deliberations, not motions for summary judgment.”).  This discussion in </w:t>
      </w:r>
      <w:r w:rsidRPr="001906E3">
        <w:rPr>
          <w:i/>
          <w:szCs w:val="24"/>
        </w:rPr>
        <w:t>Hampton</w:t>
      </w:r>
      <w:r w:rsidRPr="001906E3">
        <w:rPr>
          <w:szCs w:val="24"/>
        </w:rPr>
        <w:t xml:space="preserve"> concerned retaliation claims (including under Title VII) – but, as noted above, the Court of Appeals during this time period borrowed the adverse-action test for Title VII retaliation claims from the principles governing Title VII discrimination claims.</w:t>
      </w:r>
    </w:p>
  </w:footnote>
  <w:footnote w:id="18">
    <w:p w14:paraId="59BC348C" w14:textId="77777777" w:rsidR="001E3B63" w:rsidRPr="000C20BB" w:rsidRDefault="001E3B63" w:rsidP="001E3B63">
      <w:pPr>
        <w:pStyle w:val="FootnoteText"/>
        <w:rPr>
          <w:u w:val="single"/>
        </w:rPr>
      </w:pPr>
      <w:r w:rsidRPr="001906E3">
        <w:rPr>
          <w:rStyle w:val="FootnoteReference"/>
        </w:rPr>
        <w:footnoteRef/>
      </w:r>
      <w:r w:rsidRPr="001906E3">
        <w:t xml:space="preserve"> </w:t>
      </w:r>
      <w:r w:rsidRPr="001906E3">
        <w:rPr>
          <w:i/>
          <w:szCs w:val="24"/>
        </w:rPr>
        <w:t>See</w:t>
      </w:r>
      <w:r w:rsidRPr="001906E3">
        <w:rPr>
          <w:szCs w:val="24"/>
        </w:rPr>
        <w:t xml:space="preserve"> Comment 5.0 (discussing </w:t>
      </w:r>
      <w:r w:rsidRPr="001906E3">
        <w:rPr>
          <w:i/>
          <w:szCs w:val="24"/>
        </w:rPr>
        <w:t>E.E.O.C.  v.  Abercrombie  &amp;  Fitch  Stores,  Inc</w:t>
      </w:r>
      <w:r w:rsidRPr="001906E3">
        <w:rPr>
          <w:szCs w:val="24"/>
        </w:rPr>
        <w:t>., 135  S.  Ct.  2028, 2033-34 (2015)).</w:t>
      </w:r>
    </w:p>
  </w:footnote>
  <w:footnote w:id="19">
    <w:p w14:paraId="60F500C8" w14:textId="77777777" w:rsidR="007A181D" w:rsidRPr="00EE77B7" w:rsidRDefault="007A181D" w:rsidP="007A181D">
      <w:pPr>
        <w:pStyle w:val="FootnoteText"/>
        <w:rPr>
          <w:szCs w:val="24"/>
        </w:rPr>
      </w:pPr>
      <w:r w:rsidRPr="00EE77B7">
        <w:rPr>
          <w:rStyle w:val="FootnoteReference"/>
        </w:rPr>
        <w:footnoteRef/>
      </w:r>
      <w:r w:rsidRPr="00EE77B7">
        <w:t xml:space="preserve"> </w:t>
      </w:r>
      <w:r w:rsidRPr="00EE77B7">
        <w:rPr>
          <w:szCs w:val="24"/>
        </w:rPr>
        <w:t>Please see the Comment for discussion of the last item in this list of alternatives.</w:t>
      </w:r>
    </w:p>
  </w:footnote>
  <w:footnote w:id="20">
    <w:p w14:paraId="1EA2F440" w14:textId="2D000DAD" w:rsidR="00A06380" w:rsidRDefault="00A06380">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21">
    <w:p w14:paraId="1805B294" w14:textId="21F86819" w:rsidR="00A06380" w:rsidRDefault="00A06380">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22">
    <w:p w14:paraId="6D0D0D7B" w14:textId="4964F151"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23">
    <w:p w14:paraId="28CB1AB3" w14:textId="77777777"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24">
    <w:p w14:paraId="4090F116" w14:textId="4AE7FE5F" w:rsidR="00A06380" w:rsidRDefault="00A06380">
      <w:pPr>
        <w:pStyle w:val="FootnoteText"/>
      </w:pPr>
      <w:r>
        <w:rPr>
          <w:rStyle w:val="FootnoteReference"/>
        </w:rPr>
        <w:footnoteRef/>
      </w:r>
      <w:r>
        <w:t xml:space="preserve"> </w:t>
      </w:r>
      <w:r w:rsidRPr="00A35CEB">
        <w:t xml:space="preserve">For a case finding a jury question as to the existence of a tangible employment action, see </w:t>
      </w:r>
      <w:r w:rsidRPr="00A35CEB">
        <w:rPr>
          <w:i/>
        </w:rPr>
        <w:t>Moody v. Atl. City Bd. of Educ</w:t>
      </w:r>
      <w:r>
        <w:t>., 870 F.3d 206</w:t>
      </w:r>
      <w:r w:rsidRPr="00A35CEB">
        <w:t xml:space="preserve">, </w:t>
      </w:r>
      <w:r>
        <w:t>219</w:t>
      </w:r>
      <w:r w:rsidRPr="00A35CEB">
        <w:t xml:space="preserve"> (3d Cir. 2017) (holding that “[a] reasonable juror could conclude that Marshall gave Moody</w:t>
      </w:r>
      <w:r>
        <w:t xml:space="preserve"> [work]</w:t>
      </w:r>
      <w:r w:rsidRPr="00A35CEB">
        <w:t xml:space="preserve"> hours to entice her to accede to his sexual demands and then reduced her hours after she rejected him”).</w:t>
      </w:r>
    </w:p>
  </w:footnote>
  <w:footnote w:id="25">
    <w:p w14:paraId="12CC17FA" w14:textId="77777777"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26">
    <w:p w14:paraId="37589E09" w14:textId="3EF96743" w:rsidR="00A06380" w:rsidRDefault="00A06380">
      <w:pPr>
        <w:pStyle w:val="FootnoteText"/>
      </w:pPr>
      <w:r>
        <w:rPr>
          <w:rStyle w:val="FootnoteReference"/>
        </w:rPr>
        <w:footnoteRef/>
      </w:r>
      <w:r>
        <w:t xml:space="preserve"> </w:t>
      </w:r>
      <w:r w:rsidRPr="00A51957">
        <w:t xml:space="preserve">For a case finding a jury question as to the existence of a tangible employment action, see </w:t>
      </w:r>
      <w:r w:rsidRPr="001A5F9C">
        <w:rPr>
          <w:i/>
        </w:rPr>
        <w:t>Moody v. Atl. City Bd. of Educ</w:t>
      </w:r>
      <w:r w:rsidRPr="00A51957">
        <w:t>., 870 F.3d 206, 219 (3d Cir. 2017) (holding that “[a] reasonable juror could conclude that Marshall gave Moody [work] hours to entice her to accede to his sexual demands and then reduced her hours after she rejected him”).</w:t>
      </w:r>
    </w:p>
  </w:footnote>
  <w:footnote w:id="27">
    <w:p w14:paraId="0F0B998C" w14:textId="77777777" w:rsidR="00A06380" w:rsidRDefault="00A06380" w:rsidP="008D153C">
      <w:pPr>
        <w:pStyle w:val="FootnoteText"/>
      </w:pPr>
      <w:r>
        <w:rPr>
          <w:rStyle w:val="FootnoteReference"/>
        </w:rPr>
        <w:footnoteRef/>
      </w:r>
      <w:r>
        <w:t xml:space="preserve"> Applying </w:t>
      </w:r>
      <w:r w:rsidRPr="008D153C">
        <w:rPr>
          <w:i/>
        </w:rPr>
        <w:t>Vance</w:t>
      </w:r>
      <w:r>
        <w:t xml:space="preserve">, the panel majority in </w:t>
      </w:r>
      <w:r w:rsidRPr="008D153C">
        <w:rPr>
          <w:i/>
        </w:rPr>
        <w:t>Moody v. Atlantic City Board of Education</w:t>
      </w:r>
      <w:r>
        <w:t xml:space="preserve"> cited multiple factors in holding that a custodial foreman was the plaintiff’s supervisor:</w:t>
      </w:r>
    </w:p>
    <w:p w14:paraId="4B0E56BE" w14:textId="3DFF0396" w:rsidR="00A06380" w:rsidRDefault="00A06380" w:rsidP="008D153C">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69606B30" w14:textId="2E55F09A" w:rsidR="00A06380" w:rsidRDefault="00A06380" w:rsidP="008D153C">
      <w:pPr>
        <w:pStyle w:val="FootnoteText"/>
        <w:ind w:firstLine="0"/>
      </w:pPr>
      <w:r w:rsidRPr="008D153C">
        <w:rPr>
          <w:i/>
        </w:rPr>
        <w:t>Moody v. Atl. City Bd. of Educ</w:t>
      </w:r>
      <w:r>
        <w:t>., 870 F.3d 206, 217 (3d Cir. 2017).</w:t>
      </w:r>
    </w:p>
  </w:footnote>
  <w:footnote w:id="28">
    <w:p w14:paraId="3AC08838" w14:textId="2C47F9FF" w:rsidR="00A06380" w:rsidRDefault="00A06380"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29">
    <w:p w14:paraId="5D7E9BE6" w14:textId="77777777" w:rsidR="00A06380" w:rsidRDefault="00A06380"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30">
    <w:p w14:paraId="1B14DA86" w14:textId="008E241E" w:rsidR="00543DFB" w:rsidRDefault="00543DFB">
      <w:pPr>
        <w:pStyle w:val="FootnoteText"/>
      </w:pPr>
      <w:r>
        <w:rPr>
          <w:rStyle w:val="FootnoteReference"/>
        </w:rPr>
        <w:footnoteRef/>
      </w:r>
      <w:r>
        <w:t xml:space="preserve"> </w:t>
      </w:r>
      <w:r w:rsidRPr="00543DFB">
        <w:t xml:space="preserve">For a case finding a jury question as to the existence of a tangible employment action, see </w:t>
      </w:r>
      <w:r w:rsidRPr="00543DFB">
        <w:rPr>
          <w:i/>
        </w:rPr>
        <w:t>Moody v. Atl. City Bd. of Educ</w:t>
      </w:r>
      <w:r w:rsidRPr="00543DFB">
        <w:t>., 870 F.3d 206, 219 (3d Cir. 2017) (holding that “[a] reasonable juror could conclude that Marshall gave Moody [work] hours to entice her to accede to his sexual demands and then reduced her hours after she rejected him”).</w:t>
      </w:r>
    </w:p>
  </w:footnote>
  <w:footnote w:id="31">
    <w:p w14:paraId="46D98FA6" w14:textId="2ED99EDB" w:rsidR="00A06380" w:rsidRDefault="00A06380">
      <w:pPr>
        <w:pStyle w:val="FootnoteText"/>
      </w:pPr>
      <w:r>
        <w:rPr>
          <w:rStyle w:val="FootnoteReference"/>
        </w:rPr>
        <w:footnoteRef/>
      </w:r>
      <w:r>
        <w:t xml:space="preserve"> </w:t>
      </w:r>
      <w:r w:rsidRPr="0033620A">
        <w:rPr>
          <w:i/>
        </w:rPr>
        <w:t>See, e.g.</w:t>
      </w:r>
      <w:r w:rsidRPr="00A277CF">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xml:space="preserve">. (stating that “[a]lthough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r w:rsidRPr="002B6720">
        <w:rPr>
          <w:i/>
        </w:rPr>
        <w:t>Ellerth</w:t>
      </w:r>
      <w:r w:rsidRPr="00A277CF">
        <w:t xml:space="preserve"> defense”).</w:t>
      </w:r>
    </w:p>
  </w:footnote>
  <w:footnote w:id="32">
    <w:p w14:paraId="748126C6" w14:textId="12CFE851" w:rsidR="00A06380" w:rsidRDefault="00A06380">
      <w:pPr>
        <w:pStyle w:val="FootnoteText"/>
      </w:pPr>
      <w:r>
        <w:rPr>
          <w:rStyle w:val="FootnoteReference"/>
        </w:rPr>
        <w:footnoteRef/>
      </w:r>
      <w:r>
        <w:t xml:space="preserve"> </w:t>
      </w:r>
      <w:r w:rsidRPr="00EA603E">
        <w:rPr>
          <w:i/>
        </w:rPr>
        <w:t>See, e.g.</w:t>
      </w:r>
      <w:r w:rsidRPr="00FE2ACC">
        <w:t xml:space="preserve">, </w:t>
      </w:r>
      <w:r w:rsidRPr="00EA603E">
        <w:rPr>
          <w:i/>
        </w:rPr>
        <w:t>Jones v. Southeastern Pa. Transp. Auth.</w:t>
      </w:r>
      <w:r w:rsidRPr="00FE2ACC">
        <w:t>, 796 F.3d 323, 329 (3d Cir. 2015) (finding an unreasonable failure by the employee where “[d]espite 10 years of alleged harassment [by her supervisor], … she never made a complaint until [the supervisor] accused her of timesheet fraud, despite the fact that she knew that the [employer’s] EEO Office fielded such complaints”).</w:t>
      </w:r>
    </w:p>
  </w:footnote>
  <w:footnote w:id="33">
    <w:p w14:paraId="3D45C358" w14:textId="77777777" w:rsidR="00616C77" w:rsidRDefault="00616C77" w:rsidP="00616C77">
      <w:pPr>
        <w:pStyle w:val="FootnoteText"/>
      </w:pPr>
      <w:r>
        <w:rPr>
          <w:rStyle w:val="FootnoteReference"/>
        </w:rPr>
        <w:footnoteRef/>
      </w:r>
      <w:r>
        <w:t xml:space="preserve"> Applying </w:t>
      </w:r>
      <w:r w:rsidRPr="00616C77">
        <w:rPr>
          <w:i/>
        </w:rPr>
        <w:t>Vance</w:t>
      </w:r>
      <w:r>
        <w:t xml:space="preserve">, the panel majority in </w:t>
      </w:r>
      <w:r w:rsidRPr="00B4088A">
        <w:rPr>
          <w:i/>
        </w:rPr>
        <w:t>Moody v. Atlantic City Board of Education</w:t>
      </w:r>
      <w:r>
        <w:t xml:space="preserve"> cited multiple factors in holding that a custodial foreman was the plaintiff’s supervisor:</w:t>
      </w:r>
    </w:p>
    <w:p w14:paraId="3863CFBA" w14:textId="77777777" w:rsidR="00616C77" w:rsidRDefault="00616C77" w:rsidP="00B4088A">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0B71839C" w14:textId="6824D45B" w:rsidR="00616C77" w:rsidRDefault="00616C77" w:rsidP="00B4088A">
      <w:pPr>
        <w:pStyle w:val="FootnoteText"/>
        <w:ind w:firstLine="0"/>
      </w:pPr>
      <w:r w:rsidRPr="00B4088A">
        <w:rPr>
          <w:i/>
        </w:rPr>
        <w:t>Moody v. Atl. City Bd. of Educ.</w:t>
      </w:r>
      <w:r>
        <w:t>, 870 F.3d 206, 217 (3d Cir. 2017).</w:t>
      </w:r>
    </w:p>
  </w:footnote>
  <w:footnote w:id="34">
    <w:p w14:paraId="0736A13E" w14:textId="00AE7CA1"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footnote>
  <w:footnote w:id="35">
    <w:p w14:paraId="55D47348" w14:textId="38F21918"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36">
    <w:p w14:paraId="14635924" w14:textId="77777777" w:rsidR="00A06380" w:rsidRPr="00F40499" w:rsidRDefault="00A06380"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37">
    <w:p w14:paraId="33CCEF88" w14:textId="0449A856" w:rsidR="00A06380" w:rsidRDefault="00A06380">
      <w:pPr>
        <w:pStyle w:val="FootnoteText"/>
      </w:pPr>
      <w:r>
        <w:rPr>
          <w:rStyle w:val="FootnoteReference"/>
        </w:rPr>
        <w:footnoteRef/>
      </w:r>
      <w:r>
        <w:t xml:space="preserve"> </w:t>
      </w:r>
      <w:r w:rsidRPr="00B94344">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“[R]efusing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A06380" w:rsidRDefault="00A06380">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38">
    <w:p w14:paraId="2A057539" w14:textId="37EF1BA5" w:rsidR="00A06380" w:rsidRDefault="00A06380">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39">
    <w:p w14:paraId="7DD488AF" w14:textId="011C4282" w:rsidR="00A06380" w:rsidRDefault="00A06380"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A06380" w:rsidRDefault="00A06380"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40">
    <w:p w14:paraId="07B8032F" w14:textId="57BDD58D" w:rsidR="00A06380" w:rsidRDefault="00A06380">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Title VII’s anti-retaliation provision.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41">
    <w:p w14:paraId="1ED293B2" w14:textId="77777777" w:rsidR="00A06380" w:rsidRDefault="00A06380"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A06380" w:rsidRDefault="00A06380" w:rsidP="0094311E">
      <w:pPr>
        <w:pStyle w:val="FootnoteText"/>
      </w:pPr>
    </w:p>
    <w:p w14:paraId="2C9E26A6" w14:textId="77777777" w:rsidR="00A06380" w:rsidRDefault="00A06380"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A06380" w:rsidRDefault="00A06380" w:rsidP="0094311E">
      <w:pPr>
        <w:pStyle w:val="FootnoteText"/>
      </w:pPr>
    </w:p>
    <w:p w14:paraId="0B81DD3C" w14:textId="35046BF8" w:rsidR="00A06380" w:rsidRDefault="00A06380" w:rsidP="00005107">
      <w:pPr>
        <w:pStyle w:val="FootnoteText"/>
        <w:ind w:firstLine="0"/>
      </w:pPr>
      <w:r w:rsidRPr="00005107">
        <w:rPr>
          <w:i/>
        </w:rPr>
        <w:t>Jones</w:t>
      </w:r>
      <w:r>
        <w:t>, 796 F.3d at 330.</w:t>
      </w:r>
    </w:p>
  </w:footnote>
  <w:footnote w:id="42">
    <w:p w14:paraId="1B3C903C" w14:textId="045F4862" w:rsidR="00A06380" w:rsidRDefault="00A06380">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43">
    <w:p w14:paraId="4DB5B450" w14:textId="2458D366" w:rsidR="00C15217" w:rsidRDefault="00C15217">
      <w:pPr>
        <w:pStyle w:val="FootnoteText"/>
      </w:pPr>
      <w:r>
        <w:rPr>
          <w:rStyle w:val="FootnoteReference"/>
        </w:rPr>
        <w:footnoteRef/>
      </w:r>
      <w:r>
        <w:t xml:space="preserve"> </w:t>
      </w:r>
      <w:r w:rsidRPr="00C15217">
        <w:t xml:space="preserve">For a discussion of </w:t>
      </w:r>
      <w:r w:rsidRPr="007A29AA">
        <w:rPr>
          <w:i/>
        </w:rPr>
        <w:t>Nassar</w:t>
      </w:r>
      <w:r w:rsidRPr="00C15217">
        <w:t xml:space="preserve">’s implications for summary judgment practice, see </w:t>
      </w:r>
      <w:r w:rsidRPr="00C15217">
        <w:rPr>
          <w:i/>
        </w:rPr>
        <w:t>Carvalho-Grevious v. Delaware State Univ</w:t>
      </w:r>
      <w:r w:rsidRPr="00C15217">
        <w:t>., 851 F.3d 249, 257, 259 (3d Cir. 2017).</w:t>
      </w:r>
    </w:p>
  </w:footnote>
  <w:footnote w:id="44">
    <w:p w14:paraId="10B75DB8" w14:textId="69002C7C"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A06380" w:rsidRDefault="00A06380"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45">
    <w:p w14:paraId="5643C883" w14:textId="5441EC5D" w:rsidR="00A06380" w:rsidRDefault="00A06380"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46">
    <w:p w14:paraId="00AE7A93" w14:textId="62EC8BC8" w:rsidR="00A06380" w:rsidRDefault="00A06380"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 will be unnecessary: Because the charge filing periods are shorter than two years, a timely charge will fall less than two years after the unlawful practice.  The bracketed language is provided for use in cases where that is not true – for instance, where the plaintiff’s charge was untimely but the defendant waived its timeliness defense.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18DE" w14:textId="77777777" w:rsidR="00A06380" w:rsidRDefault="00A063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5563" w14:textId="55D02A62" w:rsidR="00A06380" w:rsidRDefault="00A06380"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A06380" w:rsidRPr="007771D9" w:rsidRDefault="00A06380" w:rsidP="007771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E2A" w14:textId="61E6730A" w:rsidR="00A06380" w:rsidRDefault="00A06380"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A06380" w:rsidRPr="007771D9" w:rsidRDefault="00A06380" w:rsidP="007771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71FE" w14:textId="5551D64A" w:rsidR="00A06380" w:rsidRDefault="00A06380"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A06380" w:rsidRPr="007771D9" w:rsidRDefault="00A06380" w:rsidP="007771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E183" w14:textId="530F5350" w:rsidR="00A06380" w:rsidRDefault="00A06380"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A06380" w:rsidRPr="007771D9" w:rsidRDefault="00A06380" w:rsidP="007771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D237" w14:textId="71A32880" w:rsidR="00A06380" w:rsidRDefault="00A06380"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A06380" w:rsidRPr="007771D9" w:rsidRDefault="00A06380" w:rsidP="007771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F50B" w14:textId="593CABAF" w:rsidR="00A06380" w:rsidRDefault="00A06380"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A06380" w:rsidRPr="007771D9" w:rsidRDefault="00A06380" w:rsidP="007771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E3C5" w14:textId="08840AC9" w:rsidR="00A06380" w:rsidRDefault="00A06380"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A06380" w:rsidRPr="007771D9" w:rsidRDefault="00A06380" w:rsidP="007771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169E" w14:textId="27110497" w:rsidR="00A06380" w:rsidRDefault="00A06380"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A06380" w:rsidRPr="007771D9" w:rsidRDefault="00A06380" w:rsidP="007771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578F" w14:textId="09A8C9F5" w:rsidR="00A06380" w:rsidRDefault="00A06380"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A06380" w:rsidRPr="007771D9" w:rsidRDefault="00A06380" w:rsidP="007771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0024" w14:textId="4D7830B9" w:rsidR="00A06380" w:rsidRDefault="00A06380"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A06380" w:rsidRPr="007771D9" w:rsidRDefault="00A06380" w:rsidP="00777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0081" w14:textId="77777777" w:rsidR="00A06380" w:rsidRDefault="00A063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C51C" w14:textId="74D96D69" w:rsidR="00A06380" w:rsidRDefault="00A06380" w:rsidP="00816CB8">
    <w:pPr>
      <w:pStyle w:val="Header"/>
      <w:jc w:val="right"/>
    </w:pPr>
    <w:r w:rsidRPr="003313BC">
      <w:rPr>
        <w:rFonts w:ascii="Century Schoolbook" w:hAnsi="Century Schoolbook"/>
        <w:b/>
      </w:rPr>
      <w:t>5.0   Title VII Introductory Instruction</w:t>
    </w:r>
  </w:p>
  <w:p w14:paraId="74ED7BE2" w14:textId="23C19CCF" w:rsidR="00A06380" w:rsidRPr="007771D9" w:rsidRDefault="00A06380" w:rsidP="00777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06C9" w14:textId="0E7F13E6" w:rsidR="00A06380" w:rsidRDefault="00A06380"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A06380" w:rsidRPr="007771D9" w:rsidRDefault="00A06380" w:rsidP="00777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08D8" w14:textId="11BC18BE" w:rsidR="00A06380" w:rsidRDefault="00A06380"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A06380" w:rsidRPr="007771D9" w:rsidRDefault="00A06380" w:rsidP="00777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CC86" w14:textId="22EF727B" w:rsidR="00A06380" w:rsidRDefault="00A06380"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A06380" w:rsidRPr="007771D9" w:rsidRDefault="00A06380" w:rsidP="00777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49E5" w14:textId="21334990" w:rsidR="00A06380" w:rsidRDefault="00A06380"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A06380" w:rsidRPr="007771D9" w:rsidRDefault="00A06380" w:rsidP="007771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F297" w14:textId="73DA3E31" w:rsidR="00A06380" w:rsidRDefault="00A06380"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A06380" w:rsidRPr="007771D9" w:rsidRDefault="00A06380" w:rsidP="007771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7285" w14:textId="4DA8173C" w:rsidR="00A06380" w:rsidRDefault="00A06380"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A06380" w:rsidRPr="007771D9" w:rsidRDefault="00A06380" w:rsidP="0077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2"/>
    <w:rsid w:val="000006EC"/>
    <w:rsid w:val="00005107"/>
    <w:rsid w:val="000124F6"/>
    <w:rsid w:val="00020512"/>
    <w:rsid w:val="00020B81"/>
    <w:rsid w:val="00023B5F"/>
    <w:rsid w:val="00025BE4"/>
    <w:rsid w:val="00041A57"/>
    <w:rsid w:val="00063D88"/>
    <w:rsid w:val="000A5FD7"/>
    <w:rsid w:val="000D0D40"/>
    <w:rsid w:val="000D12B3"/>
    <w:rsid w:val="000D1D9B"/>
    <w:rsid w:val="000E5F43"/>
    <w:rsid w:val="000E734A"/>
    <w:rsid w:val="000F1466"/>
    <w:rsid w:val="00103FE7"/>
    <w:rsid w:val="00104683"/>
    <w:rsid w:val="001057A9"/>
    <w:rsid w:val="001070F0"/>
    <w:rsid w:val="001100B4"/>
    <w:rsid w:val="0011644C"/>
    <w:rsid w:val="00143162"/>
    <w:rsid w:val="00157CD4"/>
    <w:rsid w:val="00160BDF"/>
    <w:rsid w:val="001628E6"/>
    <w:rsid w:val="00173B97"/>
    <w:rsid w:val="00177E7E"/>
    <w:rsid w:val="00193A3D"/>
    <w:rsid w:val="001947F0"/>
    <w:rsid w:val="001A05A7"/>
    <w:rsid w:val="001A3E6D"/>
    <w:rsid w:val="001A5F9C"/>
    <w:rsid w:val="001B1153"/>
    <w:rsid w:val="001B3336"/>
    <w:rsid w:val="001C3B3F"/>
    <w:rsid w:val="001D0D8E"/>
    <w:rsid w:val="001D300B"/>
    <w:rsid w:val="001E308A"/>
    <w:rsid w:val="001E31BB"/>
    <w:rsid w:val="001E3B63"/>
    <w:rsid w:val="001E6D09"/>
    <w:rsid w:val="001F4AFB"/>
    <w:rsid w:val="0020129A"/>
    <w:rsid w:val="0021496F"/>
    <w:rsid w:val="00217056"/>
    <w:rsid w:val="00227251"/>
    <w:rsid w:val="00244D6B"/>
    <w:rsid w:val="0025290C"/>
    <w:rsid w:val="00264719"/>
    <w:rsid w:val="00277034"/>
    <w:rsid w:val="002837E4"/>
    <w:rsid w:val="002862B6"/>
    <w:rsid w:val="002905D1"/>
    <w:rsid w:val="0029176B"/>
    <w:rsid w:val="002A4FC8"/>
    <w:rsid w:val="002A5D70"/>
    <w:rsid w:val="002A6A57"/>
    <w:rsid w:val="002B35B5"/>
    <w:rsid w:val="002B6595"/>
    <w:rsid w:val="002B6720"/>
    <w:rsid w:val="002E6B34"/>
    <w:rsid w:val="002F29BD"/>
    <w:rsid w:val="00300279"/>
    <w:rsid w:val="00311CCE"/>
    <w:rsid w:val="00315176"/>
    <w:rsid w:val="00317C07"/>
    <w:rsid w:val="00327A0F"/>
    <w:rsid w:val="003313BC"/>
    <w:rsid w:val="0033620A"/>
    <w:rsid w:val="003370B4"/>
    <w:rsid w:val="003375D3"/>
    <w:rsid w:val="0034466C"/>
    <w:rsid w:val="00385D7E"/>
    <w:rsid w:val="00386B18"/>
    <w:rsid w:val="003A085B"/>
    <w:rsid w:val="003A0AF5"/>
    <w:rsid w:val="003B43A1"/>
    <w:rsid w:val="003C48BC"/>
    <w:rsid w:val="003D006B"/>
    <w:rsid w:val="003E07F8"/>
    <w:rsid w:val="003F2913"/>
    <w:rsid w:val="003F7E51"/>
    <w:rsid w:val="00413F1E"/>
    <w:rsid w:val="00421408"/>
    <w:rsid w:val="00426136"/>
    <w:rsid w:val="00447A73"/>
    <w:rsid w:val="0046026B"/>
    <w:rsid w:val="0047655D"/>
    <w:rsid w:val="00481022"/>
    <w:rsid w:val="00483737"/>
    <w:rsid w:val="00487A75"/>
    <w:rsid w:val="004953C6"/>
    <w:rsid w:val="00495F67"/>
    <w:rsid w:val="004964B6"/>
    <w:rsid w:val="004A053B"/>
    <w:rsid w:val="004A3CCF"/>
    <w:rsid w:val="004E1BDF"/>
    <w:rsid w:val="004F09B8"/>
    <w:rsid w:val="004F0FDE"/>
    <w:rsid w:val="005004B0"/>
    <w:rsid w:val="00506406"/>
    <w:rsid w:val="0051263A"/>
    <w:rsid w:val="0051263F"/>
    <w:rsid w:val="005132C3"/>
    <w:rsid w:val="00516925"/>
    <w:rsid w:val="00530E5D"/>
    <w:rsid w:val="00543DFB"/>
    <w:rsid w:val="0055466F"/>
    <w:rsid w:val="00565367"/>
    <w:rsid w:val="00575F8C"/>
    <w:rsid w:val="005768D2"/>
    <w:rsid w:val="00576B1A"/>
    <w:rsid w:val="00581ED0"/>
    <w:rsid w:val="00587504"/>
    <w:rsid w:val="00590E09"/>
    <w:rsid w:val="005927BA"/>
    <w:rsid w:val="0059573C"/>
    <w:rsid w:val="005A626D"/>
    <w:rsid w:val="005B5878"/>
    <w:rsid w:val="005B5953"/>
    <w:rsid w:val="005C11C4"/>
    <w:rsid w:val="005E0212"/>
    <w:rsid w:val="005E60C1"/>
    <w:rsid w:val="005F5C0E"/>
    <w:rsid w:val="00603878"/>
    <w:rsid w:val="00616798"/>
    <w:rsid w:val="00616C77"/>
    <w:rsid w:val="006313E7"/>
    <w:rsid w:val="0063473E"/>
    <w:rsid w:val="006449C8"/>
    <w:rsid w:val="00653067"/>
    <w:rsid w:val="00682CFD"/>
    <w:rsid w:val="00684613"/>
    <w:rsid w:val="006962FA"/>
    <w:rsid w:val="006C5A20"/>
    <w:rsid w:val="006C6AB6"/>
    <w:rsid w:val="006C71CC"/>
    <w:rsid w:val="006D07F3"/>
    <w:rsid w:val="006D5E21"/>
    <w:rsid w:val="00710B73"/>
    <w:rsid w:val="00713014"/>
    <w:rsid w:val="007305BE"/>
    <w:rsid w:val="007348F7"/>
    <w:rsid w:val="00741CD0"/>
    <w:rsid w:val="007434BA"/>
    <w:rsid w:val="0075195B"/>
    <w:rsid w:val="00764D63"/>
    <w:rsid w:val="007654DE"/>
    <w:rsid w:val="00765BD2"/>
    <w:rsid w:val="007771D9"/>
    <w:rsid w:val="00783C5D"/>
    <w:rsid w:val="00785FB7"/>
    <w:rsid w:val="007A181D"/>
    <w:rsid w:val="007A29AA"/>
    <w:rsid w:val="007A3628"/>
    <w:rsid w:val="007A4B58"/>
    <w:rsid w:val="007B127F"/>
    <w:rsid w:val="007C6D78"/>
    <w:rsid w:val="007E45F8"/>
    <w:rsid w:val="007E4840"/>
    <w:rsid w:val="007E6C6D"/>
    <w:rsid w:val="0081090B"/>
    <w:rsid w:val="00816CB8"/>
    <w:rsid w:val="008230F1"/>
    <w:rsid w:val="00825921"/>
    <w:rsid w:val="00834DE3"/>
    <w:rsid w:val="00841822"/>
    <w:rsid w:val="00846DD4"/>
    <w:rsid w:val="00850837"/>
    <w:rsid w:val="00854B71"/>
    <w:rsid w:val="00855B45"/>
    <w:rsid w:val="008652B4"/>
    <w:rsid w:val="0087489D"/>
    <w:rsid w:val="00880BCD"/>
    <w:rsid w:val="00886E36"/>
    <w:rsid w:val="00890ECE"/>
    <w:rsid w:val="00892A28"/>
    <w:rsid w:val="00893A2E"/>
    <w:rsid w:val="008A2022"/>
    <w:rsid w:val="008B4947"/>
    <w:rsid w:val="008D153C"/>
    <w:rsid w:val="008E0A5F"/>
    <w:rsid w:val="008F386B"/>
    <w:rsid w:val="008F7050"/>
    <w:rsid w:val="00903A7B"/>
    <w:rsid w:val="009116F6"/>
    <w:rsid w:val="009124AD"/>
    <w:rsid w:val="0091367D"/>
    <w:rsid w:val="0092033B"/>
    <w:rsid w:val="009218B1"/>
    <w:rsid w:val="00925817"/>
    <w:rsid w:val="0093158B"/>
    <w:rsid w:val="00940504"/>
    <w:rsid w:val="0094311E"/>
    <w:rsid w:val="00945E27"/>
    <w:rsid w:val="00953CBC"/>
    <w:rsid w:val="00962820"/>
    <w:rsid w:val="00962E08"/>
    <w:rsid w:val="00963BB8"/>
    <w:rsid w:val="00977A92"/>
    <w:rsid w:val="00982B1B"/>
    <w:rsid w:val="00982F5D"/>
    <w:rsid w:val="009847AD"/>
    <w:rsid w:val="009A4D68"/>
    <w:rsid w:val="009C1BD4"/>
    <w:rsid w:val="009C4E2B"/>
    <w:rsid w:val="009D6EE4"/>
    <w:rsid w:val="009E28C5"/>
    <w:rsid w:val="009E47A1"/>
    <w:rsid w:val="00A04F69"/>
    <w:rsid w:val="00A06380"/>
    <w:rsid w:val="00A111B4"/>
    <w:rsid w:val="00A2106B"/>
    <w:rsid w:val="00A26940"/>
    <w:rsid w:val="00A277CF"/>
    <w:rsid w:val="00A35CEB"/>
    <w:rsid w:val="00A40F48"/>
    <w:rsid w:val="00A4472F"/>
    <w:rsid w:val="00A47413"/>
    <w:rsid w:val="00A51957"/>
    <w:rsid w:val="00A56E53"/>
    <w:rsid w:val="00A577B8"/>
    <w:rsid w:val="00A6382F"/>
    <w:rsid w:val="00A80AB9"/>
    <w:rsid w:val="00A951AD"/>
    <w:rsid w:val="00A95CE4"/>
    <w:rsid w:val="00A96D26"/>
    <w:rsid w:val="00AA2427"/>
    <w:rsid w:val="00AA4488"/>
    <w:rsid w:val="00AD33DD"/>
    <w:rsid w:val="00AE1E92"/>
    <w:rsid w:val="00AE4462"/>
    <w:rsid w:val="00AF0077"/>
    <w:rsid w:val="00B00D3E"/>
    <w:rsid w:val="00B04DD4"/>
    <w:rsid w:val="00B0609C"/>
    <w:rsid w:val="00B11CB0"/>
    <w:rsid w:val="00B27144"/>
    <w:rsid w:val="00B4088A"/>
    <w:rsid w:val="00B43CC6"/>
    <w:rsid w:val="00B61514"/>
    <w:rsid w:val="00B61894"/>
    <w:rsid w:val="00B648A9"/>
    <w:rsid w:val="00B65303"/>
    <w:rsid w:val="00B6721D"/>
    <w:rsid w:val="00B674B3"/>
    <w:rsid w:val="00B7383F"/>
    <w:rsid w:val="00B94344"/>
    <w:rsid w:val="00BA1D9B"/>
    <w:rsid w:val="00BB0621"/>
    <w:rsid w:val="00BB5411"/>
    <w:rsid w:val="00BC276B"/>
    <w:rsid w:val="00BC38D9"/>
    <w:rsid w:val="00BD290F"/>
    <w:rsid w:val="00BE7032"/>
    <w:rsid w:val="00BF0FEA"/>
    <w:rsid w:val="00BF1DE0"/>
    <w:rsid w:val="00BF42E9"/>
    <w:rsid w:val="00BF7DE7"/>
    <w:rsid w:val="00C1091C"/>
    <w:rsid w:val="00C15217"/>
    <w:rsid w:val="00C2257F"/>
    <w:rsid w:val="00C32DD2"/>
    <w:rsid w:val="00C3351F"/>
    <w:rsid w:val="00C34334"/>
    <w:rsid w:val="00C359FF"/>
    <w:rsid w:val="00C4176A"/>
    <w:rsid w:val="00C67966"/>
    <w:rsid w:val="00C67B0D"/>
    <w:rsid w:val="00C70F71"/>
    <w:rsid w:val="00C779A0"/>
    <w:rsid w:val="00C8127F"/>
    <w:rsid w:val="00C8187B"/>
    <w:rsid w:val="00C82612"/>
    <w:rsid w:val="00C90D4C"/>
    <w:rsid w:val="00CA61B0"/>
    <w:rsid w:val="00CB104B"/>
    <w:rsid w:val="00CC4613"/>
    <w:rsid w:val="00CD24FD"/>
    <w:rsid w:val="00CD2A7F"/>
    <w:rsid w:val="00CD3946"/>
    <w:rsid w:val="00CD6E58"/>
    <w:rsid w:val="00CE36F2"/>
    <w:rsid w:val="00CF5638"/>
    <w:rsid w:val="00D0607A"/>
    <w:rsid w:val="00D15197"/>
    <w:rsid w:val="00D20BBF"/>
    <w:rsid w:val="00D247C3"/>
    <w:rsid w:val="00D26081"/>
    <w:rsid w:val="00D5653D"/>
    <w:rsid w:val="00D62DC6"/>
    <w:rsid w:val="00D72757"/>
    <w:rsid w:val="00D7279B"/>
    <w:rsid w:val="00D7681B"/>
    <w:rsid w:val="00D76890"/>
    <w:rsid w:val="00D829D4"/>
    <w:rsid w:val="00DA1AA9"/>
    <w:rsid w:val="00DB03EA"/>
    <w:rsid w:val="00DB6BA8"/>
    <w:rsid w:val="00DD2D8C"/>
    <w:rsid w:val="00DD5815"/>
    <w:rsid w:val="00DD7EB1"/>
    <w:rsid w:val="00DF0DD2"/>
    <w:rsid w:val="00E021B1"/>
    <w:rsid w:val="00E03A31"/>
    <w:rsid w:val="00E05195"/>
    <w:rsid w:val="00E129FC"/>
    <w:rsid w:val="00E12CC1"/>
    <w:rsid w:val="00E17951"/>
    <w:rsid w:val="00E20398"/>
    <w:rsid w:val="00E34855"/>
    <w:rsid w:val="00E52B89"/>
    <w:rsid w:val="00E6359F"/>
    <w:rsid w:val="00E65F73"/>
    <w:rsid w:val="00E753E5"/>
    <w:rsid w:val="00E758A5"/>
    <w:rsid w:val="00E80FFD"/>
    <w:rsid w:val="00E815D1"/>
    <w:rsid w:val="00E8443B"/>
    <w:rsid w:val="00E97232"/>
    <w:rsid w:val="00EA603E"/>
    <w:rsid w:val="00EB0C06"/>
    <w:rsid w:val="00EB24C6"/>
    <w:rsid w:val="00EB4FAF"/>
    <w:rsid w:val="00EB67B2"/>
    <w:rsid w:val="00ED0F3B"/>
    <w:rsid w:val="00ED53E3"/>
    <w:rsid w:val="00EE1665"/>
    <w:rsid w:val="00EE5A40"/>
    <w:rsid w:val="00EE77B7"/>
    <w:rsid w:val="00EF2981"/>
    <w:rsid w:val="00EF63FE"/>
    <w:rsid w:val="00F22384"/>
    <w:rsid w:val="00F30832"/>
    <w:rsid w:val="00F3277F"/>
    <w:rsid w:val="00F40499"/>
    <w:rsid w:val="00F432EF"/>
    <w:rsid w:val="00F479B3"/>
    <w:rsid w:val="00F66E91"/>
    <w:rsid w:val="00F70088"/>
    <w:rsid w:val="00F77E19"/>
    <w:rsid w:val="00F83018"/>
    <w:rsid w:val="00FA06CA"/>
    <w:rsid w:val="00FB1574"/>
    <w:rsid w:val="00FB3406"/>
    <w:rsid w:val="00FB3FCD"/>
    <w:rsid w:val="00FC06F0"/>
    <w:rsid w:val="00FE2ACC"/>
    <w:rsid w:val="00FE74C0"/>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7AAA-AC69-4F7F-AF7E-27B28C96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32117</Words>
  <Characters>183072</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2018-05-23T14:18:00Z</dcterms:created>
  <dcterms:modified xsi:type="dcterms:W3CDTF">2018-05-27T17:11:00Z</dcterms:modified>
</cp:coreProperties>
</file>