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ED2B" w14:textId="77777777" w:rsidR="00A47413" w:rsidRPr="002F29BD" w:rsidRDefault="00A47413" w:rsidP="00F70088">
      <w:pPr>
        <w:widowControl w:val="0"/>
        <w:tabs>
          <w:tab w:val="center" w:pos="4680"/>
        </w:tabs>
        <w:spacing w:after="240"/>
        <w:jc w:val="both"/>
        <w:rPr>
          <w:b/>
        </w:rPr>
      </w:pPr>
      <w:bookmarkStart w:id="0" w:name="_GoBack"/>
      <w:bookmarkEnd w:id="0"/>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v.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Jargowsky,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1"/>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2"/>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5DE14B84"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7F3174E"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xml:space="preserve">] salaries, hired and fired them, and had control over their daily employment activities.’”  </w:t>
      </w:r>
      <w:r w:rsidRPr="002F29BD">
        <w:rPr>
          <w:i/>
        </w:rPr>
        <w:t>Covington</w:t>
      </w:r>
      <w:r w:rsidRPr="002F29BD">
        <w:t xml:space="preserve">, 710 F.3d at 119 (quoting </w:t>
      </w:r>
      <w:r w:rsidR="00BE7032" w:rsidRPr="002F29BD">
        <w:rPr>
          <w:i/>
        </w:rPr>
        <w:t>Covington v. Int’</w:t>
      </w:r>
      <w:r w:rsidRPr="002F29BD">
        <w:rPr>
          <w:i/>
        </w:rPr>
        <w:t>l Ass</w:t>
      </w:r>
      <w:r w:rsidR="00BE7032" w:rsidRPr="002F29BD">
        <w:rPr>
          <w:i/>
        </w:rPr>
        <w:t>’</w:t>
      </w:r>
      <w:r w:rsidRPr="002F29BD">
        <w:rPr>
          <w:i/>
        </w:rPr>
        <w:t>n of Approved Basketball Officials</w:t>
      </w:r>
      <w:r w:rsidRPr="002F29BD">
        <w:t>, No. 08–3639, 2010 WL 3404977, at *2 (D.N.J. Aug. 26, 2010))</w:t>
      </w:r>
      <w:r w:rsidR="00576B1A">
        <w:t xml:space="preserve">; </w:t>
      </w:r>
      <w:r w:rsidR="00653067" w:rsidRPr="00653067">
        <w:rPr>
          <w:i/>
        </w:rPr>
        <w:t>see also Faush v. Tuesday Morning, Inc.</w:t>
      </w:r>
      <w:r w:rsidR="00653067" w:rsidRPr="00653067">
        <w:t xml:space="preserve">, 808 F.3d 208, 209 (3d Cir. 2015) (holding that summary judgment was inappropriate because, under the circumstances, it was for the jury to decide whether the client of a temporary-staffing agency counted as an employer of one of the agency’s </w:t>
      </w:r>
      <w:r w:rsidR="00653067" w:rsidRPr="00653067">
        <w:lastRenderedPageBreak/>
        <w:t>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r w:rsidR="00682CFD" w:rsidRPr="00682CFD">
        <w:rPr>
          <w:i/>
        </w:rPr>
        <w:t>LeBoon v. Lancaster Jewish Cmty. Ctr. Ass’n</w:t>
      </w:r>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r w:rsidRPr="002F29BD">
        <w:rPr>
          <w:i/>
        </w:rPr>
        <w:t>Le</w:t>
      </w:r>
      <w:r w:rsidR="00421408">
        <w:rPr>
          <w:i/>
        </w:rPr>
        <w:t>B</w:t>
      </w:r>
      <w:r w:rsidRPr="002F29BD">
        <w:rPr>
          <w:i/>
        </w:rPr>
        <w:t xml:space="preserve">oon,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Id.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xml:space="preserve">. at 710 (“The case before us is an employment </w:t>
      </w:r>
      <w:r w:rsidR="00CD6E58" w:rsidRPr="002F29BD">
        <w:lastRenderedPageBreak/>
        <w:t>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r w:rsidR="00A47413" w:rsidRPr="002F29BD">
        <w:rPr>
          <w:i/>
        </w:rPr>
        <w:t xml:space="preserve">Petruska v. </w:t>
      </w:r>
      <w:r w:rsidRPr="002F29BD">
        <w:rPr>
          <w:i/>
        </w:rPr>
        <w:t>Gannon Univ.</w:t>
      </w:r>
      <w:r w:rsidRPr="002F29BD">
        <w:t>, 462 F.3d 294, 299 (3d Cir. 2006) (pre-Hosanna-Tabor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w:t>
      </w:r>
      <w:r w:rsidRPr="002F29BD">
        <w:rPr>
          <w:i/>
        </w:rPr>
        <w:t>See also Petruska</w:t>
      </w:r>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3A4FFF20" w:rsidR="00FE7AD5" w:rsidRPr="002F29BD" w:rsidRDefault="006C6AB6" w:rsidP="007E45F8">
      <w:pPr>
        <w:spacing w:after="240"/>
        <w:ind w:firstLine="720"/>
        <w:jc w:val="both"/>
      </w:pPr>
      <w:r>
        <w:t xml:space="preserve">Title VII prohibits adverse employment actions motivated by a protected characteristic; among those characteristics is “religion.”  42 U.S.C. § 2000e–2(a)(1).  Where a Title VII religious-discrimination claim is grounded on a claim that the employer was motivated by the plaintiff’s religious beliefs,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xml:space="preserve">, 135 S. Ct. 2028, 2033-34 (2015) (holding that “religious practice is one of the protected characteristics that cannot be accorded disparate treatment and must </w:t>
      </w:r>
      <w:r>
        <w:lastRenderedPageBreak/>
        <w:t>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1978 Act specifies that Title  VII’s “ter[m]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lastRenderedPageBreak/>
        <w:t>Interaction between disparate impact and disparate treatment principles</w:t>
      </w:r>
    </w:p>
    <w:p w14:paraId="3B7941B3" w14:textId="7258257A"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AD33DD" w:rsidRPr="002F29BD">
        <w:sym w:font="WP TypographicSymbols" w:char="0040"/>
      </w:r>
      <w:r w:rsidR="00AD33DD" w:rsidRPr="002F29BD">
        <w:t>).</w:t>
      </w:r>
      <w:r w:rsidR="00DB6BA8"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Default="00A47413" w:rsidP="00F70088">
      <w:pPr>
        <w:widowControl w:val="0"/>
        <w:spacing w:after="240"/>
        <w:jc w:val="both"/>
      </w:pPr>
      <w:r w:rsidRPr="002F29BD">
        <w:tab/>
        <w:t xml:space="preserve">For a discussion of Title VII claims based on gender stereotyping, see </w:t>
      </w:r>
      <w:r w:rsidRPr="002F29BD">
        <w:rPr>
          <w:i/>
        </w:rPr>
        <w:t>Prowel v. Wise Business Forms, Inc.</w:t>
      </w:r>
      <w:r w:rsidRPr="002F29BD">
        <w:t>, 579 F.3d 285, 292 (3d Cir. 2009) (“[I]t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p>
    <w:p w14:paraId="4212FA0D" w14:textId="584DF626" w:rsidR="00575F8C" w:rsidRPr="00575F8C" w:rsidRDefault="00575F8C" w:rsidP="00575F8C">
      <w:pPr>
        <w:widowControl w:val="0"/>
        <w:spacing w:after="240"/>
        <w:jc w:val="both"/>
        <w:rPr>
          <w:i/>
        </w:rPr>
      </w:pPr>
      <w:r w:rsidRPr="00575F8C">
        <w:rPr>
          <w:i/>
        </w:rPr>
        <w:t>Discrimination on the basis of sexual orientation or transgender status</w:t>
      </w:r>
    </w:p>
    <w:p w14:paraId="44663F34" w14:textId="0FD654D2" w:rsidR="005B5953" w:rsidRPr="002F29BD" w:rsidRDefault="00575F8C" w:rsidP="00575F8C">
      <w:pPr>
        <w:widowControl w:val="0"/>
        <w:spacing w:after="240"/>
        <w:jc w:val="both"/>
        <w:sectPr w:rsidR="005B5953" w:rsidRPr="002F29BD" w:rsidSect="00143162">
          <w:headerReference w:type="default" r:id="rId13"/>
          <w:pgSz w:w="12240" w:h="15840"/>
          <w:pgMar w:top="1440" w:right="1440" w:bottom="1920" w:left="1440" w:header="720" w:footer="1440" w:gutter="0"/>
          <w:lnNumType w:countBy="1" w:distance="576" w:restart="newSection"/>
          <w:cols w:space="720"/>
          <w:docGrid w:linePitch="326"/>
        </w:sectPr>
      </w:pPr>
      <w:r>
        <w:tab/>
        <w:t xml:space="preserve">The Third Circuit has held that Title VII does not bar discrimination on the basis of sexual orientation.  </w:t>
      </w:r>
      <w:r w:rsidRPr="00575F8C">
        <w:rPr>
          <w:i/>
        </w:rPr>
        <w:t>See Bibby v. Philadelphia Coca Cola Bottling Co.</w:t>
      </w:r>
      <w:r>
        <w:t xml:space="preserve">, 260 F.3d 257, 261 (3d Cir. 2001) (“Title VII does not prohibit discrimination based on sexual orientation.”).  More recently, the EEOC has published opinions (in cases involving federal-government employment) recognizing sexual-orientation and gender-identity claims as actionable under Title VII.  </w:t>
      </w:r>
      <w:r w:rsidRPr="00575F8C">
        <w:rPr>
          <w:i/>
        </w:rPr>
        <w:t>See Macy v. Holder</w:t>
      </w:r>
      <w:r>
        <w:t xml:space="preserve">, EEOC Appeal No. 0120120821, 2012 WL 1435995, at *4 (EEOC Apr. 20, 2012) (“clarif[ying] that claims of discrimination based on transgender status, also referred to as claims of discrimination based on gender identity, are cognizable under Title VII's sex discrimination prohibition, and may therefore be processed under Part 1614 of EEOC's federal sector EEO complaints process”); </w:t>
      </w:r>
      <w:r w:rsidRPr="00575F8C">
        <w:rPr>
          <w:i/>
        </w:rPr>
        <w:t>Baldwin v. Foxx</w:t>
      </w:r>
      <w:r>
        <w:t xml:space="preserve">, EEOC Appeal No. 0120133080, 2015 WL 4397641, at *10 (EEOC July 15, 2015) (holding “that Complainant’s allegations of discrimination on the basis of his sexual orientation state a claim of discrimination on the basis of sex within the meaning of Title VII”).  As of spring 2016, the Third Circuit has not revisited its holding in </w:t>
      </w:r>
      <w:r w:rsidRPr="00575F8C">
        <w:rPr>
          <w:i/>
        </w:rPr>
        <w:t>Bibby</w:t>
      </w:r>
      <w:r>
        <w:t xml:space="preserve"> since the issuance of these EEOC decisions.</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7AF83E64" w:rsidR="00A47413" w:rsidRPr="002F29BD" w:rsidRDefault="00A47413" w:rsidP="00F70088">
      <w:pPr>
        <w:widowControl w:val="0"/>
        <w:spacing w:after="240"/>
        <w:jc w:val="both"/>
      </w:pPr>
      <w:r w:rsidRPr="002F29BD">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motivating factor in [defendant's] decision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35B7D552"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3"/>
      </w:r>
    </w:p>
    <w:p w14:paraId="31414ED4" w14:textId="1E1CC980" w:rsidR="00A47413" w:rsidRPr="002F29BD" w:rsidRDefault="00A47413" w:rsidP="00F70088">
      <w:pPr>
        <w:widowControl w:val="0"/>
        <w:spacing w:after="240"/>
        <w:jc w:val="both"/>
      </w:pPr>
      <w:r w:rsidRPr="002F29BD">
        <w:tab/>
        <w:t xml:space="preserve">If you find that [defendant's] treatment of [plaintiff] was motivated by both discriminatory and lawful reasons, you must decide whether [plaintiff] is entitled to damages. [Plaintiff] is not entitled to damages if [defendant] proves by a preponderance of the evidence that  [defendant] </w:t>
      </w:r>
      <w:r w:rsidRPr="002F29BD">
        <w:lastRenderedPageBreak/>
        <w:t>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69886421"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defense  —  tracks the instructions approved in </w:t>
      </w:r>
      <w:r w:rsidRPr="002F29BD">
        <w:rPr>
          <w:i/>
        </w:rPr>
        <w:t>Desert Palace</w:t>
      </w:r>
      <w:r w:rsidRPr="002F29BD">
        <w:t xml:space="preserve">.  </w:t>
      </w:r>
    </w:p>
    <w:p w14:paraId="18387A76" w14:textId="66DE97ED"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Because the Committee has not met since the decision in </w:t>
      </w:r>
      <w:r w:rsidRPr="0029176B">
        <w:rPr>
          <w:i/>
        </w:rPr>
        <w:t>Egan</w:t>
      </w:r>
      <w:r w:rsidRPr="001A3E6D">
        <w:t xml:space="preserve">, the Committee has not yet attempted to determine whether the standard outlined in </w:t>
      </w:r>
      <w:r w:rsidRPr="00F432EF">
        <w:rPr>
          <w:i/>
        </w:rPr>
        <w:t>Egan</w:t>
      </w:r>
      <w:r w:rsidRPr="001A3E6D">
        <w:t xml:space="preserve"> also governs in Title VII cases. That standard differs from the suggestions offered in prior versions of this Comment; for the moment, those prior suggestions are set out in a footnote.</w:t>
      </w:r>
      <w:r w:rsidR="00710B73">
        <w:rPr>
          <w:rStyle w:val="FootnoteReference"/>
        </w:rPr>
        <w:footnoteReference w:id="4"/>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it is clear that </w:t>
      </w:r>
      <w:r w:rsidRPr="002F29BD">
        <w:t xml:space="preserve">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r w:rsidRPr="002F29BD">
        <w:rPr>
          <w:i/>
        </w:rPr>
        <w:t xml:space="preserve">Makky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5"/>
      </w:r>
      <w:r w:rsidRPr="002F29BD">
        <w:t xml:space="preserve"> </w:t>
      </w:r>
      <w:r w:rsidRPr="002F29BD">
        <w:rPr>
          <w:i/>
        </w:rPr>
        <w:t xml:space="preserve">See also Hanes v. Columbia Gas of Pennsylvania </w:t>
      </w:r>
      <w:r w:rsidRPr="002F29BD">
        <w:rPr>
          <w:i/>
        </w:rPr>
        <w:lastRenderedPageBreak/>
        <w:t xml:space="preserve">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r w:rsidRPr="002F29BD">
        <w:rPr>
          <w:i/>
        </w:rPr>
        <w:t>Starceski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(“[E]ven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Pr="002F29BD"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lastRenderedPageBreak/>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r w:rsidRPr="002F29BD">
        <w:rPr>
          <w:i/>
        </w:rPr>
        <w:t xml:space="preserve">Makky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r w:rsidRPr="002F29BD">
        <w:rPr>
          <w:i/>
        </w:rPr>
        <w:t xml:space="preserve">Makky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sidRPr="002F29BD">
        <w:rPr>
          <w:i/>
        </w:rPr>
        <w:t>Makky</w:t>
      </w:r>
      <w:r w:rsidRPr="002F29BD">
        <w:t xml:space="preserve">. The examples given by the court are in the nature of licenses or certifications by an external body — in the vast majority of cases, the parties will not dispute whether the license or certification was issued. (In </w:t>
      </w:r>
      <w:r w:rsidRPr="002F29BD">
        <w:rPr>
          <w:i/>
        </w:rPr>
        <w:t xml:space="preserve">Makky, </w:t>
      </w:r>
      <w:r w:rsidRPr="002F29BD">
        <w:t xml:space="preserve">the requirement was that the employee have a security clearance, and he could not contest that his clearance was denied.) In the rare case in which the existence of an objective externally-imposed qualification raises a question of fact, </w:t>
      </w:r>
      <w:r w:rsidRPr="002F29BD">
        <w:lastRenderedPageBreak/>
        <w:t>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142F989E" w:rsidR="00A47413" w:rsidRPr="002F29BD" w:rsidRDefault="00A47413" w:rsidP="00F70088">
      <w:pPr>
        <w:widowControl w:val="0"/>
        <w:spacing w:after="240"/>
        <w:jc w:val="both"/>
      </w:pPr>
      <w:r w:rsidRPr="002F29BD">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0A5206DC"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79563B04" w:rsidR="00A47413" w:rsidRPr="002F29BD" w:rsidRDefault="00A47413" w:rsidP="00F70088">
      <w:pPr>
        <w:widowControl w:val="0"/>
        <w:spacing w:after="240"/>
        <w:jc w:val="both"/>
      </w:pPr>
      <w:r w:rsidRPr="002F29BD">
        <w:tab/>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 received in the case in deciding whether [defendant] intentionally discriminated against [plaintiff]].</w:t>
      </w:r>
    </w:p>
    <w:p w14:paraId="462DE61C" w14:textId="6C4872B4" w:rsidR="00A47413" w:rsidRPr="002F29BD" w:rsidRDefault="00A47413" w:rsidP="00F70088">
      <w:pPr>
        <w:widowControl w:val="0"/>
        <w:spacing w:after="240"/>
        <w:jc w:val="both"/>
      </w:pPr>
      <w:r w:rsidRPr="002F29BD">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06AE4EB" w14:textId="3C13EAB7" w:rsidR="00A47413" w:rsidRPr="002F29BD" w:rsidRDefault="00A47413" w:rsidP="00F70088">
      <w:pPr>
        <w:widowControl w:val="0"/>
        <w:spacing w:after="240"/>
        <w:jc w:val="both"/>
      </w:pPr>
      <w:r w:rsidRPr="002F29BD">
        <w:tab/>
        <w:t xml:space="preserve">Ultimately, you must decide whether [plaintiff] has proven that [his/her] [protected status] was a determinative factor in [defendant’s employment decision.] “Determinative factor” means that if not for [plaintiff 's] [protected status], the [adverse employment action] would not have </w:t>
      </w:r>
      <w:r w:rsidRPr="002F29BD">
        <w:lastRenderedPageBreak/>
        <w:t xml:space="preserve">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6"/>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77777777" w:rsidR="00A47413" w:rsidRPr="002F29BD" w:rsidRDefault="00A47413" w:rsidP="00F70088">
      <w:pPr>
        <w:widowControl w:val="0"/>
        <w:spacing w:after="240"/>
        <w:jc w:val="both"/>
      </w:pPr>
      <w:r w:rsidRPr="002F29BD">
        <w:lastRenderedPageBreak/>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1" w:name="citeas((Cite_as:_100_F.3d_1061,_*1067)"/>
      <w:bookmarkStart w:id="2" w:name="citeas__Cite_as__100_F_3d_1061___1067_"/>
      <w:bookmarkEnd w:id="1"/>
      <w:bookmarkEnd w:id="2"/>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r w:rsidR="00682CFD" w:rsidRPr="00682CFD">
        <w:rPr>
          <w:i/>
        </w:rPr>
        <w:t>LeBoon v. Lancaster Jewish Cmty. Ctr. Ass’n</w:t>
      </w:r>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rested with Atkinson to demonstrate that the reasons proffered were pretextual and that gender was a determinative factor in the decisions.”);  </w:t>
      </w:r>
      <w:r w:rsidRPr="002F29BD">
        <w:rPr>
          <w:i/>
        </w:rPr>
        <w:t xml:space="preserve">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lastRenderedPageBreak/>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7"/>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00CDBF8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 (quoting </w:t>
      </w:r>
      <w:r w:rsidRPr="002F29BD">
        <w:rPr>
          <w:i/>
        </w:rPr>
        <w:t>Fuentes</w:t>
      </w:r>
      <w:r w:rsidRPr="002F29BD">
        <w:t>, 32 F.3d at 764).).</w:t>
      </w:r>
    </w:p>
    <w:p w14:paraId="3C9F548E" w14:textId="20D13501"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w:t>
      </w:r>
      <w:r w:rsidR="00A47413" w:rsidRPr="002F29BD">
        <w:lastRenderedPageBreak/>
        <w:t xml:space="preserve">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 xml:space="preserve">2006 WL 680871 at *4 (M.D.Pa.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 xml:space="preserve">207 F.3d 207, 214-15 &amp; n. 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1AAAB4D0" w:rsidR="00A47413" w:rsidRPr="002F29BD" w:rsidRDefault="00A47413" w:rsidP="00F70088">
      <w:pPr>
        <w:widowControl w:val="0"/>
        <w:spacing w:after="240"/>
        <w:jc w:val="both"/>
        <w:rPr>
          <w:i/>
        </w:rPr>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Pr="002F29BD">
        <w:t xml:space="preserve"> that "[b]arring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to certain positions." </w:t>
      </w:r>
      <w:bookmarkStart w:id="3" w:name="SR;16665"/>
      <w:bookmarkStart w:id="4" w:name="SR_16665"/>
      <w:bookmarkEnd w:id="3"/>
      <w:bookmarkEnd w:id="4"/>
      <w:r w:rsidRPr="002F29BD">
        <w:t xml:space="preserve"> The </w:t>
      </w:r>
      <w:r w:rsidRPr="002F29BD">
        <w:rPr>
          <w:i/>
        </w:rPr>
        <w:t>Billet</w:t>
      </w:r>
      <w:r w:rsidRPr="002F29BD">
        <w:t xml:space="preserve"> court noted that "[a] plaintiff has the burden of casting doubt on an </w:t>
      </w:r>
      <w:r w:rsidRPr="002F29BD">
        <w:rPr>
          <w:rStyle w:val="searchterm"/>
        </w:rPr>
        <w:t>employer's</w:t>
      </w:r>
      <w:bookmarkStart w:id="5" w:name="SR;16693"/>
      <w:bookmarkStart w:id="6" w:name="SR_16693"/>
      <w:bookmarkEnd w:id="5"/>
      <w:bookmarkEnd w:id="6"/>
      <w:r w:rsidRPr="002F29BD">
        <w:t xml:space="preserve"> articulated </w:t>
      </w:r>
      <w:r w:rsidRPr="002F29BD">
        <w:rPr>
          <w:rStyle w:val="searchterm"/>
        </w:rPr>
        <w:t>reasons</w:t>
      </w:r>
      <w:bookmarkStart w:id="7" w:name="SR;16695"/>
      <w:bookmarkStart w:id="8" w:name="SR_16695"/>
      <w:bookmarkEnd w:id="7"/>
      <w:bookmarkEnd w:id="8"/>
      <w:r w:rsidRPr="002F29BD">
        <w:t xml:space="preserve"> for an </w:t>
      </w:r>
      <w:r w:rsidRPr="002F29BD">
        <w:rPr>
          <w:rStyle w:val="searchterm"/>
        </w:rPr>
        <w:t>employment decision</w:t>
      </w:r>
      <w:bookmarkStart w:id="9" w:name="SR;16699"/>
      <w:bookmarkStart w:id="10" w:name="SR_16699"/>
      <w:bookmarkEnd w:id="9"/>
      <w:bookmarkEnd w:id="10"/>
      <w:r w:rsidRPr="002F29BD">
        <w:t xml:space="preserve">. Without some evidence to cast this doubt, this Court will </w:t>
      </w:r>
      <w:r w:rsidRPr="002F29BD">
        <w:rPr>
          <w:rStyle w:val="searchterm"/>
        </w:rPr>
        <w:t>not</w:t>
      </w:r>
      <w:bookmarkStart w:id="11" w:name="SR;16711"/>
      <w:bookmarkStart w:id="12" w:name="SR_16711"/>
      <w:bookmarkEnd w:id="11"/>
      <w:bookmarkEnd w:id="12"/>
      <w:r w:rsidRPr="002F29BD">
        <w:t xml:space="preserve"> interfere in an otherwise valid management </w:t>
      </w:r>
      <w:r w:rsidRPr="002F29BD">
        <w:rPr>
          <w:rStyle w:val="searchterm"/>
        </w:rPr>
        <w:t>decision</w:t>
      </w:r>
      <w:bookmarkStart w:id="13" w:name="SR;16718"/>
      <w:bookmarkStart w:id="14" w:name="SR_16718"/>
      <w:bookmarkEnd w:id="13"/>
      <w:bookmarkEnd w:id="14"/>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 n. 6 (1st Cir.1979)</w:t>
      </w:r>
      <w:bookmarkStart w:id="15" w:name="SR;16757"/>
      <w:bookmarkStart w:id="16" w:name="SR_16757"/>
      <w:bookmarkEnd w:id="15"/>
      <w:bookmarkEnd w:id="16"/>
      <w:r w:rsidRPr="002F29BD">
        <w:t xml:space="preserve">, where the court stated that "[w]hile an </w:t>
      </w:r>
      <w:r w:rsidRPr="002F29BD">
        <w:rPr>
          <w:rStyle w:val="searchterm"/>
        </w:rPr>
        <w:t>employer's</w:t>
      </w:r>
      <w:bookmarkStart w:id="17" w:name="SR;16774"/>
      <w:bookmarkStart w:id="18" w:name="SR_16774"/>
      <w:bookmarkEnd w:id="17"/>
      <w:bookmarkEnd w:id="18"/>
      <w:r w:rsidRPr="002F29BD">
        <w:t xml:space="preserve"> judgment or course of </w:t>
      </w:r>
      <w:r w:rsidRPr="002F29BD">
        <w:rPr>
          <w:rStyle w:val="searchterm"/>
        </w:rPr>
        <w:t>action</w:t>
      </w:r>
      <w:bookmarkStart w:id="19" w:name="SR;16779"/>
      <w:bookmarkStart w:id="20" w:name="SR_16779"/>
      <w:bookmarkEnd w:id="19"/>
      <w:bookmarkEnd w:id="20"/>
      <w:r w:rsidRPr="002F29BD">
        <w:t xml:space="preserve"> may seem poor or erroneous to outsiders, the relevant </w:t>
      </w:r>
      <w:r w:rsidRPr="002F29BD">
        <w:rPr>
          <w:rStyle w:val="searchterm"/>
        </w:rPr>
        <w:t>question</w:t>
      </w:r>
      <w:bookmarkStart w:id="21" w:name="SR;16789"/>
      <w:bookmarkStart w:id="22" w:name="SR_16789"/>
      <w:bookmarkEnd w:id="21"/>
      <w:bookmarkEnd w:id="22"/>
      <w:r w:rsidRPr="002F29BD">
        <w:t xml:space="preserve"> is simply whether the given </w:t>
      </w:r>
      <w:r w:rsidRPr="002F29BD">
        <w:rPr>
          <w:rStyle w:val="searchterm"/>
        </w:rPr>
        <w:t>reason</w:t>
      </w:r>
      <w:bookmarkStart w:id="23" w:name="SR;16795"/>
      <w:bookmarkStart w:id="24" w:name="SR_16795"/>
      <w:bookmarkEnd w:id="23"/>
      <w:bookmarkEnd w:id="24"/>
      <w:r w:rsidRPr="002F29BD">
        <w:t xml:space="preserve"> was a </w:t>
      </w:r>
      <w:r w:rsidRPr="002F29BD">
        <w:rPr>
          <w:rStyle w:val="searchterm"/>
        </w:rPr>
        <w:t>pretext</w:t>
      </w:r>
      <w:bookmarkStart w:id="25" w:name="SR;16798"/>
      <w:bookmarkStart w:id="26" w:name="SR_16798"/>
      <w:bookmarkEnd w:id="25"/>
      <w:bookmarkEnd w:id="26"/>
      <w:r w:rsidRPr="002F29BD">
        <w:t xml:space="preserve"> for illegal </w:t>
      </w:r>
      <w:r w:rsidRPr="002F29BD">
        <w:rPr>
          <w:rStyle w:val="searchterm"/>
        </w:rPr>
        <w:t>discrimination</w:t>
      </w:r>
      <w:bookmarkStart w:id="27" w:name="SR;16801"/>
      <w:bookmarkStart w:id="28" w:name="SR_16801"/>
      <w:bookmarkEnd w:id="27"/>
      <w:bookmarkEnd w:id="28"/>
      <w:r w:rsidRPr="002F29BD">
        <w:t>."</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t>
      </w:r>
      <w:r>
        <w:lastRenderedPageBreak/>
        <w:t xml:space="preserve">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r w:rsidRPr="002F29BD">
        <w:rPr>
          <w:i/>
        </w:rPr>
        <w:t>Makky</w:t>
      </w:r>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8"/>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 xml:space="preserve">take tangible employment action against [plaintiff].  [As you will recall, a tangible employment action is defined as a significant change in employment status, such as hiring, firing, failing to promote, reassignment with significantly different </w:t>
      </w:r>
      <w:r w:rsidR="002B6595" w:rsidRPr="002F29BD">
        <w:lastRenderedPageBreak/>
        <w:t>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9"/>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See Burlington Industries, Inc. v. Ellerth</w:t>
      </w:r>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 xml:space="preserve">29 C.F.R. § 1604.11(a)(2).  In a case where the plaintiff rests the quid pro quo </w:t>
      </w:r>
      <w:r w:rsidRPr="002F29BD">
        <w:lastRenderedPageBreak/>
        <w:t>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Burlington Industries, Inc. v. Ellerth</w:t>
      </w:r>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r w:rsidRPr="002F29BD">
        <w:rPr>
          <w:i/>
        </w:rPr>
        <w:t>Ellerth</w:t>
      </w:r>
      <w:r w:rsidRPr="002F29BD">
        <w:t>, 524 U.S. at 765.</w:t>
      </w:r>
    </w:p>
    <w:p w14:paraId="4CF33D3D" w14:textId="42E0ED6A"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Burlington Industries, Inc. v. Ellerth</w:t>
      </w:r>
      <w:r w:rsidRPr="002F29BD">
        <w:t xml:space="preserve">, 524 U.S. 742, 761 (1998).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796 F.3d 323, 328 (3d Cir. 2015) (holding that a paid suspension while an employee was investigated for 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r w:rsidRPr="002F29BD">
        <w:rPr>
          <w:i/>
        </w:rPr>
        <w:t xml:space="preserve">Ellerth / 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lastRenderedPageBreak/>
        <w:t xml:space="preserve">Unfulfilled threats  </w:t>
      </w:r>
    </w:p>
    <w:p w14:paraId="2A812EA5" w14:textId="3652348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r w:rsidRPr="002F29BD">
        <w:rPr>
          <w:i/>
        </w:rPr>
        <w:t>Ellerth</w:t>
      </w:r>
      <w:r w:rsidRPr="002F29BD">
        <w:t xml:space="preserve">, 524 U.S. at 754.  And on the question of employer liability, because such a claim involves no tangible employment action, the </w:t>
      </w:r>
      <w:r w:rsidRPr="002F29BD">
        <w:rPr>
          <w:i/>
        </w:rPr>
        <w:t xml:space="preserve">Ellerth / 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r w:rsidRPr="002F29BD">
        <w:rPr>
          <w:i/>
        </w:rPr>
        <w:t>Ellerth</w:t>
      </w:r>
      <w:r w:rsidRPr="002F29BD">
        <w:t xml:space="preserve"> a plaintiff in such a case would need to meet the hostile environment standard for proving discrimination.  What is less clear is whether the same is true for cases in which the plaintiff submits to the supervisor’s advances.  Neither </w:t>
      </w:r>
      <w:r w:rsidRPr="002F29BD">
        <w:rPr>
          <w:i/>
        </w:rPr>
        <w:t>Ellerth</w:t>
      </w:r>
      <w:r w:rsidRPr="002F29BD">
        <w:t xml:space="preserve"> nor </w:t>
      </w:r>
      <w:r w:rsidRPr="002F29BD">
        <w:rPr>
          <w:i/>
        </w:rPr>
        <w:t>Faragher</w:t>
      </w:r>
      <w:r w:rsidRPr="002F29BD">
        <w:t xml:space="preserve"> was such a case and those cases do not directly illuminate the question. </w:t>
      </w:r>
    </w:p>
    <w:p w14:paraId="4E8BF556" w14:textId="470BD947" w:rsidR="00A47413" w:rsidRPr="002F29BD" w:rsidRDefault="00A47413" w:rsidP="00F70088">
      <w:pPr>
        <w:widowControl w:val="0"/>
        <w:spacing w:after="240"/>
        <w:jc w:val="both"/>
      </w:pPr>
      <w:r w:rsidRPr="002F29BD">
        <w:tab/>
        <w:t xml:space="preserve">Similarly, on the question of employer liability </w:t>
      </w:r>
      <w:r w:rsidRPr="002F29BD">
        <w:rPr>
          <w:i/>
        </w:rPr>
        <w:t>Ellerth</w:t>
      </w:r>
      <w:r w:rsidRPr="002F29BD">
        <w:t xml:space="preserve"> and </w:t>
      </w:r>
      <w:r w:rsidRPr="002F29BD">
        <w:rPr>
          <w:i/>
        </w:rPr>
        <w:t>Faragher</w:t>
      </w:r>
      <w:r w:rsidRPr="002F29BD">
        <w:t xml:space="preserve"> do not directly address whether the </w:t>
      </w:r>
      <w:r w:rsidRPr="002F29BD">
        <w:rPr>
          <w:i/>
        </w:rPr>
        <w:t xml:space="preserve">Ellerth / Faragher </w:t>
      </w:r>
      <w:r w:rsidRPr="002F29BD">
        <w:t xml:space="preserve">affirmative defense would be available in such a case.  The 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w:t>
      </w:r>
      <w:r w:rsidRPr="002F29BD">
        <w:lastRenderedPageBreak/>
        <w:t xml:space="preserve">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r w:rsidRPr="002F29BD">
        <w:rPr>
          <w:i/>
        </w:rPr>
        <w:t>Ellerth</w:t>
      </w:r>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Pr="002F29BD"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r w:rsidRPr="002F29BD">
        <w:rPr>
          <w:i/>
        </w:rPr>
        <w:t>Ellerth</w:t>
      </w:r>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see Ellerth</w:t>
      </w:r>
      <w:r w:rsidRPr="002F29BD">
        <w:t xml:space="preserve">, 524 U.S. at 762 (stressing that tangible employment actions are usually documented, may be subject to review by the employer, and may require the employer’s approval); </w:t>
      </w:r>
      <w:r w:rsidRPr="002F29BD">
        <w:rPr>
          <w:i/>
        </w:rPr>
        <w:t>see also Lutkewitte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r w:rsidRPr="002F29BD">
        <w:rPr>
          <w:i/>
        </w:rPr>
        <w:t>Ellerth</w:t>
      </w:r>
      <w:r w:rsidRPr="002F29BD">
        <w:t xml:space="preserve">, 524 U.S. at 762). </w:t>
      </w:r>
    </w:p>
    <w:p w14:paraId="19D04691" w14:textId="1CFCABCB"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xml:space="preserve">, 310 F.3d at 101 (holding that it was error to “use[] the phrase ‘tangible adverse action’ instead of ‘tangible employment action’” and that such error was “especially significant in the context of this case, where we hold that an employer is liable when a </w:t>
      </w:r>
      <w:r w:rsidRPr="002F29BD">
        <w:lastRenderedPageBreak/>
        <w:t>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416219CE"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lastRenderedPageBreak/>
        <w:t>Comment</w:t>
      </w:r>
      <w:r w:rsidRPr="002F29BD">
        <w:tab/>
      </w:r>
    </w:p>
    <w:p w14:paraId="3F3CA587" w14:textId="77777777" w:rsidR="00A47413" w:rsidRPr="002F29BD"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10"/>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6D76519C"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Burlington Industries, Inc. v. Ellerth</w:t>
      </w:r>
      <w:r w:rsidRPr="002F29BD">
        <w:t xml:space="preserve">, 524 U.S. 742, 761 (1998).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07AD7F18"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xml:space="preserve">, 133 S. Ct. 2434, 2439 (2013).  </w:t>
      </w:r>
      <w:r w:rsidRPr="002F29BD">
        <w:t>Respondeat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11"/>
      </w:r>
      <w:r w:rsidRPr="002F29BD">
        <w:t xml:space="preserve">  </w:t>
      </w:r>
      <w:r w:rsidR="00020512" w:rsidRPr="002F29BD">
        <w:t xml:space="preserve">In a case where a plaintiff </w:t>
      </w:r>
      <w:r w:rsidR="00020512" w:rsidRPr="002F29BD">
        <w:lastRenderedPageBreak/>
        <w:t>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DF51F8A" w14:textId="720397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0FC7B7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In </w:t>
      </w:r>
      <w:r w:rsidRPr="002F29BD">
        <w:rPr>
          <w:i/>
        </w:rPr>
        <w:t>Harris v. Forklift Sys., Inc</w:t>
      </w:r>
      <w:r w:rsidRPr="002F29BD">
        <w:t xml:space="preserve">., 510 U.S. 17 (1993), the Supreme Court clarified the elements of a discrimination claim resulting from a hostile work environment. In order to fall within the purview of Title VII, the conduct in question must be severe and pervasive enough to create an "objectively hostile or abusive work environment--an environment that a reasonable person would find hostile--and an environment the victim-employee subjectively perceives as abusive or hostile." In determining whether an environment is hostile or abusive, we must look at numerous factors, including "the frequency of the discriminatory conduct; its severity; whether it is physically threatening or humiliating, or a mere offensive utterance; whether it unreasonably interferes with an employee's work performance." </w:t>
      </w:r>
    </w:p>
    <w:p w14:paraId="7BDCE57E" w14:textId="18485C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w:t>
      </w:r>
      <w:r w:rsidRPr="002F29BD">
        <w:lastRenderedPageBreak/>
        <w:t xml:space="preserve">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Pr="002F29BD">
        <w:rPr>
          <w:i/>
        </w:rPr>
        <w:t>Jensen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26C9585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12"/>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38B130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Pr="002F29BD">
        <w:tab/>
      </w:r>
      <w:r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w:t>
      </w:r>
      <w:r w:rsidRPr="002F29BD">
        <w:lastRenderedPageBreak/>
        <w:t xml:space="preserve">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260 F.3d 265, 277 n.5 (3d Cir. 2001) (“We have yet to 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25FE0FF7" w14:textId="06CFFF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xml:space="preserve">, 524 U.S. 775, 808 (1998). In </w:t>
      </w:r>
      <w:r w:rsidRPr="002F29BD">
        <w:rPr>
          <w:i/>
        </w:rPr>
        <w:t>Faragher</w:t>
      </w:r>
      <w:r w:rsidRPr="002F29BD">
        <w:t xml:space="preserve"> and in </w:t>
      </w:r>
      <w:r w:rsidRPr="002F29BD">
        <w:rPr>
          <w:i/>
        </w:rPr>
        <w:t>Burlington Industries, Inc. v. Ellerth</w:t>
      </w:r>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r w:rsidRPr="002F29BD">
        <w:rPr>
          <w:i/>
        </w:rPr>
        <w:t xml:space="preserve">Ellerth,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13"/>
      </w:r>
      <w:r w:rsidRPr="002F29BD">
        <w:t xml:space="preserve"> and that (b) the employee </w:t>
      </w:r>
      <w:r w:rsidR="00B04DD4" w:rsidRPr="002F29BD">
        <w:t>“</w:t>
      </w:r>
      <w:r w:rsidRPr="002F29BD">
        <w:t xml:space="preserve">unreasonably </w:t>
      </w:r>
      <w:r w:rsidRPr="002F29BD">
        <w:lastRenderedPageBreak/>
        <w:t>failed to take advantage of any preventive or corrective opportunities provided by the employer or to avoid harm otherwise.</w:t>
      </w:r>
      <w:r w:rsidR="00B04DD4" w:rsidRPr="002F29BD">
        <w:t>”</w:t>
      </w:r>
      <w:r w:rsidR="00FE2ACC">
        <w:rPr>
          <w:rStyle w:val="FootnoteReference"/>
        </w:rPr>
        <w:footnoteReference w:id="14"/>
      </w:r>
      <w:r w:rsidRPr="002F29BD">
        <w:t xml:space="preserve"> </w:t>
      </w:r>
      <w:r w:rsidRPr="002F29BD">
        <w:rPr>
          <w:i/>
        </w:rPr>
        <w:t>Ellerth</w:t>
      </w:r>
      <w:r w:rsidRPr="002F29BD">
        <w:t>, 524 U.S. at 751 (1998).</w:t>
      </w:r>
    </w:p>
    <w:p w14:paraId="1EB74987" w14:textId="5796E53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r w:rsidRPr="002F29BD">
        <w:rPr>
          <w:i/>
        </w:rPr>
        <w:t>Ellerth</w:t>
      </w:r>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xml:space="preserve">, 133 S. Ct. 2434, 2439 (2013). </w:t>
      </w:r>
      <w:r w:rsidR="00AD33DD" w:rsidRPr="002F29BD">
        <w:t xml:space="preserve"> </w:t>
      </w:r>
      <w:r w:rsidRPr="002F29BD">
        <w:t xml:space="preserve">Respondeat superior liability for the acts of non-supervisory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15"/>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w:t>
      </w:r>
      <w:r w:rsidRPr="002F29BD">
        <w:lastRenderedPageBreak/>
        <w:t>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3B9D076E" w14:textId="592C78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1232EB25" w14:textId="65DA6E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2" w:name="FN;F0033"/>
      <w:bookmarkStart w:id="33" w:name="HN;F5"/>
      <w:bookmarkStart w:id="34" w:name="HN;F6"/>
      <w:bookmarkEnd w:id="32"/>
      <w:bookmarkEnd w:id="33"/>
      <w:bookmarkEnd w:id="34"/>
      <w:r w:rsidRPr="002F29BD">
        <w:tab/>
        <w:t xml:space="preserve">In </w:t>
      </w:r>
      <w:r w:rsidRPr="002F29BD">
        <w:rPr>
          <w:i/>
        </w:rPr>
        <w:t>Harris v. Forklift Sys., Inc</w:t>
      </w:r>
      <w:r w:rsidRPr="002F29BD">
        <w:t>., 510 U.S. 17 (1993), the Supreme Court clarified the elements of a discrimination claim resulting from a hostile work environment. In order to fall within the purview of Title VII, the conduct in question must be severe and</w:t>
      </w:r>
      <w:r w:rsidR="00ED0F3B" w:rsidRPr="002F29BD">
        <w:t xml:space="preserve"> pervasive enough to create an “</w:t>
      </w:r>
      <w:r w:rsidRPr="002F29BD">
        <w:t>objectively hostile or abusive work environment</w:t>
      </w:r>
      <w:r w:rsidR="00ED0F3B" w:rsidRPr="002F29BD">
        <w:t xml:space="preserve"> – </w:t>
      </w:r>
      <w:r w:rsidRPr="002F29BD">
        <w:t>an environment that a reason</w:t>
      </w:r>
      <w:r w:rsidR="00ED0F3B" w:rsidRPr="002F29BD">
        <w:t xml:space="preserve">able person would find hostile – </w:t>
      </w:r>
      <w:r w:rsidRPr="002F29BD">
        <w:t>and an environment the victim-employee subjectively perceives as abusive or hostile.</w:t>
      </w:r>
      <w:r w:rsidR="00ED0F3B" w:rsidRPr="002F29BD">
        <w:t>”</w:t>
      </w:r>
      <w:r w:rsidRPr="002F29BD">
        <w:t xml:space="preserve"> In determining whether an environment is hostile or abusive, we must look at numerous factors, including </w:t>
      </w:r>
      <w:r w:rsidR="00ED0F3B" w:rsidRPr="002F29BD">
        <w:t>“</w:t>
      </w:r>
      <w:r w:rsidRPr="002F29BD">
        <w:t xml:space="preserve">the frequency of the discriminatory conduct; its severity; whether it is physically threatening or humiliating, or a mere offensive utterance; whether it unreasonably interferes with </w:t>
      </w:r>
      <w:r w:rsidR="00ED0F3B" w:rsidRPr="002F29BD">
        <w:t>an employee's work performance.”</w:t>
      </w:r>
      <w:r w:rsidRPr="002F29BD">
        <w:t xml:space="preserve">  The Supreme Court recently reaffirmed </w:t>
      </w:r>
      <w:r w:rsidRPr="002F29BD">
        <w:rPr>
          <w:i/>
        </w:rPr>
        <w:t>Harris</w:t>
      </w:r>
      <w:r w:rsidR="00ED0F3B" w:rsidRPr="002F29BD">
        <w:t>’</w:t>
      </w:r>
      <w:r w:rsidRPr="002F29BD">
        <w:rPr>
          <w:i/>
        </w:rPr>
        <w:t xml:space="preserve"> </w:t>
      </w:r>
      <w:r w:rsidR="00ED0F3B" w:rsidRPr="002F29BD">
        <w:t>“</w:t>
      </w:r>
      <w:r w:rsidRPr="002F29BD">
        <w:t xml:space="preserve">severe </w:t>
      </w:r>
      <w:bookmarkStart w:id="35" w:name="SDU_29"/>
      <w:bookmarkEnd w:id="35"/>
      <w:r w:rsidRPr="002F29BD">
        <w:t>and pervasive</w:t>
      </w:r>
      <w:r w:rsidR="00ED0F3B" w:rsidRPr="002F29BD">
        <w:t>”</w:t>
      </w:r>
      <w:r w:rsidRPr="002F29BD">
        <w:t xml:space="preserve"> test in </w:t>
      </w:r>
      <w:r w:rsidRPr="002F29BD">
        <w:rPr>
          <w:i/>
        </w:rPr>
        <w:t xml:space="preserve">Faragher v. City of Boca Raton, </w:t>
      </w:r>
      <w:r w:rsidRPr="002F29BD">
        <w:t>524 U.S. 775, 783 (1998), and</w:t>
      </w:r>
      <w:r w:rsidRPr="002F29BD">
        <w:rPr>
          <w:i/>
        </w:rPr>
        <w:t xml:space="preserve"> Burlington Indus., Inc. v. Ellerth</w:t>
      </w:r>
      <w:r w:rsidRPr="002F29BD">
        <w:t>, 524 U.S. 742, 753 (1998).</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295C38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lastRenderedPageBreak/>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r w:rsidRPr="002F29BD">
        <w:rPr>
          <w:i/>
        </w:rPr>
        <w:t xml:space="preserve">Ellerth </w:t>
      </w:r>
      <w:r w:rsidRPr="002F29BD">
        <w:t xml:space="preserve">and </w:t>
      </w:r>
      <w:r w:rsidRPr="002F29BD">
        <w:rPr>
          <w:i/>
        </w:rPr>
        <w:t>Faragher</w:t>
      </w:r>
      <w:r w:rsidRPr="002F29BD">
        <w:t xml:space="preserve">. The Court concluded that “an employer does not have recourse to the </w:t>
      </w:r>
      <w:r w:rsidRPr="002F29BD">
        <w:rPr>
          <w:i/>
        </w:rPr>
        <w:t xml:space="preserve">Ellerth/Faragher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Ellerth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sidRPr="002F29BD">
        <w:rPr>
          <w:i/>
        </w:rPr>
        <w:t>Ellerth</w:t>
      </w:r>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to suspect that a resignation is not the typical kind daily occurring in the work force. And as </w:t>
      </w:r>
      <w:r w:rsidRPr="002F29BD">
        <w:rPr>
          <w:i/>
        </w:rPr>
        <w:t>Ellerth</w:t>
      </w:r>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r w:rsidRPr="002F29BD">
        <w:rPr>
          <w:i/>
        </w:rPr>
        <w:t>Ellerth</w:t>
      </w:r>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r w:rsidRPr="002F29BD">
        <w:rPr>
          <w:i/>
        </w:rPr>
        <w:t xml:space="preserve">Ellerth/Faragher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r w:rsidRPr="002F29BD">
        <w:rPr>
          <w:i/>
        </w:rPr>
        <w:t>Ellerth</w:t>
      </w:r>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lastRenderedPageBreak/>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24347F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U.S.C.A.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62D83B69"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U.S.C.A.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F.Supp.2d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w:t>
      </w:r>
      <w:r w:rsidR="00A47413" w:rsidRPr="002F29BD">
        <w:lastRenderedPageBreak/>
        <w:t>impact theory, and not under a theory of intentional discrimination, if successful on her Title VII claim she would be entitled only to equitable relief. 42 U.S.C. §1981a(a)(1).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9"/>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16"/>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17"/>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t>
      </w:r>
      <w:r w:rsidRPr="002F29BD">
        <w:lastRenderedPageBreak/>
        <w:t xml:space="preserve">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72B1025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Title VII protects employees and former employees who attempt to exercise the rights guaranteed by the Act against retaliation by employers. 42 U.S.C.A.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18"/>
      </w:r>
      <w:r w:rsidRPr="002F29BD">
        <w:t xml:space="preserve"> 2) making a charge of employment discrimination;</w:t>
      </w:r>
      <w:r w:rsidR="00A4472F">
        <w:rPr>
          <w:rStyle w:val="FootnoteReference"/>
        </w:rPr>
        <w:footnoteReference w:id="19"/>
      </w:r>
      <w:r w:rsidRPr="002F29BD">
        <w:t xml:space="preserve"> 3) 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20"/>
      </w:r>
      <w:r w:rsidRPr="0091367D">
        <w:t xml:space="preserve"> In </w:t>
      </w:r>
      <w:r w:rsidRPr="0091367D">
        <w:rPr>
          <w:i/>
        </w:rPr>
        <w:t>Crawford v. Metropolitan Gov’t of Nashville and Davidson Cty., Tennessee</w:t>
      </w:r>
      <w:r w:rsidRPr="0091367D">
        <w:t xml:space="preserve">, 555 U.S. 271, 277 (2009), the Court held that the antiretaliation </w:t>
      </w:r>
      <w:r w:rsidRPr="0091367D">
        <w:lastRenderedPageBreak/>
        <w:t xml:space="preserve">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p>
    <w:p w14:paraId="5B3968A0" w14:textId="2CBBCE2C"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xml:space="preserve">, but only that ‘he was acting under a good faith, reasonable belief that a violation existed.’”  </w:t>
      </w:r>
      <w:r w:rsidRPr="002F29BD">
        <w:rPr>
          <w:i/>
          <w:iCs/>
        </w:rPr>
        <w:t xml:space="preserve">Aman v. </w:t>
      </w:r>
      <w:r w:rsidR="00A47413" w:rsidRPr="002F29BD">
        <w:rPr>
          <w:i/>
        </w:rPr>
        <w:t>Cort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 xml:space="preserve">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 the Court of Appeals in </w:t>
      </w:r>
      <w:r w:rsidR="00FA06CA" w:rsidRPr="00020B81">
        <w:rPr>
          <w:i/>
        </w:rPr>
        <w:t>Slagle v. County of Clarion</w:t>
      </w:r>
      <w:r w:rsidR="00FA06CA" w:rsidRPr="00FA06CA">
        <w:t xml:space="preserve">, 435 F.3d 262 (3d Cir. 2006), stated that for filing a charge to constitute protected activity, “[a]ll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w:t>
      </w:r>
      <w:r w:rsidRPr="002F29BD">
        <w:lastRenderedPageBreak/>
        <w:t xml:space="preserve">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527904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21"/>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v.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7234C9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w:t>
      </w:r>
      <w:r w:rsidRPr="002F29BD">
        <w:lastRenderedPageBreak/>
        <w:t xml:space="preserve">effort to determine a plaintiff's unusual subjective feelings. We have emphasized the need for objective standards in other Title VII contexts, and those same concerns animate our decision here. See, </w:t>
      </w:r>
      <w:r w:rsidRPr="002F29BD">
        <w:rPr>
          <w:i/>
        </w:rPr>
        <w:t>e.g.</w:t>
      </w:r>
      <w:r w:rsidRPr="002F29BD">
        <w:t xml:space="preserve">, [Pennsylvania State Police v. ] </w:t>
      </w:r>
      <w:r w:rsidRPr="002F29BD">
        <w:rPr>
          <w:i/>
        </w:rPr>
        <w:t>Suders,</w:t>
      </w:r>
      <w:r w:rsidRPr="002F29BD">
        <w:t xml:space="preserve"> 542 U.S., at 141, 124 S. Ct. 2342, 159 L. Ed. 2d 204 (constructive discharge doctrine); </w:t>
      </w:r>
      <w:r w:rsidRPr="002F29BD">
        <w:rPr>
          <w:i/>
        </w:rPr>
        <w:t>Harris</w:t>
      </w:r>
      <w:r w:rsidRPr="002F29BD">
        <w:t xml:space="preserve"> v.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099FFA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Id. at 352 (aggressive enforcement of sick-check policy “well might have dissuaded a reasonable worker from making or supporting a charge of discrimination.”).</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pari materia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v.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w:t>
      </w:r>
      <w:r w:rsidRPr="002F29BD">
        <w:lastRenderedPageBreak/>
        <w:t xml:space="preserve">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2F29BD">
        <w:t xml:space="preserve">v.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2F29BD">
        <w:t xml:space="preserve">v.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v.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Title VII. For example, a white employee who complains about discrimination 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w:t>
      </w:r>
      <w:r w:rsidRPr="002F29BD">
        <w:lastRenderedPageBreak/>
        <w:t xml:space="preserve">(“Title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Title VII, the third-party victim of the retaliation must show that he or she “falls within the zone of interests protected by Title VII.”  </w:t>
      </w:r>
      <w:r w:rsidRPr="002F29BD">
        <w:rPr>
          <w:i/>
        </w:rPr>
        <w:t>Id.</w:t>
      </w:r>
      <w:r w:rsidRPr="002F29BD">
        <w:t xml:space="preserve"> at 870.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that.a plaintiff may rely on a "broad array of evidence" to demonstrate a causal link between his protected activity and the adverse action taken against him. </w:t>
      </w:r>
      <w:r w:rsidRPr="002F29BD">
        <w:rPr>
          <w:i/>
        </w:rPr>
        <w:t>Farrell</w:t>
      </w:r>
      <w:r w:rsidRPr="002F29BD">
        <w:t xml:space="preserve"> [v. Planters Lifesavers Co., 206 F.3d 271, 284 (3d Cir. 2000)]. In certain narrow circumstances, an "unusually suggestive" proximity in time between the </w:t>
      </w:r>
      <w:r w:rsidRPr="002F29BD">
        <w:lastRenderedPageBreak/>
        <w:t xml:space="preserve">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[v. Scott Paper Co.,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time period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7B151BC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r w:rsidR="00682CFD" w:rsidRPr="00682CFD">
        <w:rPr>
          <w:i/>
        </w:rPr>
        <w:t>LeBoon v. Lancaster Jewish Cmty. Ctr. Ass’n</w:t>
      </w:r>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w:t>
      </w:r>
      <w:r w:rsidRPr="002F29BD">
        <w:lastRenderedPageBreak/>
        <w:t>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22"/>
      </w:r>
      <w:r w:rsidRPr="002F29BD">
        <w:t xml:space="preserve"> If the court 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 xml:space="preserve">s] business judgment. You cannot find retaliation </w:t>
      </w:r>
      <w:r w:rsidRPr="002F29BD">
        <w:lastRenderedPageBreak/>
        <w:t>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7E6C49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xml:space="preserve">,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23"/>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For the fairly unusual case in which the employer is alleged to have retaliated for perceived rather than actual protected activity, </w:t>
      </w:r>
      <w:r w:rsidRPr="002F29BD">
        <w:lastRenderedPageBreak/>
        <w:t xml:space="preserve">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8FD07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xml:space="preserve">, 133 S.Ct.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w:t>
      </w:r>
      <w:r w:rsidRPr="002F29BD">
        <w:lastRenderedPageBreak/>
        <w:t>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672977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Bonenberger v. Plymouth Twp</w:t>
      </w:r>
      <w:r w:rsidRPr="002F29BD">
        <w:t xml:space="preserve">., 132 F.3d 20, 25 (3d Cir. 1997), the Third Circuit set forth the following requirements for proving a hostile work environment claim in a sex discrimination case under Title VII: </w:t>
      </w:r>
    </w:p>
    <w:p w14:paraId="3CCA41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the employee suffered intentional discrimination because of [his or her] sex; (2) the discrimination was pervasive and regular; (3) the discrimination detrimentally affected the plaintiff; (4) the discrimination would detrimentally affect a reasonable person of the same sex in that position; and (5) the existence of respondeat superior liability.</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435 F.3d 444, 449 (3d Cir. 2006) (“Many may suffer severe harassment at work, but if the reason for that harassment is one that is not prescribed by Title VII, it follows that Title VII provides no relief.”)</w:t>
      </w:r>
    </w:p>
    <w:p w14:paraId="0E07E336" w14:textId="56EF5A6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w:t>
      </w:r>
      <w:r w:rsidRPr="002F29BD">
        <w:lastRenderedPageBreak/>
        <w:t xml:space="preserve">discriminatory changes of the terms </w:t>
      </w:r>
      <w:r w:rsidR="000124F6" w:rsidRPr="002F29BD">
        <w:t>and conditions of employment.”</w:t>
      </w:r>
    </w:p>
    <w:p w14:paraId="30124B7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5F2341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either Instruction 5.1.3 (with respect to the instruction’s fourth element) or Instruction 5.1.4 (with respect to the instruction’s sixth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2F29BD">
        <w:rPr>
          <w:i/>
        </w:rPr>
        <w:t xml:space="preserve">Ellerth / 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r w:rsidRPr="002F29BD">
        <w:rPr>
          <w:i/>
        </w:rPr>
        <w:t xml:space="preserve">Ellerth/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101501FA"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r w:rsidRPr="002F29BD">
        <w:tab/>
        <w:t xml:space="preserve">In </w:t>
      </w:r>
      <w:r w:rsidRPr="002F29BD">
        <w:rPr>
          <w:i/>
        </w:rPr>
        <w:t>Suders</w:t>
      </w:r>
      <w:r w:rsidRPr="002F29BD">
        <w:t xml:space="preserve">, the Court explained that “[u]nder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AD33DD" w:rsidRPr="002F29BD">
        <w:t>.</w:t>
      </w:r>
      <w:r w:rsidR="006C5A20">
        <w:t xml:space="preserve"> </w:t>
      </w:r>
      <w:r w:rsidR="006C5A20" w:rsidRPr="006C5A20">
        <w:t xml:space="preserve">Though the Instruction does not set out resignation as a stand-alone element, the claim requires that the plaintiff actually did resign.  </w:t>
      </w:r>
      <w:r w:rsidR="006C5A20" w:rsidRPr="009116F6">
        <w:rPr>
          <w:i/>
        </w:rPr>
        <w:t>See Green v. Brennan</w:t>
      </w:r>
      <w:r w:rsidR="006C5A20" w:rsidRPr="006C5A20">
        <w:t xml:space="preserve">, 136 S. Ct. 1769, 1777 (2016) (“A claim of constructive discharge … has two basic elements. A plaintiff must prove first that he was discriminated against by his employer to </w:t>
      </w:r>
      <w:r w:rsidR="006C5A20" w:rsidRPr="006C5A20">
        <w:lastRenderedPageBreak/>
        <w:t>the point where a reasonable person in his position would have felt compelled to resign…. But he must also show that he actually resigned.”).</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23FE30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U.S.C.A.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w:t>
      </w:r>
      <w:r w:rsidRPr="002F29BD">
        <w:lastRenderedPageBreak/>
        <w:t xml:space="preserve">BFOQ where employer adopted policy barring all women, except those whose infertility was medically documented, from jobs involving actual or potential lead exposure exceeding OSHA standards); </w:t>
      </w:r>
      <w:r w:rsidRPr="002F29BD">
        <w:rPr>
          <w:i/>
        </w:rPr>
        <w:t>Dothard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074273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U.S.C.A. § 2000e-2(e)(1). There is no BFOQ defense in racial discrimination cases. 42 U.S.C.A.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6" w:name="SR;4173"/>
      <w:bookmarkStart w:id="37" w:name="SR_4173"/>
      <w:bookmarkEnd w:id="36"/>
      <w:bookmarkEnd w:id="37"/>
      <w:r w:rsidRPr="002F29BD">
        <w:t xml:space="preserve">, overt gender-based discrimination can be countenanced if sex "is a </w:t>
      </w:r>
      <w:r w:rsidRPr="002F29BD">
        <w:rPr>
          <w:rStyle w:val="searchterm"/>
        </w:rPr>
        <w:t>bona fide occupational qualification</w:t>
      </w:r>
      <w:bookmarkStart w:id="38" w:name="SR;4188"/>
      <w:bookmarkStart w:id="39" w:name="SR_4188"/>
      <w:bookmarkEnd w:id="38"/>
      <w:bookmarkEnd w:id="39"/>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40" w:name="SR;4211"/>
      <w:bookmarkStart w:id="41" w:name="SR_4211"/>
      <w:bookmarkEnd w:id="40"/>
      <w:bookmarkEnd w:id="41"/>
      <w:r w:rsidRPr="002F29BD">
        <w:t xml:space="preserve">. The Supreme Court has interpreted this provision to mean that discrimination is permissible only if those aspects of a job that allegedly require discrimination fall within the " 'essence' of the particular </w:t>
      </w:r>
      <w:bookmarkStart w:id="42" w:name="SDU_31"/>
      <w:bookmarkEnd w:id="42"/>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43" w:name="HN;F13"/>
      <w:bookmarkStart w:id="44" w:name="HN_F13"/>
      <w:bookmarkEnd w:id="43"/>
      <w:bookmarkEnd w:id="44"/>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5" w:name="SDU_32"/>
      <w:bookmarkEnd w:id="45"/>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28672AF1"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See also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6" w:name="SDU_77"/>
      <w:bookmarkEnd w:id="46"/>
      <w:r w:rsidRPr="002F29BD">
        <w:rPr>
          <w:rStyle w:val="bestsection"/>
        </w:rPr>
        <w:t xml:space="preserve">job </w:t>
      </w:r>
      <w:r w:rsidRPr="002F29BD">
        <w:rPr>
          <w:rStyle w:val="searchterm"/>
        </w:rPr>
        <w:lastRenderedPageBreak/>
        <w:t>qualifications</w:t>
      </w:r>
      <w:bookmarkStart w:id="47" w:name="SR;16176"/>
      <w:bookmarkStart w:id="48" w:name="SR_16176"/>
      <w:bookmarkEnd w:id="47"/>
      <w:bookmarkEnd w:id="48"/>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24"/>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5AC3333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Title VII   distinguishes between disparate treatment and disparate impact discrimination and allows recovery of compensatory damages only to those who suffered intentional discrimination. 42 U.S.C.A.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The Civil Rights Act of 1991 (42 U.S.C. § 1981a) provides for compensatory damages and 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Pr="002F29BD">
        <w:rPr>
          <w:vertAlign w:val="superscript"/>
        </w:rPr>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w:t>
      </w:r>
      <w:r w:rsidRPr="002F29BD">
        <w:lastRenderedPageBreak/>
        <w:t>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w:t>
      </w:r>
      <w:r w:rsidRPr="002F29BD">
        <w:lastRenderedPageBreak/>
        <w:t>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24F928F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266D85C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w:t>
      </w:r>
      <w:r w:rsidRPr="002F29BD">
        <w:lastRenderedPageBreak/>
        <w:t xml:space="preserve">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See 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See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w:t>
      </w:r>
      <w:r w:rsidRPr="002F29BD">
        <w:lastRenderedPageBreak/>
        <w:t>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w:t>
      </w:r>
      <w:r w:rsidRPr="002F29BD">
        <w:rPr>
          <w:b/>
          <w:i/>
        </w:rPr>
        <w:lastRenderedPageBreak/>
        <w:t xml:space="preserve">charge filing period based on an act more than two years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See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7305BE" w:rsidRPr="002F29BD">
        <w:t xml:space="preserve"> </w:t>
      </w:r>
      <w:r w:rsidRPr="002F29BD">
        <w:t>Civ.</w:t>
      </w:r>
      <w:r w:rsidR="007305BE" w:rsidRPr="002F29BD">
        <w:t xml:space="preserve"> </w:t>
      </w:r>
      <w:r w:rsidRPr="002F29BD">
        <w:t xml:space="preserve">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w:t>
      </w:r>
      <w:r w:rsidRPr="002F29BD">
        <w:lastRenderedPageBreak/>
        <w:t>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w:t>
      </w:r>
      <w:r w:rsidRPr="002F29BD">
        <w:lastRenderedPageBreak/>
        <w:t>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25"/>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26"/>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9" w:name="SDU_19"/>
      <w:bookmarkEnd w:id="49"/>
      <w:r w:rsidRPr="002F29BD">
        <w:rPr>
          <w:rStyle w:val="bestsection"/>
        </w:rPr>
        <w:t xml:space="preserve">deducted from a </w:t>
      </w:r>
      <w:r w:rsidRPr="002F29BD">
        <w:rPr>
          <w:rStyle w:val="searchterm"/>
        </w:rPr>
        <w:t>Title VII back pay</w:t>
      </w:r>
      <w:bookmarkStart w:id="50" w:name="SR;3861"/>
      <w:bookmarkStart w:id="51" w:name="SR_3861"/>
      <w:bookmarkEnd w:id="50"/>
      <w:bookmarkEnd w:id="51"/>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The reasonableness of a Title VII claimant's diligence should be evaluated in light of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 xml:space="preserve">paying job did not constitute a failure to mitigate because additional cost of commuting would </w:t>
      </w:r>
      <w:r w:rsidRPr="002F29BD">
        <w:lastRenderedPageBreak/>
        <w:t>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[Add the following instruction if defendant claims </w:t>
      </w:r>
      <w:r w:rsidRPr="002F29BD">
        <w:rPr>
          <w:rStyle w:val="WPHyperlink"/>
          <w:b/>
          <w:color w:val="auto"/>
          <w:u w:val="none"/>
        </w:rPr>
        <w:t>“</w:t>
      </w:r>
      <w:r w:rsidRPr="002F29BD">
        <w:t>after-acquired evidence</w:t>
      </w:r>
      <w:r w:rsidRPr="002F29BD">
        <w:rPr>
          <w:rStyle w:val="WPHyperlink"/>
          <w:b/>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1B29359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See Pollard v. E. I. du Pont de Nemours &amp; Co., 532 U.S. 843 (2001) (holding that front pay under Title VII is not an </w:t>
      </w:r>
      <w:r w:rsidRPr="002F29BD">
        <w:lastRenderedPageBreak/>
        <w:t xml:space="preserve">element of compensatory damages). In Pollard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See also Donlin v. Philips Lighting North America Corp.,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especially given the fact that in most cases the plaintiff will be seeking compensatory damages and the jury will be sitting anyway. See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Front pay is considered a remedy that substitutes for reinstatement, and is awarded when reinstatement is not viable under the circumstances. See Berndt v. Kaiser Aluminum &amp; Chemical Sales, Inc.,</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52" w:name="SR;6439"/>
      <w:bookmarkStart w:id="53" w:name="SR_6439"/>
      <w:bookmarkEnd w:id="52"/>
      <w:bookmarkEnd w:id="53"/>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1703F5C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r w:rsidRPr="002F29BD">
        <w:rPr>
          <w:i/>
        </w:rPr>
        <w:t>Kaczkowski v. Bolubasz</w:t>
      </w:r>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8"/>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Id.</w:t>
      </w:r>
      <w:r w:rsidRPr="002F29BD">
        <w:rPr>
          <w:i/>
        </w:rPr>
        <w:t xml:space="preserve"> </w:t>
      </w:r>
      <w:r w:rsidRPr="002F29BD">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63F1FF08" w14:textId="77777777"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See </w:t>
      </w:r>
      <w:r w:rsidRPr="002F29BD">
        <w:rPr>
          <w:i/>
        </w:rPr>
        <w:t>Mayberry v. Robinson,</w:t>
      </w:r>
      <w:r w:rsidRPr="002F29BD">
        <w:t xml:space="preserve"> 427 F.Supp. 297, 314 (M.D.Pa.1977)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4" w:name="SR;10437"/>
      <w:bookmarkStart w:id="55" w:name="SR_10437"/>
      <w:bookmarkEnd w:id="54"/>
      <w:bookmarkEnd w:id="55"/>
      <w:r w:rsidRPr="002F29BD">
        <w:t>).</w:t>
      </w:r>
    </w:p>
    <w:sectPr w:rsidR="00A47413" w:rsidRPr="003313BC" w:rsidSect="00F30832">
      <w:headerReference w:type="default" r:id="rId29"/>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39F1" w14:textId="77777777" w:rsidR="00DA1AA9" w:rsidRDefault="00DA1AA9">
      <w:r>
        <w:separator/>
      </w:r>
    </w:p>
  </w:endnote>
  <w:endnote w:type="continuationSeparator" w:id="0">
    <w:p w14:paraId="5E5E0DD2" w14:textId="77777777" w:rsidR="00DA1AA9" w:rsidRDefault="00D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3DB3"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F6F8" w14:textId="77777777" w:rsidR="001F4AFB" w:rsidRDefault="001F4AFB">
    <w:pPr>
      <w:pStyle w:val="Footer"/>
      <w:jc w:val="center"/>
    </w:pPr>
  </w:p>
  <w:p w14:paraId="4BCD4800" w14:textId="2046D395" w:rsidR="00D7279B" w:rsidRDefault="00DA1AA9">
    <w:pPr>
      <w:pStyle w:val="Footer"/>
      <w:jc w:val="center"/>
    </w:pPr>
    <w:sdt>
      <w:sdtPr>
        <w:id w:val="258566352"/>
        <w:docPartObj>
          <w:docPartGallery w:val="Page Numbers (Bottom of Page)"/>
          <w:docPartUnique/>
        </w:docPartObj>
      </w:sdtPr>
      <w:sdtEndPr>
        <w:rPr>
          <w:noProof/>
        </w:rPr>
      </w:sdtEndPr>
      <w:sdtContent>
        <w:r w:rsidR="00D7279B">
          <w:fldChar w:fldCharType="begin"/>
        </w:r>
        <w:r w:rsidR="00D7279B">
          <w:instrText xml:space="preserve"> PAGE   \* MERGEFORMAT </w:instrText>
        </w:r>
        <w:r w:rsidR="00D7279B">
          <w:fldChar w:fldCharType="separate"/>
        </w:r>
        <w:r w:rsidR="003B43A1">
          <w:rPr>
            <w:noProof/>
          </w:rPr>
          <w:t>14</w:t>
        </w:r>
        <w:r w:rsidR="00D7279B">
          <w:rPr>
            <w:noProof/>
          </w:rPr>
          <w:fldChar w:fldCharType="end"/>
        </w:r>
      </w:sdtContent>
    </w:sdt>
  </w:p>
  <w:p w14:paraId="0289BB40" w14:textId="43EF3B93" w:rsidR="003313BC" w:rsidRDefault="003313BC" w:rsidP="00581ED0">
    <w:pPr>
      <w:pStyle w:val="Footer"/>
      <w:jc w:val="right"/>
    </w:pPr>
  </w:p>
  <w:p w14:paraId="3A8A3456" w14:textId="23E64099" w:rsidR="00D7279B" w:rsidRPr="007771D9" w:rsidRDefault="00D7279B" w:rsidP="00D7279B">
    <w:pPr>
      <w:pStyle w:val="Footer"/>
      <w:jc w:val="right"/>
    </w:pPr>
    <w:r w:rsidRPr="00E13FD6">
      <w:rPr>
        <w:rFonts w:ascii="Century Schoolbook" w:hAnsi="Century Schoolbook"/>
        <w:i/>
        <w:iCs/>
      </w:rPr>
      <w:t xml:space="preserve">Last updated </w:t>
    </w:r>
    <w:r>
      <w:rPr>
        <w:rFonts w:ascii="Century Schoolbook" w:hAnsi="Century Schoolbook"/>
        <w:i/>
        <w:iCs/>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8BBD" w14:textId="77777777" w:rsidR="003B43A1" w:rsidRDefault="003B4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6CA83" w14:textId="77777777" w:rsidR="00DA1AA9" w:rsidRDefault="00DA1AA9">
      <w:r>
        <w:separator/>
      </w:r>
    </w:p>
  </w:footnote>
  <w:footnote w:type="continuationSeparator" w:id="0">
    <w:p w14:paraId="6F7E2CD1" w14:textId="77777777" w:rsidR="00DA1AA9" w:rsidRDefault="00DA1AA9">
      <w:r>
        <w:continuationSeparator/>
      </w:r>
    </w:p>
  </w:footnote>
  <w:footnote w:id="1">
    <w:p w14:paraId="3E7615EB" w14:textId="0DCCC4E8" w:rsidR="00041A57" w:rsidRDefault="00041A57">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2">
    <w:p w14:paraId="55D1CF5D" w14:textId="5999C2D9"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0020129A" w:rsidRPr="0020129A">
        <w:t>622 F.3d 266</w:t>
      </w:r>
      <w:r w:rsidR="0020129A">
        <w:t>, 273</w:t>
      </w:r>
      <w:r>
        <w:t xml:space="preserve"> (3d Cir. 2010) (holding that Section 2000e-5(e)(3)(A) “does not apply to failure-to-promote claims”).</w:t>
      </w:r>
    </w:p>
  </w:footnote>
  <w:footnote w:id="3">
    <w:p w14:paraId="289C2468" w14:textId="77777777" w:rsidR="003313BC" w:rsidRDefault="003313BC"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4">
    <w:p w14:paraId="04773B90" w14:textId="603108AB" w:rsidR="00710B73" w:rsidRDefault="00710B73">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710B73" w:rsidRDefault="00710B73">
      <w:pPr>
        <w:pStyle w:val="FootnoteText"/>
      </w:pPr>
    </w:p>
    <w:p w14:paraId="68BB0D23" w14:textId="6FBD7E29" w:rsidR="00710B73" w:rsidRDefault="00783C5D">
      <w:pPr>
        <w:pStyle w:val="FootnoteText"/>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(M.D.Pa.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decisionmaking process that may be viewed as directly reflecting the alleged discriminatory attitude.”) (internal citations and quotations omitted).</w:t>
      </w:r>
    </w:p>
    <w:p w14:paraId="3773A499" w14:textId="77777777" w:rsidR="00783C5D" w:rsidRDefault="00783C5D">
      <w:pPr>
        <w:pStyle w:val="FootnoteText"/>
      </w:pPr>
    </w:p>
    <w:p w14:paraId="59125B25" w14:textId="77777777" w:rsidR="001100B4" w:rsidRPr="002F29BD" w:rsidRDefault="001100B4"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1100B4" w:rsidRPr="002F29BD" w:rsidRDefault="001100B4"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1100B4" w:rsidRPr="002F29BD" w:rsidRDefault="001100B4"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783C5D" w:rsidRDefault="001100B4" w:rsidP="001100B4">
      <w:pPr>
        <w:pStyle w:val="FootnoteText"/>
        <w:ind w:left="720"/>
      </w:pPr>
      <w:r w:rsidRPr="002F29BD">
        <w:t>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1100B4" w:rsidRDefault="001100B4" w:rsidP="001100B4">
      <w:pPr>
        <w:pStyle w:val="FootnoteText"/>
      </w:pPr>
    </w:p>
  </w:footnote>
  <w:footnote w:id="5">
    <w:p w14:paraId="6205CCF7" w14:textId="402B7F24" w:rsidR="00B0609C" w:rsidRDefault="00B0609C">
      <w:pPr>
        <w:pStyle w:val="FootnoteText"/>
      </w:pPr>
      <w:r>
        <w:rPr>
          <w:rStyle w:val="FootnoteReference"/>
        </w:rPr>
        <w:footnoteRef/>
      </w:r>
      <w:r>
        <w:t xml:space="preserve"> </w:t>
      </w:r>
      <w:r w:rsidRPr="00B0609C">
        <w:t xml:space="preserve">The </w:t>
      </w:r>
      <w:r w:rsidRPr="008230F1">
        <w:rPr>
          <w:i/>
        </w:rPr>
        <w:t>Makky</w:t>
      </w:r>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6">
    <w:p w14:paraId="1EA2F440" w14:textId="2D000DAD" w:rsidR="007A3628" w:rsidRDefault="007A3628">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7">
    <w:p w14:paraId="1805B294" w14:textId="21F86819" w:rsidR="0025290C" w:rsidRDefault="0025290C">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8">
    <w:p w14:paraId="6D0D0D7B" w14:textId="4964F151"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9">
    <w:p w14:paraId="28CB1AB3"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10">
    <w:p w14:paraId="12CC17FA"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11">
    <w:p w14:paraId="3AC08838" w14:textId="2C47F9FF"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12">
    <w:p w14:paraId="5D7E9BE6" w14:textId="77777777" w:rsidR="003313BC" w:rsidRDefault="003313BC"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13">
    <w:p w14:paraId="46D98FA6" w14:textId="2ED99EDB" w:rsidR="00A277CF" w:rsidRDefault="00A277CF">
      <w:pPr>
        <w:pStyle w:val="FootnoteText"/>
      </w:pPr>
      <w:r>
        <w:rPr>
          <w:rStyle w:val="FootnoteReference"/>
        </w:rPr>
        <w:footnoteRef/>
      </w:r>
      <w:r>
        <w:t xml:space="preserve"> </w:t>
      </w:r>
      <w:r w:rsidRPr="0033620A">
        <w:rPr>
          <w:i/>
        </w:rPr>
        <w:t>See, e.g.</w:t>
      </w:r>
      <w:r w:rsidRPr="00A277CF">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xml:space="preserve">. (stating that “[a]lthough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r w:rsidRPr="002B6720">
        <w:rPr>
          <w:i/>
        </w:rPr>
        <w:t>Ellerth</w:t>
      </w:r>
      <w:r w:rsidRPr="00A277CF">
        <w:t xml:space="preserve"> defense”).</w:t>
      </w:r>
    </w:p>
  </w:footnote>
  <w:footnote w:id="14">
    <w:p w14:paraId="748126C6" w14:textId="12CFE851" w:rsidR="00FE2ACC" w:rsidRDefault="00FE2ACC">
      <w:pPr>
        <w:pStyle w:val="FootnoteText"/>
      </w:pPr>
      <w:r>
        <w:rPr>
          <w:rStyle w:val="FootnoteReference"/>
        </w:rPr>
        <w:footnoteRef/>
      </w:r>
      <w:r>
        <w:t xml:space="preserve"> </w:t>
      </w:r>
      <w:r w:rsidRPr="00EA603E">
        <w:rPr>
          <w:i/>
        </w:rPr>
        <w:t>See, e.g.</w:t>
      </w:r>
      <w:r w:rsidRPr="00FE2ACC">
        <w:t xml:space="preserve">, </w:t>
      </w:r>
      <w:r w:rsidRPr="00EA603E">
        <w:rPr>
          <w:i/>
        </w:rPr>
        <w:t>Jones v. Southeastern Pa. Transp. Auth.</w:t>
      </w:r>
      <w:r w:rsidRPr="00FE2ACC">
        <w:t>, 796 F.3d 323, 329 (3d Cir. 2015) (finding an unreasonable failure by the employee where “[d]espite 10 years of alleged harassment [by her supervisor], … she never made a complaint until [the supervisor] accused her of timesheet fraud, despite the fact that she knew that the [employer’s] EEO Office fielded such complaints”).</w:t>
      </w:r>
    </w:p>
  </w:footnote>
  <w:footnote w:id="15">
    <w:p w14:paraId="0736A13E" w14:textId="00AE7CA1"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footnote>
  <w:footnote w:id="16">
    <w:p w14:paraId="55D47348" w14:textId="38F21918"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17">
    <w:p w14:paraId="14635924" w14:textId="77777777" w:rsidR="003313BC" w:rsidRPr="00F40499" w:rsidRDefault="003313BC"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18">
    <w:p w14:paraId="33CCEF88" w14:textId="0449A856" w:rsidR="00B94344" w:rsidRDefault="00B94344">
      <w:pPr>
        <w:pStyle w:val="FootnoteText"/>
      </w:pPr>
      <w:r>
        <w:rPr>
          <w:rStyle w:val="FootnoteReference"/>
        </w:rPr>
        <w:footnoteRef/>
      </w:r>
      <w:r>
        <w:t xml:space="preserve"> </w:t>
      </w:r>
      <w:r w:rsidRPr="00B94344">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“[R]efusing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E021B1" w:rsidRDefault="00E021B1">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19">
    <w:p w14:paraId="2A057539" w14:textId="37EF1BA5" w:rsidR="00A4472F" w:rsidRDefault="00A4472F">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20">
    <w:p w14:paraId="7DD488AF" w14:textId="011C4282" w:rsidR="007434BA" w:rsidRDefault="007434BA"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w:t>
      </w:r>
      <w:r w:rsidR="001057A9">
        <w:t xml:space="preserve">the employer and the practice – </w:t>
      </w:r>
      <w:r>
        <w:t xml:space="preserve">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7434BA" w:rsidRDefault="007434BA"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21">
    <w:p w14:paraId="07B8032F" w14:textId="57BDD58D" w:rsidR="001B1153" w:rsidRDefault="001B1153">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Title VII’s anti-retaliation provision.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2">
    <w:p w14:paraId="1ED293B2" w14:textId="77777777" w:rsidR="0094311E" w:rsidRDefault="0094311E"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94311E" w:rsidRDefault="0094311E" w:rsidP="0094311E">
      <w:pPr>
        <w:pStyle w:val="FootnoteText"/>
      </w:pPr>
    </w:p>
    <w:p w14:paraId="2C9E26A6" w14:textId="77777777" w:rsidR="0094311E" w:rsidRDefault="0094311E"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94311E" w:rsidRDefault="0094311E" w:rsidP="0094311E">
      <w:pPr>
        <w:pStyle w:val="FootnoteText"/>
      </w:pPr>
    </w:p>
    <w:p w14:paraId="0B81DD3C" w14:textId="35046BF8" w:rsidR="0094311E" w:rsidRDefault="0094311E" w:rsidP="00005107">
      <w:pPr>
        <w:pStyle w:val="FootnoteText"/>
        <w:ind w:firstLine="0"/>
      </w:pPr>
      <w:r w:rsidRPr="00005107">
        <w:rPr>
          <w:i/>
        </w:rPr>
        <w:t>Jones</w:t>
      </w:r>
      <w:r>
        <w:t>, 796 F.3d at 330.</w:t>
      </w:r>
    </w:p>
  </w:footnote>
  <w:footnote w:id="23">
    <w:p w14:paraId="1B3C903C" w14:textId="045F4862" w:rsidR="00516925" w:rsidRDefault="00516925">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24">
    <w:p w14:paraId="10B75DB8" w14:textId="69002C7C"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25">
    <w:p w14:paraId="5643C883" w14:textId="5441EC5D"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26">
    <w:p w14:paraId="00AE7A93" w14:textId="62EC8BC8" w:rsidR="003313BC" w:rsidRDefault="003313BC"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w:t>
      </w:r>
      <w:r w:rsidR="0059573C">
        <w:t xml:space="preserve"> </w:t>
      </w:r>
      <w:r>
        <w:t>will be unnecessary: Because the charge filing periods are shorter than two</w:t>
      </w:r>
      <w:r w:rsidR="0059573C">
        <w:t xml:space="preserve"> </w:t>
      </w:r>
      <w:r>
        <w:t>years, a timely charge will fall less than two years after the unlawful practice.  The bracketed</w:t>
      </w:r>
      <w:r w:rsidR="0059573C">
        <w:t xml:space="preserve"> </w:t>
      </w:r>
      <w:r>
        <w:t>language is provided for use in cases where that is not true – for instance, where the plaintiff’s</w:t>
      </w:r>
      <w:r w:rsidR="0059573C">
        <w:t xml:space="preserve"> </w:t>
      </w:r>
      <w:r>
        <w:t>charge was untimely but the defendant waived its timeliness defense.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18DE"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7285" w14:textId="4DA8173C" w:rsidR="00ED53E3" w:rsidRDefault="00ED53E3"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1D0D8E" w:rsidRPr="007771D9" w:rsidRDefault="001D0D8E" w:rsidP="007771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5563" w14:textId="55D02A62" w:rsidR="00487A75" w:rsidRDefault="00487A75"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1D0D8E" w:rsidRPr="007771D9" w:rsidRDefault="001D0D8E" w:rsidP="007771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E2A" w14:textId="61E6730A" w:rsidR="0075195B" w:rsidRDefault="0075195B"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1D0D8E" w:rsidRPr="007771D9" w:rsidRDefault="001D0D8E" w:rsidP="007771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71FE" w14:textId="5551D64A" w:rsidR="005A626D" w:rsidRDefault="005A626D"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1D0D8E" w:rsidRPr="007771D9" w:rsidRDefault="001D0D8E" w:rsidP="007771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E183" w14:textId="530F5350" w:rsidR="003F7E51" w:rsidRDefault="003F7E51"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1D0D8E" w:rsidRPr="007771D9" w:rsidRDefault="001D0D8E" w:rsidP="007771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D237" w14:textId="71A32880" w:rsidR="00C2257F" w:rsidRDefault="00C2257F"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1D0D8E" w:rsidRPr="007771D9" w:rsidRDefault="001D0D8E" w:rsidP="007771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F50B" w14:textId="593CABAF" w:rsidR="00741CD0" w:rsidRDefault="00741CD0"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1D0D8E" w:rsidRPr="007771D9" w:rsidRDefault="001D0D8E" w:rsidP="007771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E3C5" w14:textId="08840AC9" w:rsidR="002A5D70" w:rsidRDefault="002A5D70"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850837" w:rsidRPr="007771D9" w:rsidRDefault="00850837" w:rsidP="007771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169E" w14:textId="27110497" w:rsidR="00854B71" w:rsidRDefault="00854B71"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E6359F" w:rsidRPr="007771D9" w:rsidRDefault="00E6359F" w:rsidP="007771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578F" w14:textId="09A8C9F5" w:rsidR="002E6B34" w:rsidRDefault="002E6B34"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E6359F" w:rsidRPr="007771D9" w:rsidRDefault="00E6359F" w:rsidP="00777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0081"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0024" w14:textId="4D7830B9" w:rsidR="000A5FD7" w:rsidRDefault="000A5FD7"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E6359F" w:rsidRPr="007771D9" w:rsidRDefault="00E6359F" w:rsidP="0077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127D" w14:textId="77777777" w:rsidR="003B43A1" w:rsidRDefault="003B43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C51C" w14:textId="74D96D69" w:rsidR="00816CB8" w:rsidRDefault="00816CB8" w:rsidP="00816CB8">
    <w:pPr>
      <w:pStyle w:val="Header"/>
      <w:jc w:val="right"/>
    </w:pPr>
    <w:r w:rsidRPr="003313BC">
      <w:rPr>
        <w:rFonts w:ascii="Century Schoolbook" w:hAnsi="Century Schoolbook"/>
        <w:b/>
      </w:rPr>
      <w:t>5.0   Title VII Introductory Instruction</w:t>
    </w:r>
  </w:p>
  <w:p w14:paraId="74ED7BE2" w14:textId="23C19CCF" w:rsidR="003313BC" w:rsidRPr="007771D9" w:rsidRDefault="003313BC" w:rsidP="00777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06C9" w14:textId="0E7F13E6" w:rsidR="00A26940" w:rsidRDefault="00A26940"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3313BC" w:rsidRPr="007771D9" w:rsidRDefault="003313BC" w:rsidP="00777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08D8" w14:textId="11BC18BE" w:rsidR="001E31BB" w:rsidRDefault="001E31BB"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3313BC" w:rsidRPr="007771D9" w:rsidRDefault="003313BC" w:rsidP="00777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CC86" w14:textId="22EF727B" w:rsidR="002B35B5" w:rsidRDefault="002B35B5"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3313BC" w:rsidRPr="007771D9" w:rsidRDefault="003313BC" w:rsidP="007771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49E5" w14:textId="21334990" w:rsidR="00C3351F" w:rsidRDefault="00C3351F"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1D0D8E" w:rsidRPr="007771D9" w:rsidRDefault="001D0D8E" w:rsidP="007771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F297" w14:textId="73DA3E31" w:rsidR="00A577B8" w:rsidRDefault="00A577B8"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1D0D8E" w:rsidRPr="007771D9" w:rsidRDefault="001D0D8E" w:rsidP="0077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2"/>
    <w:rsid w:val="00005107"/>
    <w:rsid w:val="000124F6"/>
    <w:rsid w:val="00020512"/>
    <w:rsid w:val="00020B81"/>
    <w:rsid w:val="00025BE4"/>
    <w:rsid w:val="00041A57"/>
    <w:rsid w:val="00063D88"/>
    <w:rsid w:val="000A5FD7"/>
    <w:rsid w:val="000D0D40"/>
    <w:rsid w:val="000E5F43"/>
    <w:rsid w:val="000F1466"/>
    <w:rsid w:val="00103FE7"/>
    <w:rsid w:val="001057A9"/>
    <w:rsid w:val="001070F0"/>
    <w:rsid w:val="001100B4"/>
    <w:rsid w:val="0011644C"/>
    <w:rsid w:val="00143162"/>
    <w:rsid w:val="00157CD4"/>
    <w:rsid w:val="00173B97"/>
    <w:rsid w:val="00177E7E"/>
    <w:rsid w:val="00193A3D"/>
    <w:rsid w:val="001A05A7"/>
    <w:rsid w:val="001A3E6D"/>
    <w:rsid w:val="001B1153"/>
    <w:rsid w:val="001B3336"/>
    <w:rsid w:val="001C3B3F"/>
    <w:rsid w:val="001D0D8E"/>
    <w:rsid w:val="001D300B"/>
    <w:rsid w:val="001E308A"/>
    <w:rsid w:val="001E31BB"/>
    <w:rsid w:val="001F4AFB"/>
    <w:rsid w:val="0020129A"/>
    <w:rsid w:val="00217056"/>
    <w:rsid w:val="00227251"/>
    <w:rsid w:val="00244D6B"/>
    <w:rsid w:val="0025290C"/>
    <w:rsid w:val="00264719"/>
    <w:rsid w:val="002837E4"/>
    <w:rsid w:val="002862B6"/>
    <w:rsid w:val="002905D1"/>
    <w:rsid w:val="0029176B"/>
    <w:rsid w:val="002A4FC8"/>
    <w:rsid w:val="002A5D70"/>
    <w:rsid w:val="002B35B5"/>
    <w:rsid w:val="002B6595"/>
    <w:rsid w:val="002B6720"/>
    <w:rsid w:val="002E6B34"/>
    <w:rsid w:val="002F29BD"/>
    <w:rsid w:val="00300279"/>
    <w:rsid w:val="00311CCE"/>
    <w:rsid w:val="00315176"/>
    <w:rsid w:val="00317C07"/>
    <w:rsid w:val="003313BC"/>
    <w:rsid w:val="0033620A"/>
    <w:rsid w:val="003375D3"/>
    <w:rsid w:val="00385D7E"/>
    <w:rsid w:val="00386B18"/>
    <w:rsid w:val="003A085B"/>
    <w:rsid w:val="003A0AF5"/>
    <w:rsid w:val="003B43A1"/>
    <w:rsid w:val="003C48BC"/>
    <w:rsid w:val="003D006B"/>
    <w:rsid w:val="003E07F8"/>
    <w:rsid w:val="003F2913"/>
    <w:rsid w:val="003F7E51"/>
    <w:rsid w:val="00413F1E"/>
    <w:rsid w:val="00421408"/>
    <w:rsid w:val="00447A73"/>
    <w:rsid w:val="00481022"/>
    <w:rsid w:val="00487A75"/>
    <w:rsid w:val="004953C6"/>
    <w:rsid w:val="004964B6"/>
    <w:rsid w:val="004A053B"/>
    <w:rsid w:val="004A3CCF"/>
    <w:rsid w:val="004E1BDF"/>
    <w:rsid w:val="004F0FDE"/>
    <w:rsid w:val="005004B0"/>
    <w:rsid w:val="00506406"/>
    <w:rsid w:val="0051263A"/>
    <w:rsid w:val="0051263F"/>
    <w:rsid w:val="005132C3"/>
    <w:rsid w:val="00516925"/>
    <w:rsid w:val="00530E5D"/>
    <w:rsid w:val="0055466F"/>
    <w:rsid w:val="00565367"/>
    <w:rsid w:val="00575F8C"/>
    <w:rsid w:val="005768D2"/>
    <w:rsid w:val="00576B1A"/>
    <w:rsid w:val="00581ED0"/>
    <w:rsid w:val="00587504"/>
    <w:rsid w:val="00590E09"/>
    <w:rsid w:val="005927BA"/>
    <w:rsid w:val="0059573C"/>
    <w:rsid w:val="005A626D"/>
    <w:rsid w:val="005B5878"/>
    <w:rsid w:val="005B5953"/>
    <w:rsid w:val="005C11C4"/>
    <w:rsid w:val="005E0212"/>
    <w:rsid w:val="005E60C1"/>
    <w:rsid w:val="005F5C0E"/>
    <w:rsid w:val="00603878"/>
    <w:rsid w:val="00616798"/>
    <w:rsid w:val="006313E7"/>
    <w:rsid w:val="006449C8"/>
    <w:rsid w:val="00653067"/>
    <w:rsid w:val="00682CFD"/>
    <w:rsid w:val="00684613"/>
    <w:rsid w:val="006962FA"/>
    <w:rsid w:val="006C5A20"/>
    <w:rsid w:val="006C6AB6"/>
    <w:rsid w:val="006C71CC"/>
    <w:rsid w:val="006D07F3"/>
    <w:rsid w:val="006D5E21"/>
    <w:rsid w:val="00710B73"/>
    <w:rsid w:val="007305BE"/>
    <w:rsid w:val="007348F7"/>
    <w:rsid w:val="00741CD0"/>
    <w:rsid w:val="007434BA"/>
    <w:rsid w:val="0075195B"/>
    <w:rsid w:val="007654DE"/>
    <w:rsid w:val="00765BD2"/>
    <w:rsid w:val="007771D9"/>
    <w:rsid w:val="00783C5D"/>
    <w:rsid w:val="007A3628"/>
    <w:rsid w:val="007B127F"/>
    <w:rsid w:val="007C6D78"/>
    <w:rsid w:val="007E45F8"/>
    <w:rsid w:val="007E4840"/>
    <w:rsid w:val="007E6C6D"/>
    <w:rsid w:val="00816CB8"/>
    <w:rsid w:val="008230F1"/>
    <w:rsid w:val="00825921"/>
    <w:rsid w:val="00834DE3"/>
    <w:rsid w:val="00841822"/>
    <w:rsid w:val="00846DD4"/>
    <w:rsid w:val="00850837"/>
    <w:rsid w:val="00854B71"/>
    <w:rsid w:val="00855B45"/>
    <w:rsid w:val="008652B4"/>
    <w:rsid w:val="0087489D"/>
    <w:rsid w:val="00880BCD"/>
    <w:rsid w:val="00886E36"/>
    <w:rsid w:val="00890ECE"/>
    <w:rsid w:val="00892A28"/>
    <w:rsid w:val="008A2022"/>
    <w:rsid w:val="008E0A5F"/>
    <w:rsid w:val="009116F6"/>
    <w:rsid w:val="009124AD"/>
    <w:rsid w:val="0091367D"/>
    <w:rsid w:val="0092033B"/>
    <w:rsid w:val="009218B1"/>
    <w:rsid w:val="0093158B"/>
    <w:rsid w:val="0094311E"/>
    <w:rsid w:val="00945E27"/>
    <w:rsid w:val="00962820"/>
    <w:rsid w:val="00977A92"/>
    <w:rsid w:val="009847AD"/>
    <w:rsid w:val="009A4D68"/>
    <w:rsid w:val="009C1BD4"/>
    <w:rsid w:val="009D6EE4"/>
    <w:rsid w:val="009E47A1"/>
    <w:rsid w:val="00A04F69"/>
    <w:rsid w:val="00A2106B"/>
    <w:rsid w:val="00A26940"/>
    <w:rsid w:val="00A277CF"/>
    <w:rsid w:val="00A40F48"/>
    <w:rsid w:val="00A4472F"/>
    <w:rsid w:val="00A47413"/>
    <w:rsid w:val="00A56E53"/>
    <w:rsid w:val="00A577B8"/>
    <w:rsid w:val="00A6382F"/>
    <w:rsid w:val="00A95CE4"/>
    <w:rsid w:val="00A96D26"/>
    <w:rsid w:val="00AD33DD"/>
    <w:rsid w:val="00AF0077"/>
    <w:rsid w:val="00B04DD4"/>
    <w:rsid w:val="00B0609C"/>
    <w:rsid w:val="00B43CC6"/>
    <w:rsid w:val="00B61514"/>
    <w:rsid w:val="00B61894"/>
    <w:rsid w:val="00B65303"/>
    <w:rsid w:val="00B674B3"/>
    <w:rsid w:val="00B7383F"/>
    <w:rsid w:val="00B94344"/>
    <w:rsid w:val="00BA1D9B"/>
    <w:rsid w:val="00BB0621"/>
    <w:rsid w:val="00BB5411"/>
    <w:rsid w:val="00BC276B"/>
    <w:rsid w:val="00BD290F"/>
    <w:rsid w:val="00BE7032"/>
    <w:rsid w:val="00BF1DE0"/>
    <w:rsid w:val="00BF42E9"/>
    <w:rsid w:val="00BF7DE7"/>
    <w:rsid w:val="00C1091C"/>
    <w:rsid w:val="00C2257F"/>
    <w:rsid w:val="00C3351F"/>
    <w:rsid w:val="00C34334"/>
    <w:rsid w:val="00C359FF"/>
    <w:rsid w:val="00C67966"/>
    <w:rsid w:val="00C67B0D"/>
    <w:rsid w:val="00C70F71"/>
    <w:rsid w:val="00C779A0"/>
    <w:rsid w:val="00C8127F"/>
    <w:rsid w:val="00C8187B"/>
    <w:rsid w:val="00C82612"/>
    <w:rsid w:val="00C90D4C"/>
    <w:rsid w:val="00CA61B0"/>
    <w:rsid w:val="00CB104B"/>
    <w:rsid w:val="00CC4613"/>
    <w:rsid w:val="00CD2A7F"/>
    <w:rsid w:val="00CD6E58"/>
    <w:rsid w:val="00CE36F2"/>
    <w:rsid w:val="00D0607A"/>
    <w:rsid w:val="00D15197"/>
    <w:rsid w:val="00D20BBF"/>
    <w:rsid w:val="00D247C3"/>
    <w:rsid w:val="00D26081"/>
    <w:rsid w:val="00D7279B"/>
    <w:rsid w:val="00D76890"/>
    <w:rsid w:val="00D829D4"/>
    <w:rsid w:val="00DA1AA9"/>
    <w:rsid w:val="00DB03EA"/>
    <w:rsid w:val="00DB6BA8"/>
    <w:rsid w:val="00DD2D8C"/>
    <w:rsid w:val="00DD5815"/>
    <w:rsid w:val="00DD7EB1"/>
    <w:rsid w:val="00DF0DD2"/>
    <w:rsid w:val="00E021B1"/>
    <w:rsid w:val="00E03A31"/>
    <w:rsid w:val="00E05195"/>
    <w:rsid w:val="00E12CC1"/>
    <w:rsid w:val="00E20398"/>
    <w:rsid w:val="00E34855"/>
    <w:rsid w:val="00E52B89"/>
    <w:rsid w:val="00E6359F"/>
    <w:rsid w:val="00E65F73"/>
    <w:rsid w:val="00E753E5"/>
    <w:rsid w:val="00E815D1"/>
    <w:rsid w:val="00E8443B"/>
    <w:rsid w:val="00E97232"/>
    <w:rsid w:val="00EA603E"/>
    <w:rsid w:val="00EB0C06"/>
    <w:rsid w:val="00EB24C6"/>
    <w:rsid w:val="00EB4FAF"/>
    <w:rsid w:val="00ED0F3B"/>
    <w:rsid w:val="00ED53E3"/>
    <w:rsid w:val="00EE1665"/>
    <w:rsid w:val="00EE5A40"/>
    <w:rsid w:val="00EF2981"/>
    <w:rsid w:val="00EF63FE"/>
    <w:rsid w:val="00F22384"/>
    <w:rsid w:val="00F30832"/>
    <w:rsid w:val="00F3277F"/>
    <w:rsid w:val="00F40499"/>
    <w:rsid w:val="00F432EF"/>
    <w:rsid w:val="00F479B3"/>
    <w:rsid w:val="00F66E91"/>
    <w:rsid w:val="00F70088"/>
    <w:rsid w:val="00FA06CA"/>
    <w:rsid w:val="00FB1574"/>
    <w:rsid w:val="00FB3406"/>
    <w:rsid w:val="00FE2ACC"/>
    <w:rsid w:val="00FE74C0"/>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uiPriority w:val="99"/>
    <w:semiHidden/>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30363</Words>
  <Characters>173071</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2017-05-15T18:18:00Z</dcterms:created>
  <dcterms:modified xsi:type="dcterms:W3CDTF">2017-05-19T16:43:00Z</dcterms:modified>
</cp:coreProperties>
</file>