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ED2B" w14:textId="77777777" w:rsidR="00A47413" w:rsidRPr="002F29BD" w:rsidRDefault="00A47413" w:rsidP="00F70088">
      <w:pPr>
        <w:widowControl w:val="0"/>
        <w:tabs>
          <w:tab w:val="center" w:pos="4680"/>
        </w:tabs>
        <w:spacing w:after="240"/>
        <w:jc w:val="both"/>
        <w:rPr>
          <w:b/>
        </w:rPr>
      </w:pPr>
      <w:bookmarkStart w:id="0" w:name="_GoBack"/>
      <w:bookmarkEnd w:id="0"/>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1A3B143E" w:rsidR="00A47413" w:rsidRPr="002F29BD" w:rsidRDefault="00A47413" w:rsidP="00F70088">
      <w:pPr>
        <w:widowControl w:val="0"/>
        <w:spacing w:after="240"/>
        <w:jc w:val="both"/>
      </w:pPr>
      <w:r w:rsidRPr="002F29BD">
        <w:rPr>
          <w:b/>
        </w:rPr>
        <w:tab/>
      </w:r>
      <w:r w:rsidRPr="002F29BD">
        <w:t xml:space="preserve">In this case the Plaintiff ________ makes a claim under a Federal Civil Rights statute that prohibits employers from discriminating against an employee [prospective employee] in the terms and conditions of employment because of the employee’s race, color, religion, sex,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w:t>
      </w:r>
      <w:r w:rsidRPr="002F29BD">
        <w:lastRenderedPageBreak/>
        <w:t xml:space="preserve">“similar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v.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r w:rsidRPr="002F29BD">
        <w:rPr>
          <w:i/>
        </w:rPr>
        <w:t xml:space="preserve">Stanziale v. Jargowsky,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7CF77F20" w:rsidR="00A47413" w:rsidRPr="002F29BD" w:rsidRDefault="00A47413" w:rsidP="00F70088">
      <w:pPr>
        <w:widowControl w:val="0"/>
        <w:spacing w:after="240"/>
        <w:ind w:left="720"/>
        <w:jc w:val="both"/>
      </w:pPr>
      <w:r w:rsidRPr="002F29BD">
        <w:lastRenderedPageBreak/>
        <w:tab/>
        <w:t>The employer's burden is significantly different in defending an Equal Pay Act claim for an additional reason. The Equal Pay Act prohibits differential pay for men and women when performing equal work "</w:t>
      </w:r>
      <w:r w:rsidRPr="002F29BD">
        <w:rPr>
          <w:i/>
        </w:rPr>
        <w:t>except where such payment is made pursuant to</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050AFD31" w:rsidR="00A47413" w:rsidRPr="002F29BD" w:rsidRDefault="00A47413" w:rsidP="00F70088">
      <w:pPr>
        <w:widowControl w:val="0"/>
        <w:spacing w:after="240"/>
        <w:jc w:val="both"/>
      </w:pPr>
      <w:r w:rsidRPr="002F29BD">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see Mikula v. Allegheny County</w:t>
      </w:r>
      <w:r w:rsidRPr="002F29BD">
        <w:t>, 583 F.3d 181, 185-86 (3d Cir. 2009) (applying Section 2000e-5(e)(3)(A)).</w:t>
      </w:r>
      <w:r w:rsidRPr="002F29BD">
        <w:rPr>
          <w:rStyle w:val="FootnoteReference"/>
        </w:rPr>
        <w:footnoteReference w:id="1"/>
      </w:r>
      <w:r w:rsidRPr="002F29BD">
        <w:t xml:space="preserve">  This amendment brings the accrual date for a Title VII claim more in line with the EPA mechanism, in which an EPA claim arises each time the employee receives lower pay than </w:t>
      </w:r>
      <w:r w:rsidRPr="002F29BD">
        <w:lastRenderedPageBreak/>
        <w:t>male employees doing substantially similar work.</w:t>
      </w:r>
    </w:p>
    <w:p w14:paraId="5D413075" w14:textId="5DE14B84" w:rsidR="00A47413" w:rsidRPr="002F29BD"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p>
    <w:p w14:paraId="227352F1" w14:textId="77777777" w:rsidR="00A47413" w:rsidRPr="002F29BD" w:rsidRDefault="00A47413" w:rsidP="00F70088">
      <w:pPr>
        <w:widowControl w:val="0"/>
        <w:spacing w:after="240"/>
        <w:jc w:val="both"/>
      </w:pPr>
      <w:r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77777777"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courts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503 U.S. at 319 (holding unanimously that the definition of “employee” as used in ERISA “incorporate[s] traditional agency law criteria for identifying master-servant relationships”).  Courts should “focus the employment relationship analysis on ‘the level of control the defendant[s] ... exerted over the plaintiff: which entity paid [the employees</w:t>
      </w:r>
      <w:r w:rsidR="00BE7032" w:rsidRPr="002F29BD">
        <w:t>’</w:t>
      </w:r>
      <w:r w:rsidRPr="002F29BD">
        <w:t xml:space="preserve">] salaries, hired and fired them, and had control over their daily employment activities.’”  </w:t>
      </w:r>
      <w:r w:rsidRPr="002F29BD">
        <w:rPr>
          <w:i/>
        </w:rPr>
        <w:t>Covington</w:t>
      </w:r>
      <w:r w:rsidRPr="002F29BD">
        <w:t xml:space="preserve">, 710 F.3d at 119 (quoting </w:t>
      </w:r>
      <w:r w:rsidR="00BE7032" w:rsidRPr="002F29BD">
        <w:rPr>
          <w:i/>
        </w:rPr>
        <w:t>Covington v. Int’</w:t>
      </w:r>
      <w:r w:rsidRPr="002F29BD">
        <w:rPr>
          <w:i/>
        </w:rPr>
        <w:t>l Ass</w:t>
      </w:r>
      <w:r w:rsidR="00BE7032" w:rsidRPr="002F29BD">
        <w:rPr>
          <w:i/>
        </w:rPr>
        <w:t>’</w:t>
      </w:r>
      <w:r w:rsidRPr="002F29BD">
        <w:rPr>
          <w:i/>
        </w:rPr>
        <w:t>n of Approved Basketball Officials</w:t>
      </w:r>
      <w:r w:rsidRPr="002F29BD">
        <w:t xml:space="preserve">, No. 08–3639, 2010 WL 3404977, at *2 (D.N.J. Aug. 26, 2010)).  To determine whether a shareholder-director of a business entity counts as that entity’s employee for purposes of Title VII, the court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r w:rsidRPr="002F29BD">
        <w:rPr>
          <w:i/>
        </w:rPr>
        <w:t>Mariotti v. Mariotti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brought against a “religious corporation, association, educational institution or society”). In </w:t>
      </w:r>
      <w:r w:rsidR="00682CFD" w:rsidRPr="00682CFD">
        <w:rPr>
          <w:i/>
        </w:rPr>
        <w:t>LeBoon v. Lancaster Jewish Cmty. Ctr. Ass’n</w:t>
      </w:r>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 xml:space="preserve">Over the years, courts have looked at the following factors: (1) whether the entity operates for a profit, (2) whether it produces a secular product, (3) whether the entity's articles of </w:t>
      </w:r>
      <w:r w:rsidRPr="002F29BD">
        <w:lastRenderedPageBreak/>
        <w:t>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r w:rsidRPr="002F29BD">
        <w:rPr>
          <w:i/>
        </w:rPr>
        <w:t>Le</w:t>
      </w:r>
      <w:r w:rsidR="00421408">
        <w:rPr>
          <w:i/>
        </w:rPr>
        <w:t>B</w:t>
      </w:r>
      <w:r w:rsidRPr="002F29BD">
        <w:rPr>
          <w:i/>
        </w:rPr>
        <w:t xml:space="preserve">oon,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Id. at 229-30. Accordingly the plaintiff, an evangelical Christian who was fired from her position as bookkeeper, could not recover under Title VII on grounds of religious discrimination. </w:t>
      </w:r>
    </w:p>
    <w:p w14:paraId="19B2C7F2" w14:textId="7F5D2434" w:rsidR="00A47413" w:rsidRPr="002F29BD" w:rsidRDefault="00A47413" w:rsidP="00F70088">
      <w:pPr>
        <w:widowControl w:val="0"/>
        <w:spacing w:after="240"/>
        <w:jc w:val="both"/>
      </w:pPr>
      <w:r w:rsidRPr="002F29BD">
        <w:tab/>
        <w:t xml:space="preserve">By its terms, Title VII does not confer upon religious organizations the right to discriminate against employees on the basis of race, sex,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Though </w:t>
      </w:r>
      <w:r w:rsidR="00CD6E58" w:rsidRPr="002F29BD">
        <w:rPr>
          <w:i/>
        </w:rPr>
        <w:t>Hosanna-Tabor</w:t>
      </w:r>
      <w:r w:rsidR="00CD6E58" w:rsidRPr="002F29BD">
        <w:t xml:space="preserve"> involved a retaliation claim under the Americans with Disabilities Act, the Court’s</w:t>
      </w:r>
      <w:r w:rsidR="00BA1D9B" w:rsidRPr="002F29BD">
        <w:t xml:space="preserve"> broad description of the issue suggests that its</w:t>
      </w:r>
      <w:r w:rsidR="00CD6E58" w:rsidRPr="002F29BD">
        <w:t xml:space="preserve"> recognition of a “mini</w:t>
      </w:r>
      <w:r w:rsidR="00BA1D9B" w:rsidRPr="002F29BD">
        <w:t>sterial exception” may</w:t>
      </w:r>
      <w:r w:rsidR="00CD6E58" w:rsidRPr="002F29BD">
        <w:t xml:space="preserve"> apply equally to wrongful-termination claims brought under other federal anti-discrimination statutes.  </w:t>
      </w:r>
      <w:r w:rsidR="00CD6E58" w:rsidRPr="002F29BD">
        <w:rPr>
          <w:i/>
        </w:rPr>
        <w:t>See id</w:t>
      </w:r>
      <w:r w:rsidR="00CD6E58" w:rsidRPr="002F29BD">
        <w:t>. at 710 (“The case before us is an employment discrimination suit brought on behalf of a minister, challenging her church's decision to fire her…. [T]he ministerial exception bars such a suit.”).</w:t>
      </w:r>
    </w:p>
    <w:p w14:paraId="2987797A" w14:textId="26B43F67" w:rsidR="00CD6E58" w:rsidRPr="002F29BD" w:rsidRDefault="00CD6E58" w:rsidP="00F70088">
      <w:pPr>
        <w:spacing w:after="240"/>
        <w:jc w:val="both"/>
      </w:pPr>
      <w:r w:rsidRPr="002F29BD">
        <w:tab/>
        <w:t xml:space="preserve">The </w:t>
      </w:r>
      <w:r w:rsidRPr="002F29BD">
        <w:rPr>
          <w:i/>
        </w:rPr>
        <w:t>Hosanna-Tabor</w:t>
      </w:r>
      <w:r w:rsidRPr="002F29BD">
        <w:t xml:space="preserve"> Court did not specify which types of plaintiffs fall within the ministerial exception:  It held that “the ministerial exception is not limited to the head of a religious congregation” but declined “to adopt a rigid formula for deciding when an employee qualifies as a minister.”  </w:t>
      </w:r>
      <w:r w:rsidRPr="002F29BD">
        <w:rPr>
          <w:i/>
        </w:rPr>
        <w:t>Id</w:t>
      </w:r>
      <w:r w:rsidRPr="002F29BD">
        <w:t xml:space="preserve">. at 707.  The plaintiff in </w:t>
      </w:r>
      <w:r w:rsidRPr="002F29BD">
        <w:rPr>
          <w:i/>
        </w:rPr>
        <w:t>Hosanna-Tabor</w:t>
      </w:r>
      <w:r w:rsidRPr="002F29BD">
        <w:t xml:space="preserve"> fell within the exception “[i]n light of … the formal title given [the plaintiff] by the Church, the substance reflected in that title, her own use of that title, and the important religious functions she performed for the Church.”  </w:t>
      </w:r>
      <w:r w:rsidRPr="002F29BD">
        <w:rPr>
          <w:i/>
        </w:rPr>
        <w:t>Id</w:t>
      </w:r>
      <w:r w:rsidRPr="002F29BD">
        <w:t xml:space="preserve">. at 708.  </w:t>
      </w:r>
      <w:r w:rsidRPr="002F29BD">
        <w:rPr>
          <w:i/>
        </w:rPr>
        <w:t>See also</w:t>
      </w:r>
      <w:r w:rsidR="00A47413" w:rsidRPr="002F29BD">
        <w:t xml:space="preserve"> </w:t>
      </w:r>
      <w:r w:rsidR="00A47413" w:rsidRPr="002F29BD">
        <w:rPr>
          <w:i/>
        </w:rPr>
        <w:t xml:space="preserve">Petruska v. </w:t>
      </w:r>
      <w:r w:rsidRPr="002F29BD">
        <w:rPr>
          <w:i/>
        </w:rPr>
        <w:t>Gannon Univ.</w:t>
      </w:r>
      <w:r w:rsidRPr="002F29BD">
        <w:t>, 462 F.3d 294, 299 (3d Cir. 2006) (pre-Hosanna-Tabor decision holding in a Title VII case that the ministerial exception “applies to any claim, the resolution of which would limit a religious institution's right to choose who will perform particular spiritual functions”).</w:t>
      </w:r>
    </w:p>
    <w:p w14:paraId="7A411BA7" w14:textId="77777777" w:rsidR="00CD6E58" w:rsidRPr="002F29BD" w:rsidRDefault="00CD6E58" w:rsidP="00F70088">
      <w:pPr>
        <w:spacing w:after="240"/>
        <w:jc w:val="both"/>
      </w:pPr>
      <w:r w:rsidRPr="002F29BD">
        <w:tab/>
        <w:t xml:space="preserve">Nor did the </w:t>
      </w:r>
      <w:r w:rsidRPr="002F29BD">
        <w:rPr>
          <w:i/>
        </w:rPr>
        <w:t>Hosanna-Tabor</w:t>
      </w:r>
      <w:r w:rsidRPr="002F29BD">
        <w:t xml:space="preserve"> Court decide whether the ministerial exception extends beyond wrongful-termination claims.  </w:t>
      </w:r>
      <w:r w:rsidRPr="002F29BD">
        <w:rPr>
          <w:i/>
        </w:rPr>
        <w:t>See Hosanna-Tabor</w:t>
      </w:r>
      <w:r w:rsidRPr="002F29BD">
        <w:t xml:space="preserve">, 132 S. Ct. at 710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w:t>
      </w:r>
      <w:r w:rsidRPr="002F29BD">
        <w:lastRenderedPageBreak/>
        <w:t xml:space="preserve">of contract or tortious conduct by their religious employers.”).  </w:t>
      </w:r>
      <w:r w:rsidRPr="002F29BD">
        <w:rPr>
          <w:i/>
        </w:rPr>
        <w:t>See also Petruska</w:t>
      </w:r>
      <w:r w:rsidRPr="002F29BD">
        <w:t>, 462 F.3d at 308 n.11 (noting that the court was not deciding whether the ministerial exception would bar claims for hostile work environment sexual harassment).</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3A4FFF20" w:rsidR="00FE7AD5" w:rsidRPr="002F29BD" w:rsidRDefault="006C6AB6" w:rsidP="007E45F8">
      <w:pPr>
        <w:spacing w:after="240"/>
        <w:ind w:firstLine="720"/>
        <w:jc w:val="both"/>
      </w:pPr>
      <w:r>
        <w:t xml:space="preserve">Title VII prohibits adverse employment actions motivated by a protected characteristic; among those characteristics is “religion.”  42 U.S.C. § 2000e–2(a)(1).  Where a Title VII religious-discrimination claim is grounded on a claim that the employer was motivated by the plaintiff’s religious beliefs,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Mineta,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 xml:space="preserve">In 1978, Congress enacted the Pregnancy Discrimination Act, 92 Stat. 2076, which added new language to Title VII's definitions subsection. The first clause of the </w:t>
      </w:r>
      <w:r>
        <w:lastRenderedPageBreak/>
        <w:t xml:space="preserve">1978 Act specifies that Title  VII’s “ter[m]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7258257A"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AD33DD" w:rsidRPr="002F29BD">
        <w:sym w:font="WP TypographicSymbols" w:char="0040"/>
      </w:r>
      <w:r w:rsidR="00AD33DD" w:rsidRPr="002F29BD">
        <w:t>).</w:t>
      </w:r>
      <w:r w:rsidR="00DB6BA8"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10178351" w14:textId="77777777" w:rsidR="00A47413" w:rsidRPr="002F29BD" w:rsidRDefault="00A47413" w:rsidP="00F70088">
      <w:pPr>
        <w:widowControl w:val="0"/>
        <w:spacing w:after="240"/>
        <w:jc w:val="both"/>
      </w:pPr>
      <w:r w:rsidRPr="002F29BD">
        <w:rPr>
          <w:i/>
        </w:rPr>
        <w:t>Discrimination involving gender stereotypes</w:t>
      </w:r>
    </w:p>
    <w:p w14:paraId="326E765C" w14:textId="77777777" w:rsidR="003313BC" w:rsidRPr="002F29BD" w:rsidRDefault="00A47413" w:rsidP="00F70088">
      <w:pPr>
        <w:widowControl w:val="0"/>
        <w:spacing w:after="240"/>
        <w:jc w:val="both"/>
        <w:sectPr w:rsidR="003313BC" w:rsidRPr="002F29BD" w:rsidSect="00143162">
          <w:headerReference w:type="default" r:id="rId14"/>
          <w:pgSz w:w="12240" w:h="15840"/>
          <w:pgMar w:top="1440" w:right="1440" w:bottom="1920" w:left="1440" w:header="720" w:footer="1440" w:gutter="0"/>
          <w:lnNumType w:countBy="1" w:distance="576" w:restart="newSection"/>
          <w:cols w:space="720"/>
          <w:docGrid w:linePitch="326"/>
        </w:sectPr>
      </w:pPr>
      <w:r w:rsidRPr="002F29BD">
        <w:tab/>
        <w:t xml:space="preserve">For a discussion of Title VII claims based on gender stereotyping, see </w:t>
      </w:r>
      <w:r w:rsidRPr="002F29BD">
        <w:rPr>
          <w:i/>
        </w:rPr>
        <w:t>Prowel v. Wise Business Forms, Inc.</w:t>
      </w:r>
      <w:r w:rsidRPr="002F29BD">
        <w:t>, 579 F.3d 285, 292 (3d Cir. 2009) (“[I]t is possible that the harassment Prowel alleges was because of his sexual orientation, not his effeminacy. Nevertheless, this does not vitiate the possibility that Prowel was also harassed for his failure to conform to gender stereotypes.... Because both scenarios are plausible, the case presents a question of fact for the jury....”).</w:t>
      </w: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7AF83E64" w:rsidR="00A47413" w:rsidRPr="002F29BD" w:rsidRDefault="00A47413" w:rsidP="00F70088">
      <w:pPr>
        <w:widowControl w:val="0"/>
        <w:spacing w:after="240"/>
        <w:jc w:val="both"/>
      </w:pPr>
      <w:r w:rsidRPr="002F29BD">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motivating factor in [defendant's] decision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35B7D552"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2"/>
      </w:r>
    </w:p>
    <w:p w14:paraId="31414ED4" w14:textId="1E1CC980" w:rsidR="00A47413" w:rsidRPr="002F29BD" w:rsidRDefault="00A47413" w:rsidP="00F70088">
      <w:pPr>
        <w:widowControl w:val="0"/>
        <w:spacing w:after="240"/>
        <w:jc w:val="both"/>
      </w:pPr>
      <w:r w:rsidRPr="002F29BD">
        <w:tab/>
        <w:t xml:space="preserve">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w:t>
      </w:r>
      <w:r w:rsidRPr="002F29BD">
        <w:lastRenderedPageBreak/>
        <w:t>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129EEF7F" w:rsidR="00A47413" w:rsidRPr="002F29BD" w:rsidRDefault="00A47413" w:rsidP="00F70088">
      <w:pPr>
        <w:widowControl w:val="0"/>
        <w:spacing w:after="240"/>
        <w:jc w:val="both"/>
      </w:pPr>
      <w:r w:rsidRPr="002F29BD">
        <w:tab/>
        <w:t xml:space="preserve">The Supreme Court has ruled that direct evidence is not required for a plaintiff to prove that discrimination was a motivating factor in a "mixed-motive"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race, color, religion, sex, or national origin was a motivating factor for any employment practice.” Id. at 95-96 (internal quotation omitted). The mixed-motive instruction above — including the instruction on the affirmative defense  —  tracks the instructions approved in </w:t>
      </w:r>
      <w:r w:rsidRPr="002F29BD">
        <w:rPr>
          <w:i/>
        </w:rPr>
        <w:t>Desert Palace</w:t>
      </w:r>
      <w:r w:rsidRPr="002F29BD">
        <w:t xml:space="preserve">.  </w:t>
      </w:r>
    </w:p>
    <w:p w14:paraId="295DBDBD" w14:textId="5398EBC5" w:rsidR="00A47413" w:rsidRPr="002F29BD" w:rsidRDefault="00A47413" w:rsidP="00F70088">
      <w:pPr>
        <w:widowControl w:val="0"/>
        <w:spacing w:after="240"/>
        <w:jc w:val="both"/>
      </w:pPr>
      <w:r w:rsidRPr="002F29BD">
        <w:tab/>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 xml:space="preserve">2006 WL 680871 at *4 (M.D.Pa.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decisionmaking process that may be viewed as directly reflecting the alleged discriminatory attitude.”) (internal citations and quotations omitted). </w:t>
      </w:r>
    </w:p>
    <w:p w14:paraId="48159D4B" w14:textId="3DAEAD21" w:rsidR="00A47413" w:rsidRPr="002F29BD" w:rsidRDefault="00A47413" w:rsidP="00F70088">
      <w:pPr>
        <w:widowControl w:val="0"/>
        <w:spacing w:after="240"/>
        <w:jc w:val="both"/>
      </w:pPr>
      <w:r w:rsidRPr="002F29BD">
        <w:tab/>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5C2CD2F" w14:textId="3AE9D726" w:rsidR="00A47413" w:rsidRPr="002F29BD" w:rsidRDefault="00A47413" w:rsidP="00F70088">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w:t>
      </w:r>
      <w:r w:rsidRPr="002F29BD">
        <w:lastRenderedPageBreak/>
        <w:t>to support such a finding.</w:t>
      </w:r>
    </w:p>
    <w:p w14:paraId="5EDB8215" w14:textId="109569E2" w:rsidR="00A47413" w:rsidRPr="002F29BD" w:rsidRDefault="00A47413" w:rsidP="00F70088">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A1DDF9B" w14:textId="1FB77581" w:rsidR="00A47413" w:rsidRPr="002F29BD" w:rsidRDefault="00A47413" w:rsidP="00F70088">
      <w:pPr>
        <w:widowControl w:val="0"/>
        <w:spacing w:after="240"/>
        <w:ind w:left="720"/>
        <w:jc w:val="both"/>
      </w:pPr>
      <w:r w:rsidRPr="002F29BD">
        <w:tab/>
        <w:t xml:space="preserve">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 </w:t>
      </w:r>
    </w:p>
    <w:p w14:paraId="0362114A" w14:textId="7533E5B9" w:rsidR="00A47413" w:rsidRPr="002F29BD" w:rsidRDefault="00A47413" w:rsidP="00F70088">
      <w:pPr>
        <w:widowControl w:val="0"/>
        <w:spacing w:after="240"/>
        <w:jc w:val="both"/>
      </w:pPr>
      <w:r w:rsidRPr="002F29BD">
        <w:tab/>
        <w:t xml:space="preserve">Thus, 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r w:rsidRPr="002F29BD">
        <w:rPr>
          <w:i/>
        </w:rPr>
        <w:t xml:space="preserve">Makky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U.S. 792 (1973), or the mixed-motive theory set forth in </w:t>
      </w:r>
      <w:r w:rsidRPr="002F29BD">
        <w:rPr>
          <w:i/>
        </w:rPr>
        <w:t>Price Waterhouse v. Hopkins</w:t>
      </w:r>
      <w:r w:rsidRPr="002F29BD">
        <w:t xml:space="preserve">, 490 U.S. 228 (1989), under which a plaintiff may show that an employment decision was made based on both legitimate and illegitimate reasons.”). </w:t>
      </w:r>
      <w:r w:rsidRPr="002F29BD">
        <w:rPr>
          <w:i/>
        </w:rPr>
        <w:t xml:space="preserve">See also 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6AFDE15C"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r w:rsidRPr="002F29BD">
        <w:rPr>
          <w:i/>
        </w:rPr>
        <w:t>Starceski v. Westinghouse Elec. Corp.,</w:t>
      </w:r>
      <w:r w:rsidRPr="002F29BD">
        <w:t xml:space="preserve"> 54 F.3d 1089, 1097-98 (3d Cir.1995). </w:t>
      </w:r>
      <w:r w:rsidR="00834DE3">
        <w:rPr>
          <w:i/>
        </w:rPr>
        <w:t>See also 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Pr="002F29BD"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131FDF5C" w:rsidR="00A47413" w:rsidRPr="002F29BD" w:rsidRDefault="00A47413" w:rsidP="00F70088">
      <w:pPr>
        <w:widowControl w:val="0"/>
        <w:spacing w:after="240"/>
        <w:jc w:val="both"/>
      </w:pPr>
      <w:r w:rsidRPr="002F29BD">
        <w:lastRenderedPageBreak/>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 The Instruction accordingly contains a bracketed alternative for failure to renew an employment arrangement as an adverse employment action. </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r w:rsidRPr="002F29BD">
        <w:rPr>
          <w:i/>
        </w:rPr>
        <w:t xml:space="preserve">Makky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r w:rsidRPr="002F29BD">
        <w:rPr>
          <w:i/>
        </w:rPr>
        <w:t xml:space="preserve">Makky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r w:rsidRPr="002F29BD">
        <w:rPr>
          <w:i/>
        </w:rPr>
        <w:t>Makky</w:t>
      </w:r>
      <w:r w:rsidRPr="002F29BD">
        <w:t xml:space="preserve">. The examples given by the court are in the nature of licenses or certifications by an external body — in the vast majority of cases, the parties will not dispute whether the license or certification was issued. (In </w:t>
      </w:r>
      <w:r w:rsidRPr="002F29BD">
        <w:rPr>
          <w:i/>
        </w:rPr>
        <w:t xml:space="preserve">Makky, </w:t>
      </w:r>
      <w:r w:rsidRPr="002F29BD">
        <w:t>the requirement was that the employee have a security clearance, and he could not contest that his clearance was denied.) In the rare case in which the existence of an objective externally-imposed qualification raises a question of fact, 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lastRenderedPageBreak/>
        <w:t>Animus of Employee Who Was Not the Ultimate Decisionmaker</w:t>
      </w:r>
    </w:p>
    <w:p w14:paraId="71A71FAE" w14:textId="28A7BCDB" w:rsidR="00143162" w:rsidRPr="002F29BD" w:rsidRDefault="00A47413" w:rsidP="00F70088">
      <w:pPr>
        <w:widowControl w:val="0"/>
        <w:spacing w:after="240"/>
        <w:jc w:val="both"/>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p>
    <w:p w14:paraId="264CE439" w14:textId="77777777" w:rsidR="003313BC" w:rsidRPr="002F29BD" w:rsidRDefault="003313BC" w:rsidP="00F70088">
      <w:pPr>
        <w:widowControl w:val="0"/>
        <w:spacing w:after="240"/>
        <w:jc w:val="both"/>
        <w:sectPr w:rsidR="003313BC"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142F989E" w:rsidR="00A47413" w:rsidRPr="002F29BD" w:rsidRDefault="00A47413" w:rsidP="00F70088">
      <w:pPr>
        <w:widowControl w:val="0"/>
        <w:spacing w:after="240"/>
        <w:jc w:val="both"/>
      </w:pPr>
      <w:r w:rsidRPr="002F29BD">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0A5206DC"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79563B04" w:rsidR="00A47413" w:rsidRPr="002F29BD" w:rsidRDefault="00A47413" w:rsidP="00F70088">
      <w:pPr>
        <w:widowControl w:val="0"/>
        <w:spacing w:after="240"/>
        <w:jc w:val="both"/>
      </w:pPr>
      <w:r w:rsidRPr="002F29BD">
        <w:tab/>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 received in the case in deciding whether [defendant] intentionally discriminated against [plaintiff]].</w:t>
      </w:r>
    </w:p>
    <w:p w14:paraId="462DE61C" w14:textId="6C4872B4" w:rsidR="00A47413" w:rsidRPr="002F29BD" w:rsidRDefault="00A47413" w:rsidP="00F70088">
      <w:pPr>
        <w:widowControl w:val="0"/>
        <w:spacing w:after="240"/>
        <w:jc w:val="both"/>
      </w:pPr>
      <w:r w:rsidRPr="002F29BD">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06AE4EB" w14:textId="3C13EAB7" w:rsidR="00A47413" w:rsidRPr="002F29BD" w:rsidRDefault="00A47413" w:rsidP="00F70088">
      <w:pPr>
        <w:widowControl w:val="0"/>
        <w:spacing w:after="240"/>
        <w:jc w:val="both"/>
      </w:pPr>
      <w:r w:rsidRPr="002F29BD">
        <w:tab/>
        <w:t xml:space="preserve">Ultimately, you must decide whether [plaintiff] has proven that [his/her] [protected status] was a determinative factor in [defendant’s employment decision.] “Determinative factor” means that if not for [plaintiff 's]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3"/>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77777777" w:rsidR="00A47413" w:rsidRPr="002F29BD" w:rsidRDefault="00A47413" w:rsidP="00F70088">
      <w:pPr>
        <w:widowControl w:val="0"/>
        <w:spacing w:after="240"/>
        <w:jc w:val="both"/>
      </w:pPr>
      <w:r w:rsidRPr="002F29BD">
        <w:tab/>
        <w:t xml:space="preserve">In  </w:t>
      </w:r>
      <w:r w:rsidRPr="002F29BD">
        <w:rPr>
          <w:i/>
        </w:rPr>
        <w:t xml:space="preserve">Pivirotto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w:t>
      </w:r>
      <w:r w:rsidRPr="002F29BD">
        <w:lastRenderedPageBreak/>
        <w:t xml:space="preserve">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r w:rsidRPr="002F29BD">
        <w:rPr>
          <w:i/>
        </w:rPr>
        <w:t>Ryther</w:t>
      </w:r>
      <w:r w:rsidRPr="002F29BD">
        <w:t xml:space="preserve"> [</w:t>
      </w:r>
      <w:r w:rsidRPr="002F29BD">
        <w:rPr>
          <w:i/>
        </w:rPr>
        <w:t>v. KARE 11</w:t>
      </w:r>
      <w:r w:rsidRPr="002F29BD">
        <w:t>], 108 F.3d at 849 n.14 (Loken, J., for majority of en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r w:rsidR="00682CFD" w:rsidRPr="00682CFD">
        <w:rPr>
          <w:i/>
        </w:rPr>
        <w:t>LeBoon v. Lancaster Jewish Cmty. Ctr. Ass’n</w:t>
      </w:r>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rested with Atkinson to demonstrate that the reasons proffered were pretextual and that gender was a determinative factor in the decisions.”);  </w:t>
      </w:r>
      <w:r w:rsidRPr="002F29BD">
        <w:rPr>
          <w:i/>
        </w:rPr>
        <w:t xml:space="preserve">Hanes v. Columbia Gas of Pennsylvania Nisource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6F8B395C"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w:t>
      </w:r>
      <w:r w:rsidRPr="002F29BD">
        <w:lastRenderedPageBreak/>
        <w:t xml:space="preserve">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00CDBF85" w:rsidR="00CD2A7F" w:rsidRPr="002F29BD" w:rsidRDefault="00BD290F" w:rsidP="00F70088">
      <w:pPr>
        <w:spacing w:after="240"/>
        <w:jc w:val="both"/>
      </w:pPr>
      <w:r w:rsidRPr="002F29BD">
        <w:rPr>
          <w:i/>
        </w:rPr>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 (quoting </w:t>
      </w:r>
      <w:r w:rsidRPr="002F29BD">
        <w:rPr>
          <w:i/>
        </w:rPr>
        <w:t>Fuentes</w:t>
      </w:r>
      <w:r w:rsidRPr="002F29BD">
        <w:t>, 32 F.3d at 764).).</w:t>
      </w:r>
    </w:p>
    <w:p w14:paraId="3C9F548E" w14:textId="20D13501"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 xml:space="preserve">2006 WL 680871 at *4 (M.D.Pa.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 xml:space="preserve">207 F.3d 207, 214-15 &amp; n. 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1AAAB4D0" w:rsidR="00A47413" w:rsidRPr="002F29BD" w:rsidRDefault="00A47413" w:rsidP="00F70088">
      <w:pPr>
        <w:widowControl w:val="0"/>
        <w:spacing w:after="240"/>
        <w:jc w:val="both"/>
        <w:rPr>
          <w:i/>
        </w:rPr>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Pr="002F29BD">
        <w:t xml:space="preserve"> that "[b]arring </w:t>
      </w:r>
      <w:r w:rsidRPr="002F29BD">
        <w:rPr>
          <w:rStyle w:val="searchterm"/>
        </w:rPr>
        <w:t>discrimination</w:t>
      </w:r>
      <w:r w:rsidRPr="002F29BD">
        <w:t xml:space="preserve">, a company has </w:t>
      </w:r>
      <w:r w:rsidRPr="002F29BD">
        <w:lastRenderedPageBreak/>
        <w:t xml:space="preserve">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to certain positions." </w:t>
      </w:r>
      <w:bookmarkStart w:id="3" w:name="SR;16665"/>
      <w:bookmarkStart w:id="4" w:name="SR_16665"/>
      <w:bookmarkEnd w:id="3"/>
      <w:bookmarkEnd w:id="4"/>
      <w:r w:rsidRPr="002F29BD">
        <w:t xml:space="preserve"> The </w:t>
      </w:r>
      <w:r w:rsidRPr="002F29BD">
        <w:rPr>
          <w:i/>
        </w:rPr>
        <w:t>Billet</w:t>
      </w:r>
      <w:r w:rsidRPr="002F29BD">
        <w:t xml:space="preserve"> court noted that "[a]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 n. 6 (1st Cir.1979)</w:t>
      </w:r>
      <w:bookmarkStart w:id="15" w:name="SR;16757"/>
      <w:bookmarkStart w:id="16" w:name="SR_16757"/>
      <w:bookmarkEnd w:id="15"/>
      <w:bookmarkEnd w:id="16"/>
      <w:r w:rsidRPr="002F29BD">
        <w:t xml:space="preserve">, where the court stated that "[w]hile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Pr="002F29BD">
        <w:t>."</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3DCE05F2" w:rsidR="00A47413" w:rsidRPr="002F29BD"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 The Instruction accordingly contains a bracketed alternative for failure to renew an employment arrangement as an adverse employment action.</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tab/>
        <w:t xml:space="preserve">In </w:t>
      </w:r>
      <w:r w:rsidRPr="002F29BD">
        <w:rPr>
          <w:i/>
        </w:rPr>
        <w:t xml:space="preserve">Makky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r w:rsidRPr="002F29BD">
        <w:rPr>
          <w:i/>
        </w:rPr>
        <w:t>Makky</w:t>
      </w:r>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4"/>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take tangible employment action against [plaintiff].  [As you will recall, a tangible employment action is defined as a significant change in employment status, such as hiring, firing, failing to promote, reassignment with significantly different 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lastRenderedPageBreak/>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5"/>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See Burlington Industries, Inc. v. Ellerth</w:t>
      </w:r>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29 C.F.R. § 1604.11(a)(2).  In a case where the plaintiff rests the quid pro quo 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lastRenderedPageBreak/>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Burlington Industries, Inc. v. Ellerth</w:t>
      </w:r>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r w:rsidRPr="002F29BD">
        <w:rPr>
          <w:i/>
        </w:rPr>
        <w:t>Ellerth</w:t>
      </w:r>
      <w:r w:rsidRPr="002F29BD">
        <w:t>, 524 U.S. at 765.</w:t>
      </w:r>
    </w:p>
    <w:p w14:paraId="4CF33D3D" w14:textId="27B11338"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xml:space="preserve">, 522 F.3d 315, 320  (3d Cir. 2008) (holding that the failure to renew an employment arrangement, “whether at-will or for a limited period of time, is an employment action, and an employer violates Title VII if it takes an adverse employment action for a reason prohibited by Title VII”).  As discussed below, it is possible that a plaintiff might frame a case as a quid pro quo case even though it does not involve evidence of an adverse tangible employment action; in such instances, the </w:t>
      </w:r>
      <w:r w:rsidRPr="002F29BD">
        <w:rPr>
          <w:i/>
        </w:rPr>
        <w:t xml:space="preserve">Ellerth / 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3652348A"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r w:rsidRPr="002F29BD">
        <w:rPr>
          <w:i/>
        </w:rPr>
        <w:t>Ellerth</w:t>
      </w:r>
      <w:r w:rsidRPr="002F29BD">
        <w:t xml:space="preserve">, 524 U.S. at 754.  And on the question of </w:t>
      </w:r>
      <w:r w:rsidRPr="002F29BD">
        <w:lastRenderedPageBreak/>
        <w:t xml:space="preserve">employer liability, because such a claim involves no tangible employment action, the </w:t>
      </w:r>
      <w:r w:rsidRPr="002F29BD">
        <w:rPr>
          <w:i/>
        </w:rPr>
        <w:t xml:space="preserve">Ellerth / 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r w:rsidRPr="002F29BD">
        <w:rPr>
          <w:i/>
        </w:rPr>
        <w:t>Ellerth</w:t>
      </w:r>
      <w:r w:rsidRPr="002F29BD">
        <w:t xml:space="preserve"> a plaintiff in such a case would need to meet the hostile environment standard for proving discrimination.  What is less clear is whether the same is true for cases in which the plaintiff submits to the supervisor’s advances.  Neither </w:t>
      </w:r>
      <w:r w:rsidRPr="002F29BD">
        <w:rPr>
          <w:i/>
        </w:rPr>
        <w:t>Ellerth</w:t>
      </w:r>
      <w:r w:rsidRPr="002F29BD">
        <w:t xml:space="preserve"> nor </w:t>
      </w:r>
      <w:r w:rsidRPr="002F29BD">
        <w:rPr>
          <w:i/>
        </w:rPr>
        <w:t>Faragher</w:t>
      </w:r>
      <w:r w:rsidRPr="002F29BD">
        <w:t xml:space="preserve"> was such a case and those cases do not directly illuminate the question. </w:t>
      </w:r>
    </w:p>
    <w:p w14:paraId="4E8BF556" w14:textId="470BD947" w:rsidR="00A47413" w:rsidRPr="002F29BD" w:rsidRDefault="00A47413" w:rsidP="00F70088">
      <w:pPr>
        <w:widowControl w:val="0"/>
        <w:spacing w:after="240"/>
        <w:jc w:val="both"/>
      </w:pPr>
      <w:r w:rsidRPr="002F29BD">
        <w:tab/>
        <w:t xml:space="preserve">Similarly, on the question of employer liability </w:t>
      </w:r>
      <w:r w:rsidRPr="002F29BD">
        <w:rPr>
          <w:i/>
        </w:rPr>
        <w:t>Ellerth</w:t>
      </w:r>
      <w:r w:rsidRPr="002F29BD">
        <w:t xml:space="preserve"> and </w:t>
      </w:r>
      <w:r w:rsidRPr="002F29BD">
        <w:rPr>
          <w:i/>
        </w:rPr>
        <w:t>Faragher</w:t>
      </w:r>
      <w:r w:rsidRPr="002F29BD">
        <w:t xml:space="preserve"> do not directly address whether the </w:t>
      </w:r>
      <w:r w:rsidRPr="002F29BD">
        <w:rPr>
          <w:i/>
        </w:rPr>
        <w:t xml:space="preserve">Ellerth / Faragher </w:t>
      </w:r>
      <w:r w:rsidRPr="002F29BD">
        <w:t xml:space="preserve">affirmative defense would be available in such a case.  The 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r w:rsidRPr="002F29BD">
        <w:rPr>
          <w:i/>
        </w:rPr>
        <w:t>Jin</w:t>
      </w:r>
      <w:r w:rsidRPr="002F29BD">
        <w:t xml:space="preserve">’s reasoning with approval in </w:t>
      </w:r>
      <w:r w:rsidRPr="002F29BD">
        <w:rPr>
          <w:i/>
        </w:rPr>
        <w:t>Suders v. Easton</w:t>
      </w:r>
      <w:r w:rsidRPr="002F29BD">
        <w:t xml:space="preserve">, 325 F.3d </w:t>
      </w:r>
      <w:r w:rsidRPr="002F29BD">
        <w:lastRenderedPageBreak/>
        <w:t xml:space="preserve">432 (3d Cir. 2003), it is unclear whether this fact supports or undermines </w:t>
      </w:r>
      <w:r w:rsidRPr="002F29BD">
        <w:rPr>
          <w:i/>
        </w:rPr>
        <w:t>Jin</w:t>
      </w:r>
      <w:r w:rsidRPr="002F29BD">
        <w:t xml:space="preserve">’s persuasiveness in this circuit.  On the one hand, in </w:t>
      </w:r>
      <w:r w:rsidRPr="002F29BD">
        <w:rPr>
          <w:i/>
        </w:rPr>
        <w:t>Suders</w:t>
      </w:r>
      <w:r w:rsidRPr="002F29BD">
        <w:t xml:space="preserve"> the court of appeals endorsed </w:t>
      </w:r>
      <w:r w:rsidRPr="002F29BD">
        <w:rPr>
          <w:i/>
        </w:rPr>
        <w:t>Jin</w:t>
      </w:r>
      <w:r w:rsidRPr="002F29BD">
        <w:t xml:space="preserve">’s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r w:rsidRPr="002F29BD">
        <w:rPr>
          <w:i/>
        </w:rPr>
        <w:t>Ellerth</w:t>
      </w:r>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Pr="002F29BD"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r w:rsidRPr="002F29BD">
        <w:rPr>
          <w:i/>
        </w:rPr>
        <w:t>Ellerth</w:t>
      </w:r>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see Ellerth</w:t>
      </w:r>
      <w:r w:rsidRPr="002F29BD">
        <w:t xml:space="preserve">, 524 U.S. at 762 (stressing that tangible employment actions are usually documented, may be subject to review by the employer, and may require the employer’s approval); </w:t>
      </w:r>
      <w:r w:rsidRPr="002F29BD">
        <w:rPr>
          <w:i/>
        </w:rPr>
        <w:t>see also Lutkewitte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r w:rsidRPr="002F29BD">
        <w:rPr>
          <w:i/>
        </w:rPr>
        <w:t>Ellerth</w:t>
      </w:r>
      <w:r w:rsidRPr="002F29BD">
        <w:t xml:space="preserve">, 524 U.S. at 762). </w:t>
      </w:r>
    </w:p>
    <w:p w14:paraId="19D04691" w14:textId="1CFCABCB"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416219CE"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427CC0B7" w14:textId="77777777" w:rsidR="00A47413" w:rsidRPr="002F29BD" w:rsidRDefault="00A47413" w:rsidP="00F70088">
      <w:pPr>
        <w:widowControl w:val="0"/>
        <w:spacing w:after="240"/>
        <w:jc w:val="both"/>
        <w:rPr>
          <w:b/>
        </w:rPr>
      </w:pPr>
      <w:r w:rsidRPr="002F29BD">
        <w:rPr>
          <w:b/>
        </w:rPr>
        <w:t>[For use when the alleged harassment is by non-supervisory employees:</w:t>
      </w:r>
    </w:p>
    <w:p w14:paraId="46FA0439" w14:textId="77777777" w:rsidR="00A47413" w:rsidRPr="002F29BD" w:rsidRDefault="00A47413" w:rsidP="00F70088">
      <w:pPr>
        <w:widowControl w:val="0"/>
        <w:spacing w:after="240"/>
        <w:ind w:left="720"/>
        <w:jc w:val="both"/>
      </w:pPr>
      <w:r w:rsidRPr="002F29BD">
        <w:t>Seventh: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Pr="002F29BD" w:rsidRDefault="00A47413" w:rsidP="00F70088">
      <w:pPr>
        <w:widowControl w:val="0"/>
        <w:spacing w:after="240"/>
        <w:jc w:val="both"/>
      </w:pPr>
      <w:r w:rsidRPr="002F29BD">
        <w:lastRenderedPageBreak/>
        <w:tab/>
        <w:t>If the court wishes to provide a more detailed instruction on what constitutes a hostile work environment, such an instruction is provided in 5.2.1.</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6"/>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00E11DB"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Burlington Industries, Inc. v. Ellerth</w:t>
      </w:r>
      <w:r w:rsidRPr="002F29BD">
        <w:t xml:space="preserve">, 524 U.S. 742, 761 (1998).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07AD7F18"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t>Vance v. Ball State Univ.</w:t>
      </w:r>
      <w:r w:rsidR="009124AD" w:rsidRPr="002F29BD">
        <w:t xml:space="preserve">, 133 S. Ct. 2434, 2439 (2013).  </w:t>
      </w:r>
      <w:r w:rsidRPr="002F29BD">
        <w:t>Respondeat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7"/>
      </w:r>
      <w:r w:rsidRPr="002F29BD">
        <w:t xml:space="preserve">  </w:t>
      </w:r>
      <w:r w:rsidR="0002051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w:t>
      </w:r>
      <w:r w:rsidR="00020512" w:rsidRPr="002F29BD">
        <w:lastRenderedPageBreak/>
        <w:t>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See also Kunin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Andreoli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0DF51F8A" w14:textId="720397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0FC7B7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In </w:t>
      </w:r>
      <w:r w:rsidRPr="002F29BD">
        <w:rPr>
          <w:i/>
        </w:rPr>
        <w:t>Harris v. Forklift Sys., Inc</w:t>
      </w:r>
      <w:r w:rsidRPr="002F29BD">
        <w:t xml:space="preserve">., 510 U.S. 17 (1993), the Supreme Court clarified the elements of a discrimination claim resulting from a hostile work environment. In order to fall within the purview of Title VII, the conduct in question must be severe and pervasive enough to create an "objectively hostile or abusive work environment--an environment that a reasonable person would find hostile--and an environment the victim-employee subjectively perceives as abusive or hostile." In determining whether an environment is hostile or abusive, we must look at numerous factors, including "the frequency of the discriminatory conduct; its severity; whether it is physically threatening or humiliating, or a mere offensive utterance; whether it unreasonably interferes with an employee's work performance." </w:t>
      </w:r>
    </w:p>
    <w:p w14:paraId="7BDCE57E" w14:textId="18485C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Pr="002F29BD">
        <w:rPr>
          <w:i/>
        </w:rPr>
        <w:t>Jensen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26C9585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w:t>
      </w:r>
      <w:r w:rsidRPr="002F29BD">
        <w:lastRenderedPageBreak/>
        <w:t xml:space="preserve">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8"/>
      </w:r>
      <w:r w:rsidRPr="002F29BD">
        <w:t xml:space="preserve"> components. A hostile 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38B130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Pr="002F29BD">
        <w:tab/>
      </w:r>
      <w:r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260 F.3d 265, 277 n.5 (3d Cir. 2001)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Sixth: Management level employees knew, or should have known, of the abusive conduct. Management level employees should have known of the abusive conduct 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[Defendant] exercised reasonable care to prevent harassment in the workplace on the basis of [protected status], and also exercised reasonable care to promptly correct any </w:t>
      </w:r>
      <w:r w:rsidRPr="002F29BD">
        <w:lastRenderedPageBreak/>
        <w:t>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25FE0FF7" w14:textId="67F4F08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xml:space="preserve">, 524 U.S. 775, 808 (1998). In </w:t>
      </w:r>
      <w:r w:rsidRPr="002F29BD">
        <w:rPr>
          <w:i/>
        </w:rPr>
        <w:t>Faragher</w:t>
      </w:r>
      <w:r w:rsidRPr="002F29BD">
        <w:t xml:space="preserve"> and in </w:t>
      </w:r>
      <w:r w:rsidRPr="002F29BD">
        <w:rPr>
          <w:i/>
        </w:rPr>
        <w:t>Burlington Industries, Inc. v. Ellerth</w:t>
      </w:r>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r w:rsidRPr="002F29BD">
        <w:rPr>
          <w:i/>
        </w:rPr>
        <w:t xml:space="preserve">Ellerth,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Pr="002F29BD">
        <w:t xml:space="preserve">  </w:t>
      </w:r>
      <w:r w:rsidRPr="002F29BD">
        <w:rPr>
          <w:i/>
        </w:rPr>
        <w:t xml:space="preserve"> Ellerth</w:t>
      </w:r>
      <w:r w:rsidRPr="002F29BD">
        <w:t>, 524 U.S. at 751 (1998).</w:t>
      </w:r>
    </w:p>
    <w:p w14:paraId="1EB74987" w14:textId="5796E53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Besides the affirmative defense provided by </w:t>
      </w:r>
      <w:r w:rsidRPr="002F29BD">
        <w:rPr>
          <w:i/>
        </w:rPr>
        <w:t>Ellerth</w:t>
      </w:r>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w:t>
      </w:r>
      <w:r w:rsidR="001C3B3F" w:rsidRPr="002F29BD">
        <w:lastRenderedPageBreak/>
        <w:t xml:space="preserve">“[A]n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xml:space="preserve">, 133 S. Ct. 2434, 2439 (2013). </w:t>
      </w:r>
      <w:r w:rsidR="00AD33DD" w:rsidRPr="002F29BD">
        <w:t xml:space="preserve"> </w:t>
      </w:r>
      <w:r w:rsidRPr="002F29BD">
        <w:t xml:space="preserve">Respondeat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9"/>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r w:rsidRPr="002F29BD">
        <w:rPr>
          <w:i/>
        </w:rPr>
        <w:t>Kunin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 xml:space="preserve">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w:t>
      </w:r>
      <w:r w:rsidRPr="002F29BD">
        <w:lastRenderedPageBreak/>
        <w:t>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3B9D076E" w14:textId="592C78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1232EB25" w14:textId="65DA6E2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2" w:name="FN;F0033"/>
      <w:bookmarkStart w:id="33" w:name="HN;F5"/>
      <w:bookmarkStart w:id="34" w:name="HN;F6"/>
      <w:bookmarkEnd w:id="32"/>
      <w:bookmarkEnd w:id="33"/>
      <w:bookmarkEnd w:id="34"/>
      <w:r w:rsidRPr="002F29BD">
        <w:tab/>
        <w:t xml:space="preserve">In </w:t>
      </w:r>
      <w:r w:rsidRPr="002F29BD">
        <w:rPr>
          <w:i/>
        </w:rPr>
        <w:t>Harris v. Forklift Sys., Inc</w:t>
      </w:r>
      <w:r w:rsidRPr="002F29BD">
        <w:t>., 510 U.S. 17 (1993), the Supreme Court clarified the elements of a discrimination claim resulting from a hostile work environment. In order to fall within the purview of Title VII, the conduct in question must be severe and</w:t>
      </w:r>
      <w:r w:rsidR="00ED0F3B" w:rsidRPr="002F29BD">
        <w:t xml:space="preserve"> pervasive enough to create an “</w:t>
      </w:r>
      <w:r w:rsidRPr="002F29BD">
        <w:t>objectively hostile or abusive work environment</w:t>
      </w:r>
      <w:r w:rsidR="00ED0F3B" w:rsidRPr="002F29BD">
        <w:t xml:space="preserve"> – </w:t>
      </w:r>
      <w:r w:rsidRPr="002F29BD">
        <w:t>an environment that a reason</w:t>
      </w:r>
      <w:r w:rsidR="00ED0F3B" w:rsidRPr="002F29BD">
        <w:t xml:space="preserve">able person would find hostile – </w:t>
      </w:r>
      <w:r w:rsidRPr="002F29BD">
        <w:t>and an environment the victim-employee subjectively perceives as abusive or hostile.</w:t>
      </w:r>
      <w:r w:rsidR="00ED0F3B" w:rsidRPr="002F29BD">
        <w:t>”</w:t>
      </w:r>
      <w:r w:rsidRPr="002F29BD">
        <w:t xml:space="preserve"> In determining whether an environment is hostile or abusive, we must look at numerous factors, including </w:t>
      </w:r>
      <w:r w:rsidR="00ED0F3B" w:rsidRPr="002F29BD">
        <w:t>“</w:t>
      </w:r>
      <w:r w:rsidRPr="002F29BD">
        <w:t xml:space="preserve">the frequency of the discriminatory conduct; its severity; whether it is physically threatening or humiliating, or a mere offensive utterance; whether it unreasonably interferes with </w:t>
      </w:r>
      <w:r w:rsidR="00ED0F3B" w:rsidRPr="002F29BD">
        <w:t>an employee's work performance.”</w:t>
      </w:r>
      <w:r w:rsidRPr="002F29BD">
        <w:t xml:space="preserve">  The Supreme Court recently reaffirmed </w:t>
      </w:r>
      <w:r w:rsidRPr="002F29BD">
        <w:rPr>
          <w:i/>
        </w:rPr>
        <w:t>Harris</w:t>
      </w:r>
      <w:r w:rsidR="00ED0F3B" w:rsidRPr="002F29BD">
        <w:t>’</w:t>
      </w:r>
      <w:r w:rsidRPr="002F29BD">
        <w:rPr>
          <w:i/>
        </w:rPr>
        <w:t xml:space="preserve"> </w:t>
      </w:r>
      <w:r w:rsidR="00ED0F3B" w:rsidRPr="002F29BD">
        <w:t>“</w:t>
      </w:r>
      <w:r w:rsidRPr="002F29BD">
        <w:t xml:space="preserve">severe </w:t>
      </w:r>
      <w:bookmarkStart w:id="35" w:name="SDU_29"/>
      <w:bookmarkEnd w:id="35"/>
      <w:r w:rsidRPr="002F29BD">
        <w:t>and pervasive</w:t>
      </w:r>
      <w:r w:rsidR="00ED0F3B" w:rsidRPr="002F29BD">
        <w:t>”</w:t>
      </w:r>
      <w:r w:rsidRPr="002F29BD">
        <w:t xml:space="preserve"> test in </w:t>
      </w:r>
      <w:r w:rsidRPr="002F29BD">
        <w:rPr>
          <w:i/>
        </w:rPr>
        <w:t xml:space="preserve">Faragher v. City of Boca Raton, </w:t>
      </w:r>
      <w:r w:rsidRPr="002F29BD">
        <w:t>524 U.S. 775, 783 (1998), and</w:t>
      </w:r>
      <w:r w:rsidRPr="002F29BD">
        <w:rPr>
          <w:i/>
        </w:rPr>
        <w:t xml:space="preserve"> Burlington Indus., Inc. v. Ellerth</w:t>
      </w:r>
      <w:r w:rsidRPr="002F29BD">
        <w:t>, 524 U.S. 742, 753 (1998).</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 xml:space="preserve">523 U.S. 75,  80-81 (1998). “Many may suffer severe harassment at work, but if the </w:t>
      </w:r>
      <w:r w:rsidRPr="002F29BD">
        <w:lastRenderedPageBreak/>
        <w:t>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295C38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See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2F29BD">
        <w:rPr>
          <w:i/>
        </w:rPr>
        <w:t xml:space="preserve">Employment Discrimination Law and Practice </w:t>
      </w:r>
      <w:r w:rsidRPr="002F29BD">
        <w:t xml:space="preserve">455 (3d ed. 2002). </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r w:rsidRPr="002F29BD">
        <w:rPr>
          <w:i/>
        </w:rPr>
        <w:t xml:space="preserve">Ellerth </w:t>
      </w:r>
      <w:r w:rsidRPr="002F29BD">
        <w:t xml:space="preserve">and </w:t>
      </w:r>
      <w:r w:rsidRPr="002F29BD">
        <w:rPr>
          <w:i/>
        </w:rPr>
        <w:t>Faragher</w:t>
      </w:r>
      <w:r w:rsidRPr="002F29BD">
        <w:t xml:space="preserve">. The Court concluded that “an employer does not have recourse to the </w:t>
      </w:r>
      <w:r w:rsidRPr="002F29BD">
        <w:rPr>
          <w:i/>
        </w:rPr>
        <w:t xml:space="preserve">Ellerth/Faragher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Ellerth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r w:rsidRPr="002F29BD">
        <w:rPr>
          <w:i/>
        </w:rPr>
        <w:t>Ellerth</w:t>
      </w:r>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r w:rsidRPr="002F29BD">
        <w:rPr>
          <w:i/>
        </w:rPr>
        <w:t>Ellerth</w:t>
      </w:r>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r w:rsidRPr="002F29BD">
        <w:rPr>
          <w:i/>
        </w:rPr>
        <w:t>Ellerth</w:t>
      </w:r>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r w:rsidRPr="002F29BD">
        <w:rPr>
          <w:i/>
        </w:rPr>
        <w:t xml:space="preserve">Ellerth/Faragher </w:t>
      </w:r>
      <w:r w:rsidRPr="002F29BD">
        <w:t xml:space="preserve">affirmative defense, that it should not be held </w:t>
      </w:r>
      <w:r w:rsidRPr="002F29BD">
        <w:lastRenderedPageBreak/>
        <w:t>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r w:rsidRPr="002F29BD">
        <w:rPr>
          <w:i/>
        </w:rPr>
        <w:t>Ellerth</w:t>
      </w:r>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9"/>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r w:rsidRPr="002F29BD">
        <w:rPr>
          <w:i/>
        </w:rPr>
        <w:t>Meditz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r w:rsidRPr="002F29BD">
        <w:rPr>
          <w:i/>
        </w:rPr>
        <w:t>Dothard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24347F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U.S.C.A.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62D83B69"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U.S.C.A.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F.Supp.2d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impact theory, and not under a theory of intentional discrimination, if successful on her Title VII claim she would be entitled only to equitable relief. 42 U.S.C. §1981a(a)(1). She therefore is not </w:t>
      </w:r>
      <w:r w:rsidR="00A47413" w:rsidRPr="002F29BD">
        <w:lastRenderedPageBreak/>
        <w:t>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20"/>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10"/>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11"/>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w:t>
      </w:r>
      <w:r w:rsidRPr="002F29BD">
        <w:lastRenderedPageBreak/>
        <w:t xml:space="preserve">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72B1025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Title VII protects employees and former employees who attempt to exercise the rights guaranteed by the Act against retaliation by employers. 42 U.S.C.A. § 2000e-3(a) is the anti-retaliation provision of Title VII,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Activities protected from retaliation under Title VII include the following: 1) opposing any practice made unlawful by Title VII;</w:t>
      </w:r>
      <w:r w:rsidR="00B94344">
        <w:rPr>
          <w:rStyle w:val="FootnoteReference"/>
        </w:rPr>
        <w:footnoteReference w:id="12"/>
      </w:r>
      <w:r w:rsidRPr="002F29BD">
        <w:t xml:space="preserve"> 2) making a charge of employment discrimination;</w:t>
      </w:r>
      <w:r w:rsidR="00A4472F">
        <w:rPr>
          <w:rStyle w:val="FootnoteReference"/>
        </w:rPr>
        <w:footnoteReference w:id="13"/>
      </w:r>
      <w:r w:rsidRPr="002F29BD">
        <w:t xml:space="preserve"> 3) </w:t>
      </w:r>
      <w:r w:rsidRPr="002F29BD">
        <w:lastRenderedPageBreak/>
        <w:t xml:space="preserve">testifying, assisting or participating in any manner in an investigation, proceeding or hearing under Title VII. </w:t>
      </w:r>
      <w:r w:rsidRPr="001E308A">
        <w:rPr>
          <w:i/>
        </w:rPr>
        <w:t>Id.</w:t>
      </w:r>
      <w:r w:rsidR="00530E5D">
        <w:t xml:space="preserve"> </w:t>
      </w:r>
    </w:p>
    <w:p w14:paraId="2B275FC8" w14:textId="5281FE45" w:rsidR="00530E5D" w:rsidRDefault="0091367D" w:rsidP="00913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14"/>
      </w:r>
      <w:r w:rsidRPr="0091367D">
        <w:t xml:space="preserve"> In </w:t>
      </w:r>
      <w:r w:rsidRPr="0091367D">
        <w:rPr>
          <w:i/>
        </w:rPr>
        <w:t>Crawford v. Metropolitan Gov’t of Nashville and Davidson Cty., Tennessee</w:t>
      </w:r>
      <w:r w:rsidRPr="0091367D">
        <w:t xml:space="preserve">, 555 U.S. 271, 277 (2009), the Court held that the antiretaliation 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See also Kachmar v. SunG</w:t>
      </w:r>
      <w:r w:rsidRPr="0091367D">
        <w:rPr>
          <w:i/>
        </w:rPr>
        <w:t>ard Data Sys., Inc.</w:t>
      </w:r>
      <w:r w:rsidRPr="0091367D">
        <w:t>, 109 F.3d 173, 177 (3d Cir. 1997) (advocating salary increases for women employees, to compensate them equally with males, was protected activity).</w:t>
      </w:r>
    </w:p>
    <w:p w14:paraId="5B3968A0" w14:textId="2CBBCE2C" w:rsidR="00A47413" w:rsidRPr="002F29BD" w:rsidRDefault="008652B4"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“[A] </w:t>
      </w:r>
      <w:r w:rsidR="00A47413" w:rsidRPr="002F29BD">
        <w:t>plaintiff need not prove the merits of the underlying discrimination complaint</w:t>
      </w:r>
      <w:r w:rsidRPr="002F29BD">
        <w:t xml:space="preserve">, but only that ‘he was acting under a good faith, reasonable belief that a violation existed.’”  </w:t>
      </w:r>
      <w:r w:rsidRPr="002F29BD">
        <w:rPr>
          <w:i/>
          <w:iCs/>
        </w:rPr>
        <w:t xml:space="preserve">Aman v. </w:t>
      </w:r>
      <w:r w:rsidR="00A47413" w:rsidRPr="002F29BD">
        <w:rPr>
          <w:i/>
        </w:rPr>
        <w:t>Cort Furniture Rental Corp.</w:t>
      </w:r>
      <w:r w:rsidR="00A47413" w:rsidRPr="002F29BD">
        <w:t xml:space="preserve">, 85 F.3d 1074, 1085 (3d Cir. </w:t>
      </w:r>
      <w:r w:rsidRPr="002F29BD">
        <w:t xml:space="preserve">1996) (quoting </w:t>
      </w:r>
      <w:r w:rsidRPr="002F29BD">
        <w:rPr>
          <w:i/>
        </w:rPr>
        <w:t>Griffiths v. CIGNA Corp.</w:t>
      </w:r>
      <w:r w:rsidRPr="002F29BD">
        <w:t xml:space="preserve">, 988 F.2d 457, 468 (3d Cir. 1993) (quoting </w:t>
      </w:r>
      <w:r w:rsidRPr="002F29BD">
        <w:rPr>
          <w:i/>
        </w:rPr>
        <w:t>Sumner v. United States Postal Service</w:t>
      </w:r>
      <w:r w:rsidRPr="002F29BD">
        <w:t xml:space="preserve">, 899 F.2d 203, 209 (2d Cir. 1990)), </w:t>
      </w:r>
      <w:r w:rsidRPr="002F29BD">
        <w:rPr>
          <w:i/>
        </w:rPr>
        <w:t>overruled on other grounds by Miller v. CIGNA Corp</w:t>
      </w:r>
      <w:r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w:t>
      </w:r>
      <w:r w:rsidR="00FA06CA" w:rsidRPr="00FA06CA">
        <w:lastRenderedPageBreak/>
        <w:t xml:space="preserve">test applies to actions under the “participation” clause of Section 2000e-3(a) – i.e., the clause that refers to a person who “has made a charge, testified, assisted, or participated in any manner in an investigation, proceeding, or hearing under this subchapter,” 42 U.S.C. § 2000e-3(a).  After noting authorities stating that “the ‘participation clause’ … offers much broader protection to Title VII employees than does the ‘opposition clause,’” the Court of Appeals in </w:t>
      </w:r>
      <w:r w:rsidR="00FA06CA" w:rsidRPr="00020B81">
        <w:rPr>
          <w:i/>
        </w:rPr>
        <w:t>Slagle v. County of Clarion</w:t>
      </w:r>
      <w:r w:rsidR="00FA06CA" w:rsidRPr="00FA06CA">
        <w:t xml:space="preserve">, 435 F.3d 262 (3d Cir. 2006), stated that for filing a charge to constitute protected activity, “[a]ll that is required is that plaintiff allege in the charge that his or her employer violated Title VII by discriminating against him or her on the basis of race, color, religion, sex, or national origin, in any manner.”  </w:t>
      </w:r>
      <w:r w:rsidR="00FA06CA" w:rsidRPr="00020B81">
        <w:rPr>
          <w:i/>
        </w:rPr>
        <w:t>Slagle</w:t>
      </w:r>
      <w:r w:rsidR="00FA06CA" w:rsidRPr="00FA06CA">
        <w:t xml:space="preserve">, 435 F.3d at 266, 268.  (The plaintiff in </w:t>
      </w:r>
      <w:r w:rsidR="00FA06CA" w:rsidRPr="00020B81">
        <w:rPr>
          <w:i/>
        </w:rPr>
        <w:t>Slagle</w:t>
      </w:r>
      <w:r w:rsidR="00FA06CA" w:rsidRPr="00FA06CA">
        <w:t xml:space="preserve"> failed to surmount even this “low bar.”  </w:t>
      </w:r>
      <w:r w:rsidR="00FA06CA" w:rsidRPr="00020B81">
        <w:rPr>
          <w:i/>
        </w:rPr>
        <w:t>Id</w:t>
      </w:r>
      <w:r w:rsidR="00FA06CA"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00FA06CA" w:rsidRPr="00020B81">
        <w:rPr>
          <w:i/>
        </w:rPr>
        <w:t>Moore v. City of Philadelphia</w:t>
      </w:r>
      <w:r w:rsidR="00FA06CA" w:rsidRPr="00FA06CA">
        <w:t xml:space="preserve">, 461 F.3d 331, 341 (3d Cir. 2006).  (The facts of </w:t>
      </w:r>
      <w:r w:rsidR="00FA06CA" w:rsidRPr="00020B81">
        <w:rPr>
          <w:i/>
        </w:rPr>
        <w:t>Moore</w:t>
      </w:r>
      <w:r w:rsidR="00FA06CA" w:rsidRPr="00FA06CA">
        <w:t xml:space="preserve"> featured adverse actions both pre-dating and post-dating the filing of the EEOC charge, </w:t>
      </w:r>
      <w:r w:rsidR="00FA06CA" w:rsidRPr="00020B81">
        <w:rPr>
          <w:i/>
        </w:rPr>
        <w:t>see id</w:t>
      </w:r>
      <w:r w:rsidR="00FA06CA"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527904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15"/>
      </w:r>
      <w:r w:rsidRPr="002F29BD">
        <w:t xml:space="preserve"> The Court elaborated </w:t>
      </w:r>
      <w:r w:rsidRPr="002F29BD">
        <w:lastRenderedPageBreak/>
        <w:t>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v.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063677B9" w14:textId="7234C9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xml:space="preserve">, [Pennsylvania State Police v. ] </w:t>
      </w:r>
      <w:r w:rsidRPr="002F29BD">
        <w:rPr>
          <w:i/>
        </w:rPr>
        <w:t>Suders,</w:t>
      </w:r>
      <w:r w:rsidRPr="002F29BD">
        <w:t xml:space="preserve"> 542 U.S., at 141, 124 S. Ct. 2342, 159 L. Ed. 2d 204 (constructive discharge doctrine); </w:t>
      </w:r>
      <w:r w:rsidRPr="002F29BD">
        <w:rPr>
          <w:i/>
        </w:rPr>
        <w:t>Harris</w:t>
      </w:r>
      <w:r w:rsidRPr="002F29BD">
        <w:t xml:space="preserve"> v.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Finally, we note that . . . the standard is tied to the challenged retaliatory act, not the underlying conduct that forms the basis of the Title VII complaint. By focusing on the </w:t>
      </w:r>
      <w:r w:rsidRPr="002F29BD">
        <w:lastRenderedPageBreak/>
        <w:t>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099FFAA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Id. at 352 (aggressive enforcement of sick-check policy “well might have dissuaded a reasonable worker from making or supporting a charge of discrimination.”).</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0117CA1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opposed any practice made an unlawful employment practice by this subchapter, or because he has made a charge, testified, assisted, or participated in any manner in </w:t>
      </w:r>
      <w:r w:rsidRPr="002F29BD">
        <w:lastRenderedPageBreak/>
        <w:t>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pari materia </w:t>
      </w:r>
      <w:r w:rsidRPr="002F29BD">
        <w:t xml:space="preserve">to mean the same thing.  </w:t>
      </w:r>
    </w:p>
    <w:p w14:paraId="284577D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the retaliation provision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v.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2F29BD">
        <w:t xml:space="preserve">v.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2F29BD">
        <w:t xml:space="preserve">v. </w:t>
      </w:r>
      <w:r w:rsidRPr="002F29BD">
        <w:rPr>
          <w:i/>
        </w:rPr>
        <w:t>Stevinson Chevrolet</w:t>
      </w:r>
      <w:r w:rsidRPr="002F29BD">
        <w:t xml:space="preserve">, 74 F.3d 980, 984, 986 (CA10 1996) (finding actionable retaliation where employer filed false criminal charges against former employee who complained about discrimination). A  provision limited to employment-related actions 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v.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0F84E83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Title VII. For example, a white employee who complains about discrimination against black employees, and is subject to retaliation for those complaints, is protected by the Title VII anti-retaliation provision. </w:t>
      </w:r>
      <w:r w:rsidRPr="002F29BD">
        <w:rPr>
          <w:i/>
        </w:rPr>
        <w:t xml:space="preserve">See Moore v. City of Philadelphia, 461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0881FE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131 S. Ct. 863, 868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 xml:space="preserve">See id.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0DC980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Title VII, the third-party victim of the retaliation must show that he or she “falls within the zone of interests protected by Title VII.”  </w:t>
      </w:r>
      <w:r w:rsidRPr="002F29BD">
        <w:rPr>
          <w:i/>
        </w:rPr>
        <w:t>Id.</w:t>
      </w:r>
      <w:r w:rsidRPr="002F29BD">
        <w:t xml:space="preserve"> at 870.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w:t>
      </w:r>
      <w:r w:rsidRPr="002F29BD">
        <w:lastRenderedPageBreak/>
        <w:t>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r w:rsidRPr="002F29BD">
        <w:rPr>
          <w:i/>
        </w:rPr>
        <w:t xml:space="preserve">Marra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that.a plaintiff may rely on a "broad array of evidence" to demonstrate a causal link between his protected activity and the adverse action taken against him. </w:t>
      </w:r>
      <w:r w:rsidRPr="002F29BD">
        <w:rPr>
          <w:i/>
        </w:rPr>
        <w:t>Farrell</w:t>
      </w:r>
      <w:r w:rsidRPr="002F29BD">
        <w:t xml:space="preserve"> [v. Planters Lifesavers Co.,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Jalil v. Avdel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r w:rsidRPr="002F29BD">
        <w:rPr>
          <w:i/>
        </w:rPr>
        <w:t xml:space="preserve">Kachmar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[v. Scott Paper Co.,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noted that the time period relevant to causation is that between the date of the employee’s protected activity and the date on which the employer made the decision to take adverse action. In </w:t>
      </w:r>
      <w:r w:rsidRPr="002F29BD">
        <w:rPr>
          <w:i/>
        </w:rPr>
        <w:t>Marra</w:t>
      </w:r>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5E05B0B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 xml:space="preserve">Marra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w:t>
      </w:r>
      <w:r w:rsidRPr="002F29BD">
        <w:lastRenderedPageBreak/>
        <w:t xml:space="preserve">permits such an inference when considered collectively.” 497 F.3d at 303.  </w:t>
      </w:r>
      <w:r w:rsidRPr="002F29BD">
        <w:tab/>
      </w:r>
    </w:p>
    <w:p w14:paraId="478EE85E" w14:textId="16B957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r w:rsidR="00682CFD" w:rsidRPr="00682CFD">
        <w:rPr>
          <w:i/>
        </w:rPr>
        <w:t>LeBoon v. Lancaster Jewish Cmty. Ctr. Ass’n</w:t>
      </w:r>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 </w:t>
      </w:r>
    </w:p>
    <w:p w14:paraId="5075299A" w14:textId="643C599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  If the court wishes to modify Instruction 5.1.7 in this manner, it could adapt the penultimate paragraph of Instruction 5.1.2 by substituting references to retaliation for references to discrimination:</w:t>
      </w:r>
    </w:p>
    <w:p w14:paraId="39C9E66B" w14:textId="7B6D19D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 determining whether [defendant's] stated reason for its actions was a pretext, or excuse, for retaliation, you may not question [defendant's] business judgment. You cannot find retaliation simply because you disagree with the business judgment of [defendant] or believe it is harsh or unreasonable. You are not to consider [defendant's] wisdom. However, you may consider whether [defendant's]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1E96D28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w:t>
      </w:r>
      <w:r w:rsidRPr="002F29BD">
        <w:lastRenderedPageBreak/>
        <w:t xml:space="preserve">U.S.C. § 2000e-2(m) (which also refers to discrimination as a motivating factor), though it noted the similarity between Section 2000e-2(m)’s language and that of the USERRA.  Unlike Title VII discrimination claims under 42 U.S.C. § 2000e-2(m), Title VII retaliation claims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xml:space="preserve">, ... the variation was harmless”).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1B9BC6E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Fogleman v. Mercy Hospital, Inc.</w:t>
      </w:r>
      <w:r w:rsidRPr="002F29BD">
        <w:t xml:space="preserve">, 283 F.3d 561, 562 (3d Cir. 2002), an ADA case, the court declared  that the retaliation provision in Title VII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For the fairly unusual case in which the employer is alleged to have retaliated for perceived rather than actual protected activity, the instruction can be modified consistently with the court’s directive in </w:t>
      </w:r>
      <w:r w:rsidRPr="002F29BD">
        <w:rPr>
          <w:i/>
        </w:rPr>
        <w:t>Fogleman.</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8FD07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xml:space="preserve">, 133 S.Ct.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p>
    <w:p w14:paraId="6D69E0FC"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that the harassment complained of is linked to the victim's [protected status]. The key question is whether [plaintiff], as a [member of protected class], was subjected to harsh employment </w:t>
      </w:r>
      <w:r w:rsidRPr="002F29BD">
        <w:lastRenderedPageBreak/>
        <w:t>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672977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Bonenberger v. Plymouth Twp</w:t>
      </w:r>
      <w:r w:rsidRPr="002F29BD">
        <w:t xml:space="preserve">., 132 F.3d 20, 25 (3d Cir. 1997), the Third Circuit set forth the following requirements for proving a hostile work environment claim in a sex discrimination case under Title VII: </w:t>
      </w:r>
    </w:p>
    <w:p w14:paraId="3CCA41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the employee suffered intentional discrimination because of [his or her] sex; (2) the discrimination was pervasive and regular; (3) the discrimination detrimentally affected the plaintiff; (4) the discrimination would detrimentally affect a reasonable person of the same sex in that position; and (5) the existence of respondeat superior liability.</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435 F.3d 444, 449 (3d Cir. 2006) (“Many may suffer severe harassment at work, but if the reason for that harassment is one that is not prescribed by Title VII, it follows that Title VII provides no relief.”)</w:t>
      </w:r>
    </w:p>
    <w:p w14:paraId="0E07E336" w14:textId="56EF5A6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p>
    <w:p w14:paraId="30124B7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5F23411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either Instruction 5.1.3 (with respect to the instruction’s fourth element) or Instruction 5.1.4 (with respect to the instruction’s sixth element).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r w:rsidRPr="002F29BD">
        <w:rPr>
          <w:i/>
        </w:rPr>
        <w:t xml:space="preserve">Ellerth / 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r w:rsidRPr="002F29BD">
        <w:rPr>
          <w:i/>
        </w:rPr>
        <w:t xml:space="preserve">Ellerth/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150D9BD6" w14:textId="5924EB0D"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Suders</w:t>
      </w:r>
      <w:r w:rsidRPr="002F29BD">
        <w:t xml:space="preserve">, the Court explained that “[u]nder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AD33DD" w:rsidRPr="002F29BD">
        <w:t>.</w:t>
      </w:r>
    </w:p>
    <w:p w14:paraId="478765F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23FE30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U.S.C.A.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medically documented, from jobs involving actual or potential lead exposure exceeding OSHA </w:t>
      </w:r>
      <w:r w:rsidRPr="002F29BD">
        <w:lastRenderedPageBreak/>
        <w:t xml:space="preserve">standards); </w:t>
      </w:r>
      <w:r w:rsidRPr="002F29BD">
        <w:rPr>
          <w:i/>
        </w:rPr>
        <w:t>Dothard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074273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U.S.C.A. § 2000e-2(e)(1). There is no BFOQ defense in racial discrimination cases. 42 U.S.C.A. § 2000e-2(e)(1). </w:t>
      </w:r>
      <w:r w:rsidRPr="002F29BD">
        <w:rPr>
          <w:i/>
        </w:rPr>
        <w:t>See</w:t>
      </w:r>
      <w:r w:rsidRPr="002F29BD">
        <w:t xml:space="preserve"> </w:t>
      </w:r>
      <w:r w:rsidRPr="002F29BD">
        <w:rPr>
          <w:i/>
        </w:rPr>
        <w:t>Ferrill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6" w:name="SR;4173"/>
      <w:bookmarkStart w:id="37" w:name="SR_4173"/>
      <w:bookmarkEnd w:id="36"/>
      <w:bookmarkEnd w:id="37"/>
      <w:r w:rsidRPr="002F29BD">
        <w:t xml:space="preserve">, overt gender-based discrimination can be countenanced if sex "is a </w:t>
      </w:r>
      <w:r w:rsidRPr="002F29BD">
        <w:rPr>
          <w:rStyle w:val="searchterm"/>
        </w:rPr>
        <w:t>bona fide occupational qualification</w:t>
      </w:r>
      <w:bookmarkStart w:id="38" w:name="SR;4188"/>
      <w:bookmarkStart w:id="39" w:name="SR_4188"/>
      <w:bookmarkEnd w:id="38"/>
      <w:bookmarkEnd w:id="39"/>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40" w:name="SR;4211"/>
      <w:bookmarkStart w:id="41" w:name="SR_4211"/>
      <w:bookmarkEnd w:id="40"/>
      <w:bookmarkEnd w:id="41"/>
      <w:r w:rsidRPr="002F29BD">
        <w:t xml:space="preserve">. The Supreme Court has interpreted this provision to mean that discrimination is permissible only if those aspects of a job that allegedly require discrimination fall within the " 'essence' of the particular </w:t>
      </w:r>
      <w:bookmarkStart w:id="42" w:name="SDU_31"/>
      <w:bookmarkEnd w:id="42"/>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Dothard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43" w:name="HN;F13"/>
      <w:bookmarkStart w:id="44" w:name="HN_F13"/>
      <w:bookmarkEnd w:id="43"/>
      <w:bookmarkEnd w:id="44"/>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r w:rsidRPr="002F29BD">
        <w:rPr>
          <w:i/>
        </w:rPr>
        <w:t>Dothard</w:t>
      </w:r>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5" w:name="SDU_32"/>
      <w:bookmarkEnd w:id="45"/>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28672AF1"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See also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6" w:name="SDU_77"/>
      <w:bookmarkEnd w:id="46"/>
      <w:r w:rsidRPr="002F29BD">
        <w:rPr>
          <w:rStyle w:val="bestsection"/>
        </w:rPr>
        <w:t xml:space="preserve">job </w:t>
      </w:r>
      <w:r w:rsidRPr="002F29BD">
        <w:rPr>
          <w:rStyle w:val="searchterm"/>
        </w:rPr>
        <w:t>qualifications</w:t>
      </w:r>
      <w:bookmarkStart w:id="47" w:name="SR;16176"/>
      <w:bookmarkStart w:id="48" w:name="SR_16176"/>
      <w:bookmarkEnd w:id="47"/>
      <w:bookmarkEnd w:id="48"/>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16"/>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 instruct you that in awarding compensatory damages, you are not to award damages for </w:t>
      </w:r>
      <w:r w:rsidRPr="002F29BD">
        <w:lastRenderedPageBreak/>
        <w:t>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5AC3333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Title VII   distinguishes between disparate treatment and disparate impact discrimination and allows recovery of compensatory damages only to those who suffered intentional discrimination. 42 U.S.C.A.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 xml:space="preserve">The Civil Rights Act of 1991 (42 U.S.C. § 1981a) provides for compensatory damages and </w:t>
      </w:r>
      <w:r w:rsidRPr="002F29BD">
        <w:lastRenderedPageBreak/>
        <w:t>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See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Pr="002F29BD">
        <w:rPr>
          <w:vertAlign w:val="superscript"/>
        </w:rPr>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w:t>
      </w:r>
      <w:r w:rsidRPr="002F29BD">
        <w:lastRenderedPageBreak/>
        <w:t xml:space="preserve">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Gunby v. Pennsylvania Elec. Co.</w:t>
      </w:r>
      <w:r w:rsidRPr="002F29BD">
        <w:t xml:space="preserve">, 840 F.2d 1108, 1121-22 (3d Cir. 1988), the Court held </w:t>
      </w:r>
      <w:r w:rsidRPr="002F29BD">
        <w:lastRenderedPageBreak/>
        <w:t>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punitive damages in deciding the amount of punitive damages to award.  That is, in deciding the amount of punitive damages, you should consider the degree to which [defendant] should be </w:t>
      </w:r>
      <w:r w:rsidRPr="002F29BD">
        <w:lastRenderedPageBreak/>
        <w:t>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24F928F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U.S.C.A.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266D85C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 xml:space="preserve">See </w:t>
      </w:r>
      <w:r w:rsidRPr="002F29BD">
        <w:rPr>
          <w:i/>
        </w:rPr>
        <w:lastRenderedPageBreak/>
        <w:t>Medcalf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r w:rsidRPr="002F29BD">
        <w:rPr>
          <w:i/>
        </w:rPr>
        <w:t>Bruso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r w:rsidRPr="002F29BD">
        <w:rPr>
          <w:i/>
        </w:rPr>
        <w:t>Passantino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See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2F29BD">
        <w:t xml:space="preserve"> In this case, [plaintiff] claims that [defendant] intentionally discriminated against [plaintiff] in </w:t>
      </w:r>
      <w:r w:rsidRPr="002F29BD">
        <w:lastRenderedPageBreak/>
        <w:t>[describe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w:t>
      </w:r>
      <w:r w:rsidRPr="002F29BD">
        <w:lastRenderedPageBreak/>
        <w:t xml:space="preserve">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See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r w:rsidRPr="002F29BD">
        <w:rPr>
          <w:i/>
        </w:rPr>
        <w:t>Donlin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7305BE" w:rsidRPr="002F29BD">
        <w:t xml:space="preserve"> </w:t>
      </w:r>
      <w:r w:rsidRPr="002F29BD">
        <w:t>Civ.</w:t>
      </w:r>
      <w:r w:rsidR="007305BE" w:rsidRPr="002F29BD">
        <w:t xml:space="preserve"> </w:t>
      </w:r>
      <w:r w:rsidRPr="002F29BD">
        <w:t>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Gunby v. Pennsylvania Elec. Co.</w:t>
      </w:r>
      <w:r w:rsidRPr="002F29BD">
        <w:t xml:space="preserve">, 840 F.2d 1108, 1119-20 (3d Cir. 1988).  For a discussion of the limits on use of lay witness testimony to establish back pay and front pay calculations, see </w:t>
      </w:r>
      <w:r w:rsidRPr="002F29BD">
        <w:rPr>
          <w:i/>
        </w:rPr>
        <w:t>Donlin</w:t>
      </w:r>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r w:rsidRPr="002F29BD">
        <w:rPr>
          <w:i/>
        </w:rPr>
        <w:t>Bereda v. Pickering Creek Indus. Park, Inc.</w:t>
      </w:r>
      <w:r w:rsidRPr="002F29BD">
        <w:t xml:space="preserve">, 865 F.2d 49, 54 (3d Cir. 1989).  The </w:t>
      </w:r>
      <w:r w:rsidRPr="002F29BD">
        <w:rPr>
          <w:i/>
        </w:rPr>
        <w:t>Bereda</w:t>
      </w:r>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(B) In addition to any relief authorized by section 1981a of this title, liability may accrue and an aggrieved person may obtain relief as provided in subsection (g)(1), including recovery of back pay for up to two years preceding the filing of </w:t>
      </w:r>
      <w:r w:rsidRPr="002F29BD">
        <w:lastRenderedPageBreak/>
        <w:t>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17"/>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18"/>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9" w:name="SDU_19"/>
      <w:bookmarkEnd w:id="49"/>
      <w:r w:rsidRPr="002F29BD">
        <w:rPr>
          <w:rStyle w:val="bestsection"/>
        </w:rPr>
        <w:t xml:space="preserve">deducted from a </w:t>
      </w:r>
      <w:r w:rsidRPr="002F29BD">
        <w:rPr>
          <w:rStyle w:val="searchterm"/>
        </w:rPr>
        <w:t>Title VII back pay</w:t>
      </w:r>
      <w:bookmarkStart w:id="50" w:name="SR;3861"/>
      <w:bookmarkStart w:id="51" w:name="SR_3861"/>
      <w:bookmarkEnd w:id="50"/>
      <w:bookmarkEnd w:id="51"/>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w:t>
      </w:r>
      <w:r w:rsidRPr="002F29BD">
        <w:lastRenderedPageBreak/>
        <w:t xml:space="preserve">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The reasonableness of a Title VII claimant's diligence should be evaluated in light of the individual characteristics of the claimant and the job market. See Tubari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r w:rsidRPr="002F29BD">
        <w:rPr>
          <w:i/>
        </w:rPr>
        <w:t>Donlin</w:t>
      </w:r>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paying job did not constitute a failure to mitigate because additional cost of commuting would 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r w:rsidRPr="002F29BD">
        <w:rPr>
          <w:i/>
        </w:rPr>
        <w:t>McKennon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 xml:space="preserve">after-acquired evidence may be used to limit the remedies available to a plaintiff where the employer can first establish that the wrongdoing was of such severity that the employee in fact would have </w:t>
      </w:r>
      <w:r w:rsidRPr="002F29BD">
        <w:lastRenderedPageBreak/>
        <w:t>been terminated on those grounds alone if the employer had known of it at the time of the discharge</w:t>
      </w:r>
      <w:r w:rsidRPr="002F29BD">
        <w:rPr>
          <w:rStyle w:val="WPHyperlink"/>
          <w:color w:val="auto"/>
          <w:u w:val="none"/>
        </w:rPr>
        <w:t>.”).</w:t>
      </w:r>
      <w:r w:rsidRPr="002F29BD">
        <w:t xml:space="preserve">  Both </w:t>
      </w:r>
      <w:r w:rsidRPr="002F29BD">
        <w:rPr>
          <w:i/>
        </w:rPr>
        <w:t>McKennon</w:t>
      </w:r>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8"/>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[Add the following instruction if defendant claims </w:t>
      </w:r>
      <w:r w:rsidRPr="002F29BD">
        <w:rPr>
          <w:rStyle w:val="WPHyperlink"/>
          <w:b/>
          <w:color w:val="auto"/>
          <w:u w:val="none"/>
        </w:rPr>
        <w:t>“</w:t>
      </w:r>
      <w:r w:rsidRPr="002F29BD">
        <w:t>after-acquired evidence</w:t>
      </w:r>
      <w:r w:rsidRPr="002F29BD">
        <w:rPr>
          <w:rStyle w:val="WPHyperlink"/>
          <w:b/>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1B29359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See Pollard v. E. I. du Pont de Nemours &amp; Co., 532 U.S. 843 (2001) (holding that front pay under Title VII is not an element of compensatory damages). In Pollard the Court reasoned that the Civil Rights Act of 1991 expanded the remedies available in Title VII actions to include legal remedies and provided </w:t>
      </w:r>
      <w:r w:rsidRPr="002F29BD">
        <w:lastRenderedPageBreak/>
        <w:t xml:space="preserve">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See also Donlin v. Philips Lighting North America Corp.,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especially given the fact that in most cases the plaintiff will be seeking compensatory damages and the jury will be sitting anyway. See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Front pay is considered a remedy that substitutes for reinstatement, and is awarded when reinstatement is not viable under the circumstances. See Berndt v. Kaiser Aluminum &amp; Chemical Sales, Inc.,</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52" w:name="SR;6439"/>
      <w:bookmarkStart w:id="53" w:name="SR_6439"/>
      <w:bookmarkEnd w:id="52"/>
      <w:bookmarkEnd w:id="53"/>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r w:rsidRPr="002F29BD">
        <w:rPr>
          <w:i/>
        </w:rPr>
        <w:t>Donlin</w:t>
      </w:r>
      <w:r w:rsidRPr="002F29BD">
        <w:t>, 581 F.3d at 87.</w:t>
      </w:r>
    </w:p>
    <w:p w14:paraId="1851799E" w14:textId="1703F5C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See, e.g., </w:t>
      </w:r>
      <w:r w:rsidRPr="002F29BD">
        <w:rPr>
          <w:i/>
        </w:rPr>
        <w:t>Kaczkowski v. Bolubasz</w:t>
      </w:r>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9"/>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A.L.R.Fed.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2F29BD">
        <w:rPr>
          <w:i/>
        </w:rPr>
        <w:t>Pryer v. C.O. 3 Slavic</w:t>
      </w:r>
      <w:r w:rsidRPr="002F29BD">
        <w:t>,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Id.</w:t>
      </w:r>
      <w:r w:rsidRPr="002F29BD">
        <w:rPr>
          <w:i/>
        </w:rPr>
        <w:t xml:space="preserve"> </w:t>
      </w:r>
      <w:r w:rsidRPr="002F29BD">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63F1FF08" w14:textId="77777777"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See </w:t>
      </w:r>
      <w:r w:rsidRPr="002F29BD">
        <w:rPr>
          <w:i/>
        </w:rPr>
        <w:t>Mayberry v. Robinson,</w:t>
      </w:r>
      <w:r w:rsidRPr="002F29BD">
        <w:t xml:space="preserve"> 427 F.Supp. 297, 314 (M.D.Pa.1977)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4" w:name="SR;10437"/>
      <w:bookmarkStart w:id="55" w:name="SR_10437"/>
      <w:bookmarkEnd w:id="54"/>
      <w:bookmarkEnd w:id="55"/>
      <w:r w:rsidRPr="002F29BD">
        <w:t>).</w:t>
      </w:r>
    </w:p>
    <w:sectPr w:rsidR="00A47413" w:rsidRPr="003313BC" w:rsidSect="00F30832">
      <w:headerReference w:type="default" r:id="rId30"/>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E95C" w14:textId="77777777" w:rsidR="00587504" w:rsidRDefault="00587504">
      <w:r>
        <w:separator/>
      </w:r>
    </w:p>
  </w:endnote>
  <w:endnote w:type="continuationSeparator" w:id="0">
    <w:p w14:paraId="4AC77C24" w14:textId="77777777" w:rsidR="00587504" w:rsidRDefault="0058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3DB3"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EA63" w14:textId="6FEAE63C" w:rsidR="003313BC" w:rsidRPr="003313BC" w:rsidRDefault="003313BC">
    <w:pPr>
      <w:pStyle w:val="Footer"/>
      <w:jc w:val="center"/>
      <w:rPr>
        <w:rFonts w:ascii="Century Schoolbook" w:hAnsi="Century Schoolbook"/>
      </w:rPr>
    </w:pPr>
    <w:r w:rsidRPr="003313BC">
      <w:rPr>
        <w:rFonts w:ascii="Century Schoolbook" w:hAnsi="Century Schoolbook"/>
      </w:rPr>
      <w:fldChar w:fldCharType="begin"/>
    </w:r>
    <w:r w:rsidRPr="003313BC">
      <w:rPr>
        <w:rFonts w:ascii="Century Schoolbook" w:hAnsi="Century Schoolbook"/>
      </w:rPr>
      <w:instrText xml:space="preserve"> PAGE   \* MERGEFORMAT </w:instrText>
    </w:r>
    <w:r w:rsidRPr="003313BC">
      <w:rPr>
        <w:rFonts w:ascii="Century Schoolbook" w:hAnsi="Century Schoolbook"/>
      </w:rPr>
      <w:fldChar w:fldCharType="separate"/>
    </w:r>
    <w:r w:rsidR="002D7693">
      <w:rPr>
        <w:rFonts w:ascii="Century Schoolbook" w:hAnsi="Century Schoolbook"/>
        <w:noProof/>
      </w:rPr>
      <w:t>4</w:t>
    </w:r>
    <w:r w:rsidRPr="003313BC">
      <w:rPr>
        <w:rFonts w:ascii="Century Schoolbook" w:hAnsi="Century Schoolbook"/>
        <w:noProof/>
      </w:rPr>
      <w:fldChar w:fldCharType="end"/>
    </w:r>
  </w:p>
  <w:p w14:paraId="0289BB40" w14:textId="558BCDAF" w:rsidR="003313BC" w:rsidRPr="003313BC" w:rsidRDefault="003313BC" w:rsidP="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3313BC">
      <w:rPr>
        <w:rFonts w:ascii="Century Schoolbook" w:hAnsi="Century Schoolbook"/>
        <w:i/>
      </w:rPr>
      <w:t xml:space="preserve">Last updated </w:t>
    </w:r>
    <w:r w:rsidR="00193A3D">
      <w:rPr>
        <w:rFonts w:ascii="Century Schoolbook" w:hAnsi="Century Schoolbook"/>
        <w:i/>
      </w:rPr>
      <w:t>July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23D7" w14:textId="77777777" w:rsidR="002D7693" w:rsidRDefault="002D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F65C" w14:textId="77777777" w:rsidR="00587504" w:rsidRDefault="00587504">
      <w:r>
        <w:separator/>
      </w:r>
    </w:p>
  </w:footnote>
  <w:footnote w:type="continuationSeparator" w:id="0">
    <w:p w14:paraId="2F37DAC0" w14:textId="77777777" w:rsidR="00587504" w:rsidRDefault="00587504">
      <w:r>
        <w:continuationSeparator/>
      </w:r>
    </w:p>
  </w:footnote>
  <w:footnote w:id="1">
    <w:p w14:paraId="55D1CF5D" w14:textId="5999C2D9"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0020129A" w:rsidRPr="0020129A">
        <w:t>622 F.3d 266</w:t>
      </w:r>
      <w:r w:rsidR="0020129A">
        <w:t>, 273</w:t>
      </w:r>
      <w:r>
        <w:t xml:space="preserve"> (3d Cir. 2010) (holding that Section 2000e-5(e)(3)(A) “does not apply to failure-to-promote claims”).</w:t>
      </w:r>
    </w:p>
  </w:footnote>
  <w:footnote w:id="2">
    <w:p w14:paraId="289C2468" w14:textId="77777777" w:rsidR="003313BC" w:rsidRDefault="003313BC"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3">
    <w:p w14:paraId="1EA2F440" w14:textId="2D000DAD" w:rsidR="007A3628" w:rsidRDefault="007A3628">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4">
    <w:p w14:paraId="6D0D0D7B" w14:textId="4964F151"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5">
    <w:p w14:paraId="28CB1AB3"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6">
    <w:p w14:paraId="12CC17FA" w14:textId="77777777"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7">
    <w:p w14:paraId="3AC08838" w14:textId="2C47F9FF" w:rsidR="003313BC" w:rsidRDefault="003313BC"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8">
    <w:p w14:paraId="5D7E9BE6" w14:textId="77777777" w:rsidR="003313BC" w:rsidRDefault="003313BC"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9">
    <w:p w14:paraId="0736A13E" w14:textId="00AE7CA1"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“[E]mployer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footnote>
  <w:footnote w:id="10">
    <w:p w14:paraId="55D47348" w14:textId="38F21918"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11">
    <w:p w14:paraId="14635924" w14:textId="77777777" w:rsidR="003313BC" w:rsidRPr="00F40499" w:rsidRDefault="003313BC"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12">
    <w:p w14:paraId="33CCEF88" w14:textId="0449A856" w:rsidR="00B94344" w:rsidRDefault="00B94344">
      <w:pPr>
        <w:pStyle w:val="FootnoteText"/>
      </w:pPr>
      <w:r>
        <w:rPr>
          <w:rStyle w:val="FootnoteReference"/>
        </w:rPr>
        <w:footnoteRef/>
      </w:r>
      <w:r>
        <w:t xml:space="preserve"> </w:t>
      </w:r>
      <w:r w:rsidRPr="00B94344">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“[R]efusing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footnote>
  <w:footnote w:id="13">
    <w:p w14:paraId="2A057539" w14:textId="37EF1BA5" w:rsidR="00A4472F" w:rsidRDefault="00A4472F">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14">
    <w:p w14:paraId="7DD488AF" w14:textId="011C4282" w:rsidR="007434BA" w:rsidRDefault="007434BA" w:rsidP="007434BA">
      <w:pPr>
        <w:pStyle w:val="FootnoteText"/>
      </w:pPr>
      <w:r>
        <w:rPr>
          <w:rStyle w:val="FootnoteReference"/>
        </w:rPr>
        <w:footnoteRef/>
      </w:r>
      <w:r>
        <w:t xml:space="preserve"> In </w:t>
      </w:r>
      <w:r w:rsidRPr="007434BA">
        <w:rPr>
          <w:i/>
        </w:rPr>
        <w:t>Curay-Cramer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w:t>
      </w:r>
      <w:r w:rsidR="001057A9">
        <w:t xml:space="preserve">the employer and the practice – </w:t>
      </w:r>
      <w:r>
        <w:t xml:space="preserve">if not specifically, at least by context.” In </w:t>
      </w:r>
      <w:r w:rsidRPr="007434BA">
        <w:rPr>
          <w:i/>
        </w:rPr>
        <w:t>Curay-Cramer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7434BA" w:rsidRDefault="007434BA" w:rsidP="007434BA">
      <w:pPr>
        <w:pStyle w:val="FootnoteText"/>
      </w:pPr>
      <w:r>
        <w:t xml:space="preserve">The </w:t>
      </w:r>
      <w:r w:rsidRPr="007434BA">
        <w:rPr>
          <w:i/>
        </w:rPr>
        <w:t>Curay-Cramer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15">
    <w:p w14:paraId="07B8032F" w14:textId="57BDD58D" w:rsidR="001B1153" w:rsidRDefault="001B1153">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Title VII’s anti-retaliation provision.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6">
    <w:p w14:paraId="10B75DB8" w14:textId="69002C7C"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17">
    <w:p w14:paraId="5643C883" w14:textId="5441EC5D"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18">
    <w:p w14:paraId="0170253B" w14:textId="7CA18BEE" w:rsidR="003313BC" w:rsidRDefault="003313BC"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w:t>
      </w:r>
    </w:p>
    <w:p w14:paraId="46510187"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be unnecessary: Because the charge filing periods (180 or 300 days) are shorter than two</w:t>
      </w:r>
    </w:p>
    <w:p w14:paraId="2CB4819F"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years, a timely charge will fall less than two years after the unlawful practice.  The bracketed</w:t>
      </w:r>
    </w:p>
    <w:p w14:paraId="23DD6D15" w14:textId="7FEC2F9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language is provided for use in cases where that is not true – for instance, where the plaintiff’s</w:t>
      </w:r>
    </w:p>
    <w:p w14:paraId="00AE7A93" w14:textId="77777777" w:rsidR="003313BC" w:rsidRDefault="003313BC"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charge was untimely but the defendant waived its timeliness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18DE"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0A6" w14:textId="77222771"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1D0D8E" w:rsidRPr="003313BC" w:rsidRDefault="001D0D8E" w:rsidP="003313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091E" w14:textId="2233C2D3"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1D0D8E" w:rsidRPr="003313BC" w:rsidRDefault="001D0D8E" w:rsidP="003313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8949" w14:textId="156F32A4"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1D0D8E" w:rsidRPr="003313BC" w:rsidRDefault="001D0D8E" w:rsidP="003313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E244" w14:textId="3D1953A4"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1D0D8E" w:rsidRPr="003313BC" w:rsidRDefault="001D0D8E" w:rsidP="003313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D12E" w14:textId="65999415"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1D0D8E" w:rsidRPr="003313BC" w:rsidRDefault="001D0D8E" w:rsidP="003313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72A6" w14:textId="2B7A34AD" w:rsidR="001D0D8E" w:rsidRPr="003313BC" w:rsidRDefault="001D0D8E"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1D0D8E" w:rsidRPr="003313BC" w:rsidRDefault="001D0D8E" w:rsidP="003313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DC2F" w14:textId="56728E89"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1D0D8E" w:rsidRPr="003313BC" w:rsidRDefault="001D0D8E" w:rsidP="003313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F758" w14:textId="686E8FE7" w:rsidR="00850837" w:rsidRPr="003313BC" w:rsidRDefault="00850837"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850837" w:rsidRPr="003313BC" w:rsidRDefault="00850837" w:rsidP="003313B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AB28" w14:textId="45BDBA29"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E6359F" w:rsidRPr="003313BC" w:rsidRDefault="00E6359F" w:rsidP="003313B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D197" w14:textId="167EE3AE"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E6359F" w:rsidRPr="003313BC" w:rsidRDefault="00E6359F" w:rsidP="0033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081" w14:textId="77777777" w:rsidR="003313BC" w:rsidRDefault="003313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81413" w14:textId="3BEB1D9F" w:rsidR="00E6359F" w:rsidRPr="003313BC" w:rsidRDefault="00E6359F"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E6359F" w:rsidRPr="003313BC" w:rsidRDefault="00E6359F" w:rsidP="0033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C86A" w14:textId="77777777" w:rsidR="002D7693" w:rsidRDefault="002D76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76CE" w14:textId="5A76B74F"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5.0   Title VII Introductory Instruction</w:t>
    </w:r>
  </w:p>
  <w:p w14:paraId="74ED7BE2" w14:textId="23C19CCF" w:rsidR="003313BC" w:rsidRPr="003313BC" w:rsidRDefault="003313BC" w:rsidP="003313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7A2F" w14:textId="7152A75A"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sidR="004A3CCF">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3313BC" w:rsidRPr="003313BC" w:rsidRDefault="003313BC" w:rsidP="003313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E159" w14:textId="77777777"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3313BC" w:rsidRPr="003313BC" w:rsidRDefault="003313BC" w:rsidP="003313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FA3A" w14:textId="32D313ED" w:rsidR="003313BC" w:rsidRPr="003313BC" w:rsidRDefault="003313BC" w:rsidP="003313BC">
    <w:pPr>
      <w:pStyle w:val="Header"/>
      <w:tabs>
        <w:tab w:val="left" w:pos="3300"/>
      </w:tabs>
      <w:jc w:val="right"/>
      <w:rPr>
        <w:rFonts w:ascii="Century Schoolbook" w:hAnsi="Century Schoolbook"/>
        <w:b/>
      </w:rPr>
    </w:pPr>
    <w:r>
      <w:rPr>
        <w:rFonts w:ascii="Century Schoolbook" w:hAnsi="Century Schoolbook"/>
        <w:b/>
      </w:rPr>
      <w:tab/>
    </w: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3313BC" w:rsidRPr="003313BC" w:rsidRDefault="003313BC" w:rsidP="003313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7582" w14:textId="14FE2243"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1D0D8E" w:rsidRPr="003313BC" w:rsidRDefault="001D0D8E" w:rsidP="003313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9C67" w14:textId="6B548701" w:rsidR="001D0D8E" w:rsidRPr="003313BC" w:rsidRDefault="001D0D8E" w:rsidP="003313BC">
    <w:pPr>
      <w:pStyle w:val="Header"/>
      <w:tabs>
        <w:tab w:val="left" w:pos="3300"/>
      </w:tabs>
      <w:jc w:val="right"/>
      <w:rPr>
        <w:rFonts w:ascii="Century Schoolbook" w:hAnsi="Century Schoolbook"/>
        <w:b/>
      </w:rPr>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1D0D8E" w:rsidRPr="003313BC" w:rsidRDefault="001D0D8E" w:rsidP="0033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62"/>
    <w:rsid w:val="000124F6"/>
    <w:rsid w:val="00020512"/>
    <w:rsid w:val="00020B81"/>
    <w:rsid w:val="00063D88"/>
    <w:rsid w:val="000D0D40"/>
    <w:rsid w:val="000E5F43"/>
    <w:rsid w:val="000F1466"/>
    <w:rsid w:val="001057A9"/>
    <w:rsid w:val="001070F0"/>
    <w:rsid w:val="0011644C"/>
    <w:rsid w:val="00143162"/>
    <w:rsid w:val="00173B97"/>
    <w:rsid w:val="00177E7E"/>
    <w:rsid w:val="00193A3D"/>
    <w:rsid w:val="001B1153"/>
    <w:rsid w:val="001C3B3F"/>
    <w:rsid w:val="001D0D8E"/>
    <w:rsid w:val="001D300B"/>
    <w:rsid w:val="001E308A"/>
    <w:rsid w:val="0020129A"/>
    <w:rsid w:val="00217056"/>
    <w:rsid w:val="00227251"/>
    <w:rsid w:val="00264719"/>
    <w:rsid w:val="002862B6"/>
    <w:rsid w:val="002905D1"/>
    <w:rsid w:val="002A4FC8"/>
    <w:rsid w:val="002B6595"/>
    <w:rsid w:val="002D7693"/>
    <w:rsid w:val="002F29BD"/>
    <w:rsid w:val="00300279"/>
    <w:rsid w:val="00311CCE"/>
    <w:rsid w:val="00317C07"/>
    <w:rsid w:val="003313BC"/>
    <w:rsid w:val="003375D3"/>
    <w:rsid w:val="00385D7E"/>
    <w:rsid w:val="003A085B"/>
    <w:rsid w:val="003A0AF5"/>
    <w:rsid w:val="003C48BC"/>
    <w:rsid w:val="003D006B"/>
    <w:rsid w:val="003E07F8"/>
    <w:rsid w:val="003F2913"/>
    <w:rsid w:val="00413F1E"/>
    <w:rsid w:val="00421408"/>
    <w:rsid w:val="00447A73"/>
    <w:rsid w:val="004953C6"/>
    <w:rsid w:val="004A053B"/>
    <w:rsid w:val="004A3CCF"/>
    <w:rsid w:val="004E1BDF"/>
    <w:rsid w:val="004F0FDE"/>
    <w:rsid w:val="005004B0"/>
    <w:rsid w:val="00506406"/>
    <w:rsid w:val="0051263A"/>
    <w:rsid w:val="005132C3"/>
    <w:rsid w:val="00530E5D"/>
    <w:rsid w:val="0055466F"/>
    <w:rsid w:val="00587504"/>
    <w:rsid w:val="00590E09"/>
    <w:rsid w:val="005927BA"/>
    <w:rsid w:val="005C11C4"/>
    <w:rsid w:val="005E0212"/>
    <w:rsid w:val="005E60C1"/>
    <w:rsid w:val="00603878"/>
    <w:rsid w:val="00616798"/>
    <w:rsid w:val="006449C8"/>
    <w:rsid w:val="00682CFD"/>
    <w:rsid w:val="00684613"/>
    <w:rsid w:val="006C6AB6"/>
    <w:rsid w:val="006D5E21"/>
    <w:rsid w:val="007305BE"/>
    <w:rsid w:val="007434BA"/>
    <w:rsid w:val="007654DE"/>
    <w:rsid w:val="00765BD2"/>
    <w:rsid w:val="007A3628"/>
    <w:rsid w:val="007B127F"/>
    <w:rsid w:val="007C6D78"/>
    <w:rsid w:val="007E45F8"/>
    <w:rsid w:val="007E4840"/>
    <w:rsid w:val="007E6C6D"/>
    <w:rsid w:val="00834DE3"/>
    <w:rsid w:val="00841822"/>
    <w:rsid w:val="00846DD4"/>
    <w:rsid w:val="00850837"/>
    <w:rsid w:val="00855B45"/>
    <w:rsid w:val="008652B4"/>
    <w:rsid w:val="0087489D"/>
    <w:rsid w:val="00880BCD"/>
    <w:rsid w:val="00890ECE"/>
    <w:rsid w:val="008E0A5F"/>
    <w:rsid w:val="009124AD"/>
    <w:rsid w:val="0091367D"/>
    <w:rsid w:val="0092033B"/>
    <w:rsid w:val="009218B1"/>
    <w:rsid w:val="0093158B"/>
    <w:rsid w:val="00962820"/>
    <w:rsid w:val="00977A92"/>
    <w:rsid w:val="009847AD"/>
    <w:rsid w:val="009A4D68"/>
    <w:rsid w:val="009C1BD4"/>
    <w:rsid w:val="009D6EE4"/>
    <w:rsid w:val="009E47A1"/>
    <w:rsid w:val="00A04F69"/>
    <w:rsid w:val="00A2106B"/>
    <w:rsid w:val="00A4472F"/>
    <w:rsid w:val="00A47413"/>
    <w:rsid w:val="00A6382F"/>
    <w:rsid w:val="00A95CE4"/>
    <w:rsid w:val="00A96D26"/>
    <w:rsid w:val="00AD33DD"/>
    <w:rsid w:val="00B04DD4"/>
    <w:rsid w:val="00B43CC6"/>
    <w:rsid w:val="00B61894"/>
    <w:rsid w:val="00B65303"/>
    <w:rsid w:val="00B94344"/>
    <w:rsid w:val="00BA1D9B"/>
    <w:rsid w:val="00BB0621"/>
    <w:rsid w:val="00BB5411"/>
    <w:rsid w:val="00BD290F"/>
    <w:rsid w:val="00BE7032"/>
    <w:rsid w:val="00BF1DE0"/>
    <w:rsid w:val="00BF42E9"/>
    <w:rsid w:val="00BF7DE7"/>
    <w:rsid w:val="00C1091C"/>
    <w:rsid w:val="00C34334"/>
    <w:rsid w:val="00C359FF"/>
    <w:rsid w:val="00C67966"/>
    <w:rsid w:val="00C67B0D"/>
    <w:rsid w:val="00C779A0"/>
    <w:rsid w:val="00C8127F"/>
    <w:rsid w:val="00C8187B"/>
    <w:rsid w:val="00C82612"/>
    <w:rsid w:val="00C90D4C"/>
    <w:rsid w:val="00CA61B0"/>
    <w:rsid w:val="00CB104B"/>
    <w:rsid w:val="00CC4613"/>
    <w:rsid w:val="00CD2A7F"/>
    <w:rsid w:val="00CD6E58"/>
    <w:rsid w:val="00CE36F2"/>
    <w:rsid w:val="00D0607A"/>
    <w:rsid w:val="00D15197"/>
    <w:rsid w:val="00D20BBF"/>
    <w:rsid w:val="00D26081"/>
    <w:rsid w:val="00D76890"/>
    <w:rsid w:val="00D829D4"/>
    <w:rsid w:val="00DB6BA8"/>
    <w:rsid w:val="00DD2D8C"/>
    <w:rsid w:val="00DD5815"/>
    <w:rsid w:val="00DF0DD2"/>
    <w:rsid w:val="00E03A31"/>
    <w:rsid w:val="00E05195"/>
    <w:rsid w:val="00E34855"/>
    <w:rsid w:val="00E52B89"/>
    <w:rsid w:val="00E6359F"/>
    <w:rsid w:val="00E65F73"/>
    <w:rsid w:val="00E753E5"/>
    <w:rsid w:val="00E815D1"/>
    <w:rsid w:val="00E8443B"/>
    <w:rsid w:val="00E97232"/>
    <w:rsid w:val="00EB0C06"/>
    <w:rsid w:val="00EB24C6"/>
    <w:rsid w:val="00EB4FAF"/>
    <w:rsid w:val="00ED0F3B"/>
    <w:rsid w:val="00EE5A40"/>
    <w:rsid w:val="00EF2981"/>
    <w:rsid w:val="00EF63FE"/>
    <w:rsid w:val="00F22384"/>
    <w:rsid w:val="00F30832"/>
    <w:rsid w:val="00F3277F"/>
    <w:rsid w:val="00F40499"/>
    <w:rsid w:val="00F66E91"/>
    <w:rsid w:val="00F70088"/>
    <w:rsid w:val="00FA06CA"/>
    <w:rsid w:val="00FB1574"/>
    <w:rsid w:val="00FB3406"/>
    <w:rsid w:val="00FE74C0"/>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uiPriority w:val="99"/>
    <w:semiHidden/>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uiPriority w:val="99"/>
    <w:semiHidden/>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DFFC-1CB5-498A-B3BD-D23932E1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30937</Words>
  <Characters>168679</Characters>
  <Application>Microsoft Office Word</Application>
  <DocSecurity>0</DocSecurity>
  <Lines>1405</Lines>
  <Paragraphs>398</Paragraphs>
  <ScaleCrop>false</ScaleCrop>
  <Company/>
  <LinksUpToDate>false</LinksUpToDate>
  <CharactersWithSpaces>199218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2016-03-08T14:42:00Z</dcterms:created>
  <dcterms:modified xsi:type="dcterms:W3CDTF">2016-03-08T14:42:00Z</dcterms:modified>
</cp:coreProperties>
</file>