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D" w:rsidRDefault="00A610BD">
      <w:pPr>
        <w:tabs>
          <w:tab w:val="center" w:pos="4680"/>
        </w:tabs>
        <w:jc w:val="both"/>
      </w:pPr>
      <w:r>
        <w:tab/>
      </w:r>
      <w:r>
        <w:rPr>
          <w:b/>
          <w:bCs/>
          <w:sz w:val="28"/>
          <w:szCs w:val="28"/>
        </w:rPr>
        <w:t xml:space="preserve">Instructions for Civil Rights Claims Under Section 1983 </w:t>
      </w:r>
    </w:p>
    <w:p w:rsidR="00A610BD" w:rsidRDefault="00A610BD">
      <w:pPr>
        <w:jc w:val="both"/>
      </w:pPr>
    </w:p>
    <w:p w:rsidR="00A610BD" w:rsidRDefault="00A610BD">
      <w:pPr>
        <w:jc w:val="both"/>
        <w:rPr>
          <w:b/>
          <w:bCs/>
          <w:sz w:val="28"/>
          <w:szCs w:val="28"/>
        </w:rPr>
      </w:pPr>
    </w:p>
    <w:p w:rsidR="00A610BD" w:rsidRDefault="00A610BD">
      <w:pPr>
        <w:tabs>
          <w:tab w:val="center" w:pos="4680"/>
        </w:tabs>
        <w:jc w:val="both"/>
      </w:pPr>
      <w:r>
        <w:rPr>
          <w:b/>
          <w:bCs/>
          <w:sz w:val="28"/>
          <w:szCs w:val="28"/>
        </w:rPr>
        <w:tab/>
        <w:t>Numbering of Section 1983 Instructions</w:t>
      </w:r>
    </w:p>
    <w:p w:rsidR="00A610BD" w:rsidRDefault="00A610BD">
      <w:pPr>
        <w:jc w:val="both"/>
      </w:pPr>
    </w:p>
    <w:p w:rsidR="00A610BD" w:rsidRDefault="00A610BD">
      <w:pPr>
        <w:tabs>
          <w:tab w:val="left" w:pos="-1440"/>
        </w:tabs>
        <w:ind w:left="720" w:hanging="720"/>
        <w:jc w:val="both"/>
      </w:pPr>
      <w:r>
        <w:t>4.1</w:t>
      </w:r>
      <w:r>
        <w:tab/>
        <w:t>Section 1983 Introductory Instruction</w:t>
      </w:r>
      <w:r w:rsidR="00640B5E">
        <w:t xml:space="preserve"> </w:t>
      </w:r>
    </w:p>
    <w:p w:rsidR="00A610BD" w:rsidRDefault="00A610BD">
      <w:pPr>
        <w:jc w:val="both"/>
      </w:pPr>
    </w:p>
    <w:p w:rsidR="00A610BD" w:rsidRDefault="00A610BD">
      <w:pPr>
        <w:tabs>
          <w:tab w:val="left" w:pos="-1440"/>
        </w:tabs>
        <w:ind w:left="720" w:hanging="720"/>
        <w:jc w:val="both"/>
      </w:pPr>
      <w:r>
        <w:t>4.2</w:t>
      </w:r>
      <w:r>
        <w:tab/>
        <w:t>Section 1983</w:t>
      </w:r>
      <w:r w:rsidR="00640B5E">
        <w:t xml:space="preserve"> – </w:t>
      </w:r>
      <w:r>
        <w:t>Burden of Proof</w:t>
      </w:r>
    </w:p>
    <w:p w:rsidR="00A610BD" w:rsidRDefault="00A610BD">
      <w:pPr>
        <w:jc w:val="both"/>
      </w:pPr>
    </w:p>
    <w:p w:rsidR="00A610BD" w:rsidRDefault="00A610BD">
      <w:pPr>
        <w:tabs>
          <w:tab w:val="left" w:pos="-1440"/>
        </w:tabs>
        <w:ind w:left="720" w:hanging="720"/>
        <w:jc w:val="both"/>
      </w:pPr>
      <w:r>
        <w:t>4.3</w:t>
      </w:r>
      <w:r>
        <w:tab/>
        <w:t>Section 1983</w:t>
      </w:r>
      <w:r w:rsidR="00640B5E">
        <w:t xml:space="preserve"> – </w:t>
      </w:r>
      <w:r>
        <w:t>Elements of Claim</w:t>
      </w:r>
    </w:p>
    <w:p w:rsidR="00A610BD" w:rsidRDefault="00A610BD">
      <w:pPr>
        <w:jc w:val="both"/>
      </w:pPr>
    </w:p>
    <w:p w:rsidR="00A610BD" w:rsidRDefault="00A610BD">
      <w:pPr>
        <w:tabs>
          <w:tab w:val="left" w:pos="-1440"/>
        </w:tabs>
        <w:ind w:left="720" w:hanging="720"/>
        <w:jc w:val="both"/>
      </w:pPr>
      <w:r>
        <w:t>4.4</w:t>
      </w:r>
      <w:r>
        <w:tab/>
        <w:t>Section 1983</w:t>
      </w:r>
      <w:r w:rsidR="00640B5E">
        <w:t xml:space="preserve"> – </w:t>
      </w:r>
      <w:r>
        <w:t>Action under Color of State Law</w:t>
      </w:r>
    </w:p>
    <w:p w:rsidR="00A610BD" w:rsidRDefault="00A610BD">
      <w:pPr>
        <w:jc w:val="both"/>
      </w:pPr>
    </w:p>
    <w:p w:rsidR="00A610BD" w:rsidRDefault="00A610BD">
      <w:pPr>
        <w:tabs>
          <w:tab w:val="left" w:pos="-1440"/>
        </w:tabs>
        <w:ind w:left="1440" w:hanging="720"/>
        <w:jc w:val="both"/>
      </w:pPr>
      <w:r>
        <w:t>4.4.1</w:t>
      </w:r>
      <w:r>
        <w:tab/>
        <w:t>Section 1983</w:t>
      </w:r>
      <w:r w:rsidR="00640B5E">
        <w:t xml:space="preserve"> – </w:t>
      </w:r>
      <w:r>
        <w:t>Action under Color of State Law Is Not in Dispute</w:t>
      </w:r>
    </w:p>
    <w:p w:rsidR="00A610BD" w:rsidRDefault="00A610BD">
      <w:pPr>
        <w:jc w:val="both"/>
      </w:pPr>
    </w:p>
    <w:p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rsidR="00A610BD" w:rsidRDefault="00A610BD">
      <w:pPr>
        <w:jc w:val="both"/>
      </w:pPr>
    </w:p>
    <w:p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rsidR="00A610BD" w:rsidRDefault="00A610BD">
      <w:pPr>
        <w:jc w:val="both"/>
      </w:pPr>
    </w:p>
    <w:p w:rsidR="00A610BD" w:rsidRDefault="00A610BD">
      <w:pPr>
        <w:tabs>
          <w:tab w:val="left" w:pos="-1440"/>
        </w:tabs>
        <w:ind w:left="720" w:hanging="720"/>
        <w:jc w:val="both"/>
      </w:pPr>
      <w:r>
        <w:t>4.5</w:t>
      </w:r>
      <w:r>
        <w:tab/>
        <w:t>Section 1983</w:t>
      </w:r>
      <w:r w:rsidR="00640B5E">
        <w:t xml:space="preserve"> – </w:t>
      </w:r>
      <w:r>
        <w:t>Deprivation of a Federal Right</w:t>
      </w:r>
    </w:p>
    <w:p w:rsidR="00A610BD" w:rsidRDefault="00A610BD">
      <w:pPr>
        <w:jc w:val="both"/>
      </w:pPr>
    </w:p>
    <w:p w:rsidR="00A610BD" w:rsidRDefault="00A610BD">
      <w:pPr>
        <w:tabs>
          <w:tab w:val="left" w:pos="-1440"/>
        </w:tabs>
        <w:ind w:left="720" w:hanging="720"/>
        <w:jc w:val="both"/>
      </w:pPr>
      <w:r>
        <w:t>4.6</w:t>
      </w:r>
      <w:r>
        <w:tab/>
        <w:t>Section 1983</w:t>
      </w:r>
      <w:r w:rsidR="00640B5E">
        <w:t xml:space="preserve"> – </w:t>
      </w:r>
      <w:r>
        <w:t>Liability in Connection with the Actions of Another</w:t>
      </w:r>
    </w:p>
    <w:p w:rsidR="00A610BD" w:rsidRDefault="00A610BD">
      <w:pPr>
        <w:jc w:val="both"/>
      </w:pPr>
    </w:p>
    <w:p w:rsidR="00A610BD" w:rsidRDefault="00A610BD">
      <w:pPr>
        <w:tabs>
          <w:tab w:val="left" w:pos="-1440"/>
        </w:tabs>
        <w:ind w:left="1440" w:hanging="720"/>
        <w:jc w:val="both"/>
      </w:pPr>
      <w:r>
        <w:t>4.6.1</w:t>
      </w:r>
      <w:r>
        <w:tab/>
        <w:t>Section 1983</w:t>
      </w:r>
      <w:r w:rsidR="00640B5E">
        <w:t xml:space="preserve"> – </w:t>
      </w:r>
      <w:r>
        <w:t>Supervisory Officials</w:t>
      </w:r>
    </w:p>
    <w:p w:rsidR="00A610BD" w:rsidRDefault="00A610BD">
      <w:pPr>
        <w:jc w:val="both"/>
      </w:pPr>
    </w:p>
    <w:p w:rsidR="00A610BD" w:rsidRDefault="00A610BD">
      <w:pPr>
        <w:tabs>
          <w:tab w:val="left" w:pos="-1440"/>
        </w:tabs>
        <w:ind w:left="1440" w:hanging="720"/>
        <w:jc w:val="both"/>
      </w:pPr>
      <w:r>
        <w:t>4.6.2</w:t>
      </w:r>
      <w:r>
        <w:tab/>
        <w:t>Section 1983</w:t>
      </w:r>
      <w:r w:rsidR="00640B5E">
        <w:t xml:space="preserve"> – </w:t>
      </w:r>
      <w:r>
        <w:t>Failure to Intervene</w:t>
      </w:r>
    </w:p>
    <w:p w:rsidR="00A610BD" w:rsidRDefault="00A610BD">
      <w:pPr>
        <w:jc w:val="both"/>
      </w:pPr>
    </w:p>
    <w:p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rsidR="00A610BD" w:rsidRDefault="00A610BD">
      <w:pPr>
        <w:jc w:val="both"/>
      </w:pPr>
    </w:p>
    <w:p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rsidR="00A610BD" w:rsidRDefault="00A610BD">
      <w:pPr>
        <w:jc w:val="both"/>
      </w:pPr>
    </w:p>
    <w:p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rsidR="00A610BD" w:rsidRDefault="00A610BD">
      <w:pPr>
        <w:jc w:val="both"/>
      </w:pPr>
    </w:p>
    <w:p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rsidR="00A610BD" w:rsidRDefault="00A610BD">
      <w:pPr>
        <w:jc w:val="both"/>
      </w:pPr>
    </w:p>
    <w:p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rsidR="00A610BD" w:rsidRDefault="00A610BD">
      <w:pPr>
        <w:jc w:val="both"/>
      </w:pPr>
    </w:p>
    <w:p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rsidR="00A610BD" w:rsidRDefault="00A610BD">
      <w:pPr>
        <w:jc w:val="both"/>
      </w:pPr>
    </w:p>
    <w:p w:rsidR="00A610BD" w:rsidRDefault="00A610BD">
      <w:pPr>
        <w:tabs>
          <w:tab w:val="left" w:pos="-1440"/>
        </w:tabs>
        <w:ind w:left="720" w:hanging="720"/>
        <w:jc w:val="both"/>
      </w:pPr>
      <w:r>
        <w:t>4.7</w:t>
      </w:r>
      <w:r>
        <w:tab/>
        <w:t>Section 1983</w:t>
      </w:r>
      <w:r w:rsidR="00640B5E">
        <w:t xml:space="preserve"> – </w:t>
      </w:r>
      <w:r>
        <w:t>Affirmative Defenses</w:t>
      </w:r>
    </w:p>
    <w:p w:rsidR="00EF672B" w:rsidRDefault="00EF672B">
      <w:pPr>
        <w:tabs>
          <w:tab w:val="left" w:pos="-1440"/>
        </w:tabs>
        <w:ind w:left="1440" w:hanging="720"/>
        <w:jc w:val="both"/>
      </w:pPr>
    </w:p>
    <w:p w:rsidR="00A610BD" w:rsidRDefault="00A610BD">
      <w:pPr>
        <w:tabs>
          <w:tab w:val="left" w:pos="-1440"/>
        </w:tabs>
        <w:ind w:left="1440" w:hanging="720"/>
        <w:jc w:val="both"/>
      </w:pPr>
      <w:r>
        <w:t>4.7.1</w:t>
      </w:r>
      <w:r>
        <w:tab/>
        <w:t>Conduct Not Covered by Absolute Immunity</w:t>
      </w:r>
    </w:p>
    <w:p w:rsidR="00A610BD" w:rsidRDefault="00A610BD">
      <w:pPr>
        <w:jc w:val="both"/>
      </w:pPr>
    </w:p>
    <w:p w:rsidR="00A610BD" w:rsidRDefault="00A610BD">
      <w:pPr>
        <w:tabs>
          <w:tab w:val="left" w:pos="-1440"/>
        </w:tabs>
        <w:ind w:left="1440" w:hanging="720"/>
        <w:jc w:val="both"/>
      </w:pPr>
      <w:r>
        <w:t>4.7.2</w:t>
      </w:r>
      <w:r>
        <w:tab/>
        <w:t>Qualified Immunity</w:t>
      </w:r>
    </w:p>
    <w:p w:rsidR="00A610BD" w:rsidRDefault="00A610BD">
      <w:pPr>
        <w:jc w:val="both"/>
      </w:pPr>
    </w:p>
    <w:p w:rsidR="00A610BD" w:rsidRDefault="00A610BD">
      <w:pPr>
        <w:tabs>
          <w:tab w:val="left" w:pos="-1440"/>
        </w:tabs>
        <w:ind w:left="1440" w:hanging="720"/>
        <w:jc w:val="both"/>
      </w:pPr>
      <w:r>
        <w:t>4.7.3</w:t>
      </w:r>
      <w:r>
        <w:tab/>
        <w:t xml:space="preserve"> Release-Dismissal Agreement</w:t>
      </w:r>
    </w:p>
    <w:p w:rsidR="00A610BD" w:rsidRDefault="00A610BD">
      <w:pPr>
        <w:jc w:val="both"/>
      </w:pPr>
    </w:p>
    <w:p w:rsidR="00A610BD" w:rsidRDefault="00A610BD">
      <w:pPr>
        <w:tabs>
          <w:tab w:val="left" w:pos="-1440"/>
        </w:tabs>
        <w:ind w:left="720" w:hanging="720"/>
        <w:jc w:val="both"/>
      </w:pPr>
      <w:r>
        <w:t>4.8</w:t>
      </w:r>
      <w:r>
        <w:tab/>
        <w:t>Section 1983</w:t>
      </w:r>
      <w:r w:rsidR="00640B5E">
        <w:t xml:space="preserve"> – </w:t>
      </w:r>
      <w:r>
        <w:t>Damages</w:t>
      </w:r>
    </w:p>
    <w:p w:rsidR="00A610BD" w:rsidRDefault="00A610BD">
      <w:pPr>
        <w:jc w:val="both"/>
      </w:pPr>
    </w:p>
    <w:p w:rsidR="00A610BD" w:rsidRDefault="00A610BD">
      <w:pPr>
        <w:tabs>
          <w:tab w:val="left" w:pos="-1440"/>
        </w:tabs>
        <w:ind w:left="1440" w:hanging="720"/>
        <w:jc w:val="both"/>
      </w:pPr>
      <w:r>
        <w:t>4.8.1</w:t>
      </w:r>
      <w:r>
        <w:tab/>
        <w:t>Compensatory Damages</w:t>
      </w:r>
    </w:p>
    <w:p w:rsidR="00A610BD" w:rsidRDefault="00A610BD">
      <w:pPr>
        <w:jc w:val="both"/>
      </w:pPr>
    </w:p>
    <w:p w:rsidR="00A610BD" w:rsidRDefault="00A610BD">
      <w:pPr>
        <w:tabs>
          <w:tab w:val="left" w:pos="-1440"/>
        </w:tabs>
        <w:ind w:left="1440" w:hanging="720"/>
        <w:jc w:val="both"/>
      </w:pPr>
      <w:r>
        <w:t>4.8.2</w:t>
      </w:r>
      <w:r>
        <w:tab/>
        <w:t>Nominal Damages</w:t>
      </w:r>
    </w:p>
    <w:p w:rsidR="00A610BD" w:rsidRDefault="00A610BD">
      <w:pPr>
        <w:jc w:val="both"/>
      </w:pPr>
    </w:p>
    <w:p w:rsidR="00A610BD" w:rsidRDefault="00A610BD">
      <w:pPr>
        <w:tabs>
          <w:tab w:val="left" w:pos="-1440"/>
        </w:tabs>
        <w:ind w:left="1440" w:hanging="720"/>
        <w:jc w:val="both"/>
      </w:pPr>
      <w:r>
        <w:t>4.8.3</w:t>
      </w:r>
      <w:r>
        <w:tab/>
        <w:t xml:space="preserve"> Punitive Damages</w:t>
      </w:r>
    </w:p>
    <w:p w:rsidR="00A610BD" w:rsidRDefault="00A610BD">
      <w:pPr>
        <w:ind w:firstLine="5040"/>
        <w:jc w:val="both"/>
      </w:pPr>
    </w:p>
    <w:p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rsidR="00A610BD" w:rsidRDefault="00A610BD">
      <w:pPr>
        <w:jc w:val="both"/>
      </w:pPr>
    </w:p>
    <w:p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rsidR="00A610BD" w:rsidRDefault="00A610BD">
      <w:pPr>
        <w:jc w:val="both"/>
      </w:pPr>
    </w:p>
    <w:p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rsidR="00A610BD" w:rsidRDefault="00A610BD">
      <w:pPr>
        <w:jc w:val="both"/>
      </w:pPr>
    </w:p>
    <w:p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rsidR="00A610BD" w:rsidRDefault="00A610BD">
      <w:pPr>
        <w:jc w:val="both"/>
      </w:pPr>
    </w:p>
    <w:p w:rsidR="00A610BD" w:rsidRDefault="00A610BD">
      <w:pPr>
        <w:tabs>
          <w:tab w:val="left" w:pos="-1440"/>
        </w:tabs>
        <w:ind w:left="1440" w:hanging="720"/>
        <w:jc w:val="both"/>
      </w:pPr>
      <w:r>
        <w:t>4.11.1</w:t>
      </w:r>
      <w:r>
        <w:tab/>
        <w:t>Section 1983</w:t>
      </w:r>
      <w:r w:rsidR="00640B5E">
        <w:t xml:space="preserve"> – </w:t>
      </w:r>
      <w:r>
        <w:t>Denial of Adequate Medical Care</w:t>
      </w:r>
    </w:p>
    <w:p w:rsidR="00A610BD" w:rsidRDefault="00A610BD">
      <w:pPr>
        <w:jc w:val="both"/>
      </w:pPr>
    </w:p>
    <w:p w:rsidR="00A610BD" w:rsidRDefault="00A610BD">
      <w:pPr>
        <w:tabs>
          <w:tab w:val="left" w:pos="-1440"/>
        </w:tabs>
        <w:ind w:left="1440" w:hanging="720"/>
        <w:jc w:val="both"/>
      </w:pPr>
      <w:r>
        <w:t>4.11.2</w:t>
      </w:r>
      <w:r>
        <w:tab/>
        <w:t>Section 1983</w:t>
      </w:r>
      <w:r w:rsidR="00640B5E">
        <w:t xml:space="preserve"> – </w:t>
      </w:r>
      <w:r>
        <w:t>Failure to Protect from Suicidal Action</w:t>
      </w:r>
    </w:p>
    <w:p w:rsidR="00A610BD" w:rsidRDefault="00A610BD">
      <w:pPr>
        <w:jc w:val="both"/>
      </w:pPr>
    </w:p>
    <w:p w:rsidR="00A610BD" w:rsidRDefault="00A610BD">
      <w:pPr>
        <w:tabs>
          <w:tab w:val="left" w:pos="-1440"/>
        </w:tabs>
        <w:ind w:left="1440" w:hanging="720"/>
        <w:jc w:val="both"/>
      </w:pPr>
      <w:r>
        <w:t>4.11.3</w:t>
      </w:r>
      <w:r>
        <w:tab/>
        <w:t>Section 1983</w:t>
      </w:r>
      <w:r w:rsidR="00640B5E">
        <w:t xml:space="preserve"> – </w:t>
      </w:r>
      <w:r>
        <w:t>Failure to Protect from Attack</w:t>
      </w:r>
    </w:p>
    <w:p w:rsidR="00A610BD" w:rsidRDefault="00A610BD">
      <w:pPr>
        <w:jc w:val="both"/>
      </w:pPr>
    </w:p>
    <w:p w:rsidR="00A610BD" w:rsidRDefault="00A610BD">
      <w:pPr>
        <w:tabs>
          <w:tab w:val="left" w:pos="-1440"/>
        </w:tabs>
        <w:ind w:left="720" w:hanging="720"/>
        <w:jc w:val="both"/>
      </w:pPr>
      <w:r>
        <w:t>4.12</w:t>
      </w:r>
      <w:r>
        <w:tab/>
        <w:t>Section 1983</w:t>
      </w:r>
      <w:r w:rsidR="00640B5E">
        <w:t xml:space="preserve"> – </w:t>
      </w:r>
      <w:r>
        <w:t>Unlawful Seizure</w:t>
      </w:r>
    </w:p>
    <w:p w:rsidR="00A610BD" w:rsidRDefault="00A610BD">
      <w:pPr>
        <w:jc w:val="both"/>
      </w:pPr>
    </w:p>
    <w:p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rsidR="00A610BD" w:rsidRDefault="00A610BD">
      <w:pPr>
        <w:jc w:val="both"/>
      </w:pPr>
    </w:p>
    <w:p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rsidR="00A610BD" w:rsidRDefault="00A610BD">
      <w:pPr>
        <w:jc w:val="both"/>
      </w:pPr>
    </w:p>
    <w:p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rsidR="00A610BD" w:rsidRDefault="00A610BD">
      <w:pPr>
        <w:jc w:val="both"/>
      </w:pPr>
    </w:p>
    <w:p w:rsidR="00A610BD" w:rsidRDefault="00A610BD">
      <w:pPr>
        <w:tabs>
          <w:tab w:val="left" w:pos="-1440"/>
        </w:tabs>
        <w:ind w:left="720" w:hanging="720"/>
        <w:jc w:val="both"/>
      </w:pPr>
      <w:r>
        <w:t>4.13</w:t>
      </w:r>
      <w:r>
        <w:tab/>
        <w:t>Section 1983</w:t>
      </w:r>
      <w:r w:rsidR="00640B5E">
        <w:t xml:space="preserve"> – </w:t>
      </w:r>
      <w:r>
        <w:t>Malicious Prosecution</w:t>
      </w:r>
    </w:p>
    <w:p w:rsidR="00A610BD" w:rsidRDefault="00A610BD">
      <w:pPr>
        <w:jc w:val="both"/>
      </w:pPr>
    </w:p>
    <w:p w:rsidR="00A610BD" w:rsidRDefault="00A610BD">
      <w:pPr>
        <w:tabs>
          <w:tab w:val="left" w:pos="-1440"/>
        </w:tabs>
        <w:ind w:left="1440" w:hanging="720"/>
        <w:jc w:val="both"/>
      </w:pPr>
      <w:r>
        <w:t>4.13.1</w:t>
      </w:r>
      <w:r>
        <w:tab/>
        <w:t>Section 1983</w:t>
      </w:r>
      <w:r w:rsidR="00640B5E">
        <w:t xml:space="preserve"> – </w:t>
      </w:r>
      <w:r>
        <w:t>Burdens of Proof in Civil and Criminal Cases</w:t>
      </w:r>
    </w:p>
    <w:p w:rsidR="00A610BD" w:rsidRDefault="00A610BD">
      <w:pPr>
        <w:jc w:val="both"/>
      </w:pPr>
    </w:p>
    <w:p w:rsidR="00A610BD" w:rsidRDefault="00A610BD">
      <w:pPr>
        <w:tabs>
          <w:tab w:val="left" w:pos="-1440"/>
        </w:tabs>
        <w:ind w:left="720" w:hanging="720"/>
        <w:jc w:val="both"/>
      </w:pPr>
      <w:r>
        <w:t>4.14</w:t>
      </w:r>
      <w:r>
        <w:tab/>
        <w:t>Section 1983</w:t>
      </w:r>
      <w:r w:rsidR="00640B5E">
        <w:t xml:space="preserve"> – </w:t>
      </w:r>
      <w:r>
        <w:t>State-created Danger</w:t>
      </w:r>
    </w:p>
    <w:p w:rsidR="00EF672B" w:rsidRDefault="00EF672B">
      <w:pPr>
        <w:tabs>
          <w:tab w:val="left" w:pos="-1440"/>
        </w:tabs>
        <w:ind w:left="720" w:hanging="720"/>
        <w:jc w:val="both"/>
      </w:pPr>
    </w:p>
    <w:p w:rsidR="00A610BD" w:rsidRDefault="00A610BD">
      <w:pPr>
        <w:tabs>
          <w:tab w:val="left" w:pos="-1440"/>
        </w:tabs>
        <w:ind w:left="720" w:hanging="720"/>
        <w:jc w:val="both"/>
      </w:pPr>
      <w:r>
        <w:t>4.15</w:t>
      </w:r>
      <w:r>
        <w:tab/>
        <w:t>Section 1983</w:t>
      </w:r>
      <w:r w:rsidR="00640B5E">
        <w:t xml:space="preserve"> – </w:t>
      </w:r>
      <w:r>
        <w:t>High-Speed Chase</w:t>
      </w:r>
    </w:p>
    <w:p w:rsidR="00A610BD" w:rsidRDefault="00A610BD">
      <w:pPr>
        <w:jc w:val="both"/>
      </w:pPr>
    </w:p>
    <w:p w:rsidR="00A610BD" w:rsidRDefault="00A610BD">
      <w:pPr>
        <w:tabs>
          <w:tab w:val="left" w:pos="-1440"/>
        </w:tabs>
        <w:ind w:left="720" w:hanging="720"/>
        <w:jc w:val="both"/>
      </w:pPr>
      <w:r>
        <w:t>4.16</w:t>
      </w:r>
      <w:r>
        <w:tab/>
        <w:t>Section 1983</w:t>
      </w:r>
      <w:r w:rsidR="00640B5E">
        <w:t xml:space="preserve"> – </w:t>
      </w:r>
      <w:r>
        <w:t>Duty to Protect Child in Foster Care</w:t>
      </w:r>
    </w:p>
    <w:p w:rsidR="00640A0E" w:rsidRDefault="00640A0E">
      <w:pPr>
        <w:tabs>
          <w:tab w:val="center" w:pos="4680"/>
        </w:tabs>
        <w:jc w:val="both"/>
        <w:rPr>
          <w:b/>
          <w:bCs/>
          <w:sz w:val="28"/>
          <w:szCs w:val="28"/>
        </w:rPr>
        <w:sectPr w:rsidR="00640A0E" w:rsidSect="00C46C30">
          <w:footerReference w:type="default" r:id="rId8"/>
          <w:type w:val="continuous"/>
          <w:pgSz w:w="12240" w:h="15840"/>
          <w:pgMar w:top="1440" w:right="1440" w:bottom="1440" w:left="1440" w:header="1440" w:footer="432" w:gutter="0"/>
          <w:lnNumType w:countBy="1"/>
          <w:cols w:space="720"/>
          <w:noEndnote/>
          <w:docGrid w:linePitch="326"/>
        </w:sectPr>
      </w:pPr>
    </w:p>
    <w:p w:rsidR="000E258F" w:rsidRDefault="00A610BD">
      <w:pPr>
        <w:tabs>
          <w:tab w:val="center" w:pos="4680"/>
        </w:tabs>
        <w:jc w:val="both"/>
        <w:rPr>
          <w:b/>
          <w:bCs/>
          <w:sz w:val="28"/>
          <w:szCs w:val="28"/>
        </w:rPr>
        <w:sectPr w:rsidR="000E258F" w:rsidSect="00640A0E">
          <w:headerReference w:type="default" r:id="rId9"/>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rsidR="00A610BD" w:rsidRDefault="00A610BD">
      <w:pPr>
        <w:tabs>
          <w:tab w:val="center" w:pos="4680"/>
        </w:tabs>
        <w:jc w:val="both"/>
        <w:rPr>
          <w:b/>
          <w:bCs/>
          <w:sz w:val="28"/>
          <w:szCs w:val="28"/>
        </w:rPr>
      </w:pPr>
    </w:p>
    <w:p w:rsidR="00A610BD" w:rsidRDefault="00A610BD">
      <w:pPr>
        <w:jc w:val="both"/>
      </w:pPr>
      <w:r>
        <w:rPr>
          <w:b/>
          <w:bCs/>
          <w:sz w:val="28"/>
          <w:szCs w:val="28"/>
        </w:rPr>
        <w:t>Model</w:t>
      </w:r>
    </w:p>
    <w:p w:rsidR="00A610BD" w:rsidRDefault="00A610BD">
      <w:pPr>
        <w:jc w:val="both"/>
      </w:pPr>
    </w:p>
    <w:p w:rsidR="00A610BD" w:rsidRDefault="00A610BD">
      <w:pPr>
        <w:ind w:firstLine="720"/>
        <w:jc w:val="both"/>
      </w:pPr>
      <w:r>
        <w:t>[Plaintiff]</w:t>
      </w:r>
      <w:r>
        <w:rPr>
          <w:rStyle w:val="FootnoteReference"/>
          <w:vertAlign w:val="superscript"/>
        </w:rPr>
        <w:footnoteReference w:id="1"/>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2"/>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rPr>
          <w:i/>
          <w:iCs/>
        </w:rPr>
        <w:t>[Provide Instruction 1.10 on burden of proof, modified (if necessary) as discussed in the Comment below.]</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rsidR="00A610BD" w:rsidRDefault="00A610BD">
      <w:pPr>
        <w:jc w:val="both"/>
      </w:pPr>
    </w:p>
    <w:p w:rsidR="00A610BD" w:rsidRDefault="00A610BD">
      <w:pPr>
        <w:ind w:firstLine="720"/>
        <w:jc w:val="both"/>
      </w:pPr>
      <w:r>
        <w:t>Where there is a jury question on the issue of qualified immunity, some additional instruction on burdens may occasionally be necessary.</w:t>
      </w:r>
    </w:p>
    <w:p w:rsidR="00A610BD" w:rsidRDefault="00A610BD">
      <w:pPr>
        <w:jc w:val="both"/>
      </w:pPr>
    </w:p>
    <w:p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3"/>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rsidR="00A610BD" w:rsidRDefault="00A610BD">
      <w:pPr>
        <w:jc w:val="both"/>
      </w:pPr>
    </w:p>
    <w:p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N.J., 860 F.2d 1199, 1204 n.9 (3d Cir. 1988) (same).  However, some other Third Circuit opinions suggest that the burden of proof regarding qualified immunity may vary with the element in question.</w:t>
      </w:r>
      <w:r>
        <w:rPr>
          <w:rStyle w:val="FootnoteReference"/>
          <w:vertAlign w:val="superscript"/>
        </w:rPr>
        <w:footnoteReference w:id="4"/>
      </w:r>
      <w:r>
        <w:t xml:space="preserve">  For </w:t>
      </w:r>
      <w:r>
        <w:lastRenderedPageBreak/>
        <w:t xml:space="preserve">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rsidR="00A610BD" w:rsidRDefault="00A610BD">
      <w:pPr>
        <w:ind w:firstLine="720"/>
        <w:jc w:val="both"/>
      </w:pPr>
    </w:p>
    <w:p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5"/>
      </w:r>
    </w:p>
    <w:p w:rsidR="00A610BD" w:rsidRDefault="00A610BD">
      <w:pPr>
        <w:jc w:val="both"/>
      </w:pPr>
    </w:p>
    <w:p w:rsidR="00A610BD" w:rsidRDefault="00A610BD">
      <w:pPr>
        <w:ind w:firstLine="720"/>
        <w:jc w:val="both"/>
      </w:pPr>
      <w:r>
        <w:t xml:space="preserve">As noted in Comment 4.7.2, a jury question concerning qualified immunity will arise only </w:t>
      </w:r>
      <w:r>
        <w:lastRenderedPageBreak/>
        <w:t>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must prove both of the following elements by a preponderance of the evidence:</w:t>
      </w:r>
    </w:p>
    <w:p w:rsidR="00A610BD" w:rsidRDefault="00A610BD">
      <w:pPr>
        <w:jc w:val="both"/>
      </w:pPr>
    </w:p>
    <w:p w:rsidR="00A610BD" w:rsidRDefault="00A610BD">
      <w:pPr>
        <w:ind w:firstLine="720"/>
        <w:jc w:val="both"/>
      </w:pPr>
      <w:r>
        <w:t>First:  [Defendant] acted under color of state law.</w:t>
      </w:r>
    </w:p>
    <w:p w:rsidR="00A610BD" w:rsidRDefault="00A610BD">
      <w:pPr>
        <w:jc w:val="both"/>
      </w:pPr>
    </w:p>
    <w:p w:rsidR="00A610BD" w:rsidRDefault="00A610BD">
      <w:pPr>
        <w:ind w:left="720"/>
        <w:jc w:val="both"/>
      </w:pPr>
      <w:r>
        <w:t>Second: While acting under color of state law, [defendant] deprived [plaintiff] of a federal [constitutional right] [statutory right].</w:t>
      </w:r>
    </w:p>
    <w:p w:rsidR="00A610BD" w:rsidRDefault="00A610BD">
      <w:pPr>
        <w:jc w:val="both"/>
      </w:pPr>
    </w:p>
    <w:p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rsidR="00A610BD" w:rsidRDefault="00A610BD">
      <w:pPr>
        <w:jc w:val="both"/>
      </w:pPr>
    </w:p>
    <w:p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rsidR="00A610BD" w:rsidRDefault="00A610BD">
      <w:pPr>
        <w:ind w:firstLine="720"/>
        <w:jc w:val="both"/>
      </w:pPr>
      <w:r>
        <w:t xml:space="preserve">Some authorities include, as a third element, a requirement that the defendant caused the </w:t>
      </w:r>
      <w:r>
        <w:lastRenderedPageBreak/>
        <w:t>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rsidR="00A610BD" w:rsidRDefault="00A610BD">
      <w:pPr>
        <w:jc w:val="both"/>
      </w:pPr>
    </w:p>
    <w:p w:rsidR="00A610BD" w:rsidRDefault="00A610BD">
      <w:pPr>
        <w:ind w:firstLine="720"/>
        <w:jc w:val="both"/>
      </w:pPr>
      <w:r>
        <w:t>If the Section 1983 claim asserts a conspiracy to deprive the plaintiff of civil rights,</w:t>
      </w:r>
      <w:r>
        <w:rPr>
          <w:rStyle w:val="FootnoteReference"/>
          <w:vertAlign w:val="superscript"/>
        </w:rPr>
        <w:footnoteReference w:id="6"/>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7"/>
      </w:r>
      <w:r>
        <w:t xml:space="preserve"> Instructions 12:31, 12:32, 12:33, &amp; 12:43 (providing suggested instructions regarding a Section 1983 conspiracy claim).</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rsidR="00A610BD" w:rsidRDefault="00A610BD">
      <w:pPr>
        <w:jc w:val="both"/>
      </w:pPr>
    </w:p>
    <w:p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rsidR="00A610BD" w:rsidRDefault="00A610BD">
      <w:pPr>
        <w:jc w:val="both"/>
      </w:pPr>
    </w:p>
    <w:p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ind w:firstLine="720"/>
        <w:jc w:val="both"/>
      </w:pPr>
    </w:p>
    <w:p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rsidR="00A610BD" w:rsidRDefault="00A610BD">
      <w:pPr>
        <w:jc w:val="both"/>
      </w:pPr>
    </w:p>
    <w:p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rsidR="00A610BD" w:rsidRDefault="00A610BD">
      <w:pPr>
        <w:jc w:val="both"/>
      </w:pPr>
    </w:p>
    <w:p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8"/>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w:t>
      </w:r>
      <w:r w:rsidR="00A610BD">
        <w:lastRenderedPageBreak/>
        <w:t xml:space="preserve">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9"/>
      </w:r>
    </w:p>
    <w:p w:rsidR="00A610BD" w:rsidRDefault="00A610BD">
      <w:pPr>
        <w:jc w:val="both"/>
      </w:pPr>
    </w:p>
    <w:p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rsidR="00A610BD" w:rsidRDefault="00A610BD">
      <w:pPr>
        <w:jc w:val="both"/>
      </w:pPr>
    </w:p>
    <w:p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0"/>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1"/>
      </w:r>
    </w:p>
    <w:p w:rsidR="00814B56" w:rsidRDefault="00814B56" w:rsidP="00814B56">
      <w:pPr>
        <w:pStyle w:val="ListParagraph"/>
        <w:jc w:val="both"/>
      </w:pPr>
    </w:p>
    <w:p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2"/>
      </w:r>
    </w:p>
    <w:p w:rsidR="00814B56" w:rsidRDefault="00814B56" w:rsidP="00814B56">
      <w:pPr>
        <w:pStyle w:val="ListParagraph"/>
        <w:jc w:val="both"/>
      </w:pPr>
    </w:p>
    <w:p w:rsidR="00016403" w:rsidRDefault="0076126A" w:rsidP="00016403">
      <w:pPr>
        <w:pStyle w:val="ListParagraph"/>
        <w:numPr>
          <w:ilvl w:val="0"/>
          <w:numId w:val="1"/>
        </w:numPr>
        <w:jc w:val="both"/>
      </w:pPr>
      <w:r>
        <w:t>A finding that the government “</w:t>
      </w:r>
      <w:r w:rsidR="00A610BD">
        <w:t>knowingly accept[ed] the benefits derived from unconstitutional behavior.</w:t>
      </w:r>
      <w:r>
        <w:t>”</w:t>
      </w:r>
      <w:r w:rsidR="00A610BD">
        <w:rPr>
          <w:rStyle w:val="FootnoteReference"/>
          <w:vertAlign w:val="superscript"/>
        </w:rPr>
        <w:footnoteReference w:id="13"/>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4"/>
      </w:r>
      <w:r>
        <w:t xml:space="preserve">  For an instruction on private action in concert with state officials, see Instruction 4.4.3.</w:t>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5"/>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6"/>
      </w:r>
    </w:p>
    <w:p w:rsidR="00016403" w:rsidRDefault="00016403" w:rsidP="00016403">
      <w:pPr>
        <w:pStyle w:val="ListParagraph"/>
        <w:jc w:val="both"/>
      </w:pPr>
    </w:p>
    <w:p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t>”’”</w:t>
      </w:r>
      <w:r w:rsidR="00A610BD">
        <w:rPr>
          <w:rStyle w:val="FootnoteReference"/>
          <w:vertAlign w:val="superscript"/>
        </w:rPr>
        <w:footnoteReference w:id="17"/>
      </w:r>
    </w:p>
    <w:p w:rsidR="00016403" w:rsidRDefault="00016403" w:rsidP="00016403">
      <w:pPr>
        <w:pStyle w:val="ListParagraph"/>
        <w:jc w:val="both"/>
      </w:pPr>
    </w:p>
    <w:p w:rsidR="00016403" w:rsidRDefault="00A610BD" w:rsidP="00016403">
      <w:pPr>
        <w:pStyle w:val="ListParagraph"/>
        <w:numPr>
          <w:ilvl w:val="0"/>
          <w:numId w:val="1"/>
        </w:numPr>
        <w:jc w:val="both"/>
      </w:pPr>
      <w:r>
        <w:t xml:space="preserve">A finding that </w:t>
      </w:r>
      <w:r w:rsidR="0076126A">
        <w:t>“‘</w:t>
      </w:r>
      <w:r>
        <w:t>a nominally private entity . . . has been delegated a public function by the State.</w:t>
      </w:r>
      <w:r w:rsidR="0076126A">
        <w:t>’”</w:t>
      </w:r>
      <w:r>
        <w:rPr>
          <w:rStyle w:val="FootnoteReference"/>
          <w:vertAlign w:val="superscript"/>
        </w:rPr>
        <w:footnoteReference w:id="18"/>
      </w:r>
    </w:p>
    <w:p w:rsidR="00A610BD" w:rsidRDefault="00A610BD" w:rsidP="00016403">
      <w:pPr>
        <w:pStyle w:val="ListParagraph"/>
        <w:numPr>
          <w:ilvl w:val="0"/>
          <w:numId w:val="1"/>
        </w:numPr>
        <w:jc w:val="both"/>
      </w:pPr>
      <w:r>
        <w:lastRenderedPageBreak/>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19"/>
      </w:r>
    </w:p>
    <w:p w:rsidR="00A610BD" w:rsidRDefault="00A610BD">
      <w:pPr>
        <w:jc w:val="both"/>
      </w:pPr>
    </w:p>
    <w:p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Action under Color of State Law Is Not in Dispute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jc w:val="both"/>
      </w:pPr>
      <w:r>
        <w:rPr>
          <w:b/>
          <w:bCs/>
        </w:rPr>
        <w:t xml:space="preserve">Version A </w:t>
      </w:r>
      <w:r>
        <w:t>(government official):</w:t>
      </w:r>
    </w:p>
    <w:p w:rsidR="00A610BD" w:rsidRDefault="00A610BD">
      <w:pPr>
        <w:jc w:val="both"/>
      </w:pPr>
    </w:p>
    <w:p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rsidR="00A610BD" w:rsidRDefault="00A610BD">
      <w:pPr>
        <w:jc w:val="both"/>
      </w:pPr>
    </w:p>
    <w:p w:rsidR="00A610BD" w:rsidRDefault="00A610BD">
      <w:pPr>
        <w:jc w:val="both"/>
      </w:pPr>
      <w:r>
        <w:rPr>
          <w:b/>
          <w:bCs/>
        </w:rPr>
        <w:t xml:space="preserve">Version B </w:t>
      </w:r>
      <w:r>
        <w:t>(private individual):</w:t>
      </w:r>
    </w:p>
    <w:p w:rsidR="00A610BD" w:rsidRDefault="00A610BD">
      <w:pPr>
        <w:jc w:val="both"/>
      </w:pPr>
    </w:p>
    <w:p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rsidR="00A610BD" w:rsidRDefault="00A610BD">
      <w:pPr>
        <w:ind w:left="720" w:right="720"/>
        <w:jc w:val="both"/>
        <w:rPr>
          <w:b/>
          <w:bCs/>
          <w:sz w:val="28"/>
          <w:szCs w:val="28"/>
        </w:rPr>
      </w:pPr>
      <w:r>
        <w:rPr>
          <w:b/>
          <w:bCs/>
          <w:sz w:val="28"/>
          <w:szCs w:val="28"/>
        </w:rPr>
        <w:t>Determining When an Official Acted under Color of State Law</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rsidR="00A610BD" w:rsidRDefault="00A610BD">
      <w:pPr>
        <w:jc w:val="both"/>
      </w:pPr>
    </w:p>
    <w:p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rsidR="00A610BD" w:rsidRDefault="00A610BD">
      <w:pPr>
        <w:jc w:val="both"/>
      </w:pPr>
    </w:p>
    <w:p w:rsidR="00A610BD" w:rsidRDefault="00A610BD">
      <w:pPr>
        <w:ind w:firstLine="720"/>
        <w:jc w:val="both"/>
      </w:pPr>
      <w:r>
        <w:t>The circumstances that you should consider include:</w:t>
      </w:r>
    </w:p>
    <w:p w:rsidR="00A610BD" w:rsidRDefault="00A610BD">
      <w:pPr>
        <w:jc w:val="both"/>
      </w:pPr>
    </w:p>
    <w:p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rsidR="00A610BD" w:rsidRDefault="00A610BD">
      <w:pPr>
        <w:jc w:val="both"/>
      </w:pPr>
    </w:p>
    <w:p w:rsidR="00A610BD" w:rsidRDefault="00A610BD">
      <w:pPr>
        <w:ind w:firstLine="720"/>
        <w:jc w:val="both"/>
      </w:pPr>
      <w:r>
        <w:t>You must consider all of the circumstances and determine whether [plaintiff] has proved, by a preponderance of the evidence, that [defendant] acted under color of state law.</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0"/>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1"/>
      </w:r>
      <w:r w:rsidR="00A610BD">
        <w:t xml:space="preserve"> whether such a defendant was </w:t>
      </w:r>
      <w:r w:rsidR="00A610BD">
        <w:lastRenderedPageBreak/>
        <w:t>acting under color of state law.</w:t>
      </w:r>
      <w:r w:rsidR="00A610BD">
        <w:rPr>
          <w:rStyle w:val="FootnoteReference"/>
          <w:vertAlign w:val="superscript"/>
        </w:rPr>
        <w:footnoteReference w:id="22"/>
      </w:r>
    </w:p>
    <w:p w:rsidR="00A610BD" w:rsidRDefault="00A610BD">
      <w:pPr>
        <w:jc w:val="both"/>
      </w:pPr>
    </w:p>
    <w:p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3"/>
      </w:r>
      <w:r>
        <w:t xml:space="preserve">  The court should list any relevant factors in Instruction 4.4.2.  In the case of a police officer defendant, factors could include:</w:t>
      </w:r>
    </w:p>
    <w:p w:rsidR="00A610BD" w:rsidRDefault="00A610BD">
      <w:pPr>
        <w:jc w:val="both"/>
      </w:pPr>
    </w:p>
    <w:p w:rsidR="006043E4" w:rsidRDefault="00A610BD" w:rsidP="006043E4">
      <w:pPr>
        <w:pStyle w:val="ListParagraph"/>
        <w:numPr>
          <w:ilvl w:val="0"/>
          <w:numId w:val="2"/>
        </w:numPr>
        <w:jc w:val="both"/>
      </w:pPr>
      <w:r>
        <w:t>Whether the defendant was on duty.</w:t>
      </w:r>
      <w:r>
        <w:rPr>
          <w:rStyle w:val="FootnoteReference"/>
          <w:vertAlign w:val="superscript"/>
        </w:rPr>
        <w:footnoteReference w:id="24"/>
      </w:r>
      <w:r>
        <w:t xml:space="preserve">  This factor is relevant but not determinative.  An off-duty officer who purports to exercise official authority acts under color of state law.</w:t>
      </w:r>
      <w:r>
        <w:rPr>
          <w:rStyle w:val="FootnoteReference"/>
          <w:vertAlign w:val="superscript"/>
        </w:rPr>
        <w:footnoteReference w:id="25"/>
      </w:r>
      <w:r>
        <w:t xml:space="preserve">  Conversely, an officer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26"/>
      </w:r>
    </w:p>
    <w:p w:rsidR="006043E4" w:rsidRDefault="00A610BD" w:rsidP="006043E4">
      <w:pPr>
        <w:pStyle w:val="ListParagraph"/>
        <w:numPr>
          <w:ilvl w:val="0"/>
          <w:numId w:val="2"/>
        </w:numPr>
        <w:jc w:val="both"/>
      </w:pPr>
      <w:r>
        <w:lastRenderedPageBreak/>
        <w:t>Whether police department regulations provide that officers are on duty at all times.</w:t>
      </w:r>
      <w:r>
        <w:rPr>
          <w:rStyle w:val="FootnoteReference"/>
          <w:vertAlign w:val="superscript"/>
        </w:rPr>
        <w:footnoteReference w:id="27"/>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8"/>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29"/>
      </w:r>
    </w:p>
    <w:p w:rsidR="006043E4" w:rsidRDefault="006043E4" w:rsidP="006043E4">
      <w:pPr>
        <w:pStyle w:val="ListParagraph"/>
        <w:jc w:val="both"/>
      </w:pPr>
    </w:p>
    <w:p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0"/>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1"/>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was wearing police clothing.</w:t>
      </w:r>
      <w:r>
        <w:rPr>
          <w:rStyle w:val="FootnoteReference"/>
          <w:vertAlign w:val="superscript"/>
        </w:rPr>
        <w:footnoteReference w:id="32"/>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3"/>
      </w:r>
    </w:p>
    <w:p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4"/>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5"/>
      </w:r>
    </w:p>
    <w:p w:rsidR="006043E4" w:rsidRDefault="006043E4" w:rsidP="006043E4">
      <w:pPr>
        <w:pStyle w:val="ListParagraph"/>
        <w:jc w:val="both"/>
      </w:pPr>
    </w:p>
    <w:p w:rsidR="006043E4" w:rsidRDefault="00A610BD" w:rsidP="006043E4">
      <w:pPr>
        <w:pStyle w:val="ListParagraph"/>
        <w:numPr>
          <w:ilvl w:val="0"/>
          <w:numId w:val="2"/>
        </w:numPr>
        <w:jc w:val="both"/>
      </w:pPr>
      <w:r>
        <w:t>Whether the defendant used his or her official position to exert influence or physical control over the plaintiff.</w:t>
      </w:r>
    </w:p>
    <w:p w:rsidR="006043E4" w:rsidRDefault="006043E4" w:rsidP="006043E4">
      <w:pPr>
        <w:pStyle w:val="ListParagraph"/>
        <w:jc w:val="both"/>
      </w:pPr>
    </w:p>
    <w:p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6"/>
      </w:r>
    </w:p>
    <w:p w:rsidR="00A610BD" w:rsidRDefault="00A610BD">
      <w:pPr>
        <w:jc w:val="both"/>
      </w:pPr>
    </w:p>
    <w:p w:rsidR="00A610BD" w:rsidRDefault="00A610BD">
      <w:pPr>
        <w:jc w:val="both"/>
      </w:pPr>
      <w:r>
        <w:t>In a case involving a non-police officer defendant, factors could include:</w:t>
      </w:r>
    </w:p>
    <w:p w:rsidR="006043E4" w:rsidRDefault="006043E4" w:rsidP="006043E4">
      <w:pPr>
        <w:jc w:val="both"/>
      </w:pPr>
    </w:p>
    <w:p w:rsidR="006043E4" w:rsidRDefault="00A610BD" w:rsidP="006043E4">
      <w:pPr>
        <w:pStyle w:val="ListParagraph"/>
        <w:numPr>
          <w:ilvl w:val="0"/>
          <w:numId w:val="3"/>
        </w:numPr>
        <w:jc w:val="both"/>
      </w:pPr>
      <w:r>
        <w:t>Whether the defendant was on duty.</w:t>
      </w:r>
      <w:r>
        <w:rPr>
          <w:rStyle w:val="FootnoteReference"/>
          <w:vertAlign w:val="superscript"/>
        </w:rPr>
        <w:footnoteReference w:id="37"/>
      </w:r>
      <w:r>
        <w:t xml:space="preserve">  This factor is relevant but not determinative.  An off-duty official who purports to exercise official authority acts under color of state law.</w:t>
      </w:r>
      <w:r>
        <w:rPr>
          <w:rStyle w:val="FootnoteReference"/>
          <w:vertAlign w:val="superscript"/>
        </w:rPr>
        <w:footnoteReference w:id="38"/>
      </w:r>
      <w:r>
        <w:t xml:space="preserve">  </w:t>
      </w:r>
      <w:r>
        <w:lastRenderedPageBreak/>
        <w:t>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39"/>
      </w:r>
    </w:p>
    <w:p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0"/>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1"/>
      </w:r>
    </w:p>
    <w:p w:rsidR="006043E4" w:rsidRDefault="006043E4" w:rsidP="006043E4">
      <w:pPr>
        <w:pStyle w:val="ListParagraph"/>
        <w:jc w:val="both"/>
      </w:pPr>
    </w:p>
    <w:p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2"/>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3"/>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4"/>
      </w:r>
    </w:p>
    <w:p w:rsidR="006043E4" w:rsidRDefault="006043E4" w:rsidP="006043E4">
      <w:pPr>
        <w:pStyle w:val="ListParagraph"/>
        <w:jc w:val="both"/>
      </w:pPr>
    </w:p>
    <w:p w:rsidR="006043E4" w:rsidRDefault="00A610BD" w:rsidP="006043E4">
      <w:pPr>
        <w:pStyle w:val="ListParagraph"/>
        <w:numPr>
          <w:ilvl w:val="0"/>
          <w:numId w:val="3"/>
        </w:numPr>
        <w:jc w:val="both"/>
      </w:pPr>
      <w:r>
        <w:t>Whether the defendant showed a badge.</w:t>
      </w:r>
      <w:r>
        <w:rPr>
          <w:rStyle w:val="FootnoteReference"/>
          <w:vertAlign w:val="superscript"/>
        </w:rPr>
        <w:footnoteReference w:id="45"/>
      </w:r>
    </w:p>
    <w:p w:rsidR="006043E4" w:rsidRDefault="006043E4" w:rsidP="006043E4">
      <w:pPr>
        <w:pStyle w:val="ListParagraph"/>
        <w:jc w:val="both"/>
      </w:pPr>
    </w:p>
    <w:p w:rsidR="00A610BD" w:rsidRDefault="00A610BD" w:rsidP="006043E4">
      <w:pPr>
        <w:pStyle w:val="ListParagraph"/>
        <w:numPr>
          <w:ilvl w:val="0"/>
          <w:numId w:val="3"/>
        </w:numPr>
        <w:jc w:val="both"/>
      </w:pPr>
      <w:r>
        <w:t>Whether the defendant used his or her official position to exert influence over the plaintiff.</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rsidR="00A610BD" w:rsidRDefault="00A610BD">
      <w:pPr>
        <w:ind w:left="720"/>
        <w:jc w:val="both"/>
        <w:rPr>
          <w:b/>
          <w:bCs/>
          <w:sz w:val="28"/>
          <w:szCs w:val="28"/>
        </w:rPr>
      </w:pPr>
      <w:r>
        <w:rPr>
          <w:b/>
          <w:bCs/>
          <w:sz w:val="28"/>
          <w:szCs w:val="28"/>
        </w:rPr>
        <w:t>Determining Whether a Private Person Conspired with a State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rsidR="00A610BD" w:rsidRDefault="00A610BD">
      <w:pPr>
        <w:jc w:val="both"/>
      </w:pPr>
    </w:p>
    <w:p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rsidR="00A610BD" w:rsidRDefault="00A610BD">
      <w:pPr>
        <w:jc w:val="both"/>
      </w:pPr>
    </w:p>
    <w:p w:rsidR="00A610BD" w:rsidRDefault="00A610BD">
      <w:pPr>
        <w:ind w:firstLine="720"/>
        <w:jc w:val="both"/>
      </w:pPr>
      <w:r>
        <w:t>To find a conspiracy in this case, you must find that [plaintiff] has proved both of the following by a preponderance of the evidence:</w:t>
      </w:r>
    </w:p>
    <w:p w:rsidR="00A610BD" w:rsidRDefault="00A610BD">
      <w:pPr>
        <w:jc w:val="both"/>
      </w:pPr>
    </w:p>
    <w:p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rsidR="00A610BD" w:rsidRDefault="00A610BD">
      <w:pPr>
        <w:jc w:val="both"/>
      </w:pPr>
    </w:p>
    <w:p w:rsidR="00A610BD" w:rsidRDefault="00A610BD">
      <w:pPr>
        <w:ind w:left="720"/>
        <w:jc w:val="both"/>
      </w:pPr>
      <w:r>
        <w:t>Second: [Defendant] or a co-conspirator engaged in at least one act in furtherance of the conspiracy.</w:t>
      </w:r>
    </w:p>
    <w:p w:rsidR="00A610BD" w:rsidRDefault="00A610BD">
      <w:pPr>
        <w:jc w:val="both"/>
      </w:pPr>
    </w:p>
    <w:p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rsidR="00A610BD" w:rsidRDefault="00A610BD">
      <w:pPr>
        <w:jc w:val="both"/>
      </w:pPr>
    </w:p>
    <w:p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rsidR="00A610BD" w:rsidRDefault="00A610BD">
      <w:pPr>
        <w:jc w:val="both"/>
      </w:pPr>
    </w:p>
    <w:p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rsidR="00A610BD" w:rsidRDefault="00A610BD">
      <w:pPr>
        <w:jc w:val="both"/>
      </w:pPr>
    </w:p>
    <w:p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6"/>
      </w:r>
      <w:r>
        <w:t xml:space="preserve">  There is some doubt whether a private entity can be held liable under Section </w:t>
      </w:r>
      <w:r>
        <w:lastRenderedPageBreak/>
        <w:t>1983 on a theory of respondeat superior.</w:t>
      </w:r>
      <w:r>
        <w:rPr>
          <w:rStyle w:val="FootnoteReference"/>
          <w:vertAlign w:val="superscript"/>
        </w:rPr>
        <w:footnoteReference w:id="47"/>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8"/>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rsidR="00A610BD" w:rsidRDefault="00A610BD">
      <w:pPr>
        <w:jc w:val="both"/>
      </w:pPr>
    </w:p>
    <w:p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49"/>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 xml:space="preserve">s </w:t>
      </w:r>
      <w:r>
        <w:lastRenderedPageBreak/>
        <w:t>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rsidR="00A610BD" w:rsidRDefault="00A610BD">
      <w:pPr>
        <w:ind w:firstLine="720"/>
        <w:jc w:val="both"/>
      </w:pPr>
    </w:p>
    <w:p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0"/>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1"/>
      </w:r>
    </w:p>
    <w:p w:rsidR="00A610BD" w:rsidRDefault="00A610BD">
      <w:pPr>
        <w:jc w:val="both"/>
      </w:pPr>
    </w:p>
    <w:p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under color 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 xml:space="preserve">1983 if she can prove that a Kress employee, in the course of </w:t>
      </w:r>
      <w:r>
        <w:lastRenderedPageBreak/>
        <w:t>employment, and a Hattiesburg policeman somehow reached an understanding to deny Miss Adickes service in The Kress store . . . .</w:t>
      </w:r>
      <w:r w:rsidR="00B5136B">
        <w:t>”</w:t>
      </w:r>
      <w:r>
        <w:t>).</w:t>
      </w:r>
      <w:r>
        <w:rPr>
          <w:rStyle w:val="FootnoteReference"/>
          <w:vertAlign w:val="superscript"/>
        </w:rPr>
        <w:footnoteReference w:id="52"/>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3"/>
      </w:r>
    </w:p>
    <w:p w:rsidR="00A610BD" w:rsidRDefault="00A610BD">
      <w:pPr>
        <w:jc w:val="both"/>
      </w:pPr>
    </w:p>
    <w:p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xml:space="preserve">, 600 F.2d at 620-21 (discussing agreement and overt act requirements).  Of course, in order to find liability under Section 1983, the jury must </w:t>
      </w:r>
      <w:r>
        <w:lastRenderedPageBreak/>
        <w:t>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rsidR="00A610BD" w:rsidRDefault="00A610BD">
      <w:pPr>
        <w:jc w:val="both"/>
      </w:pPr>
    </w:p>
    <w:p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rsidR="00A610BD" w:rsidRDefault="00A610BD">
      <w:pPr>
        <w:jc w:val="both"/>
      </w:pPr>
    </w:p>
    <w:p w:rsidR="00A610BD" w:rsidRDefault="00A610BD">
      <w:pPr>
        <w:ind w:firstLine="720"/>
        <w:jc w:val="both"/>
      </w:pPr>
      <w:r>
        <w:t>The second element of [plaintiff</w:t>
      </w:r>
      <w:r w:rsidR="000D09A4">
        <w:t>’</w:t>
      </w:r>
      <w:r>
        <w:t>s] claim is that [defendant] deprived [him/her] of a federal [constitutional right] [statutory right].</w:t>
      </w:r>
    </w:p>
    <w:p w:rsidR="00A610BD" w:rsidRDefault="00A610BD">
      <w:pPr>
        <w:jc w:val="both"/>
      </w:pPr>
    </w:p>
    <w:p w:rsidR="00A610BD" w:rsidRDefault="00A610BD">
      <w:pPr>
        <w:ind w:firstLine="720"/>
        <w:jc w:val="both"/>
      </w:pPr>
      <w:r>
        <w:t>[Insert instructions concerning the relevant constitutional or statutory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See below for instructions concerning particular constitutional violations.  Instructions 7.0 through 7.5 concern employment discrimination and retaliation claims under Section 1983.</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Supervisory Officials</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Pr="00EF672B" w:rsidRDefault="00A610BD">
      <w:pPr>
        <w:jc w:val="both"/>
      </w:pPr>
    </w:p>
    <w:p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rsidR="00A610BD" w:rsidRPr="00EF672B" w:rsidRDefault="00A610BD">
      <w:pPr>
        <w:jc w:val="both"/>
      </w:pPr>
    </w:p>
    <w:p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rsidR="00A610BD" w:rsidRDefault="00A610BD">
      <w:pPr>
        <w:jc w:val="both"/>
      </w:pPr>
    </w:p>
    <w:p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rsidR="00A610BD" w:rsidRDefault="00A610BD">
      <w:pPr>
        <w:jc w:val="both"/>
      </w:pPr>
    </w:p>
    <w:p w:rsidR="00A610BD" w:rsidRDefault="00A610BD">
      <w:pPr>
        <w:ind w:left="720"/>
        <w:jc w:val="both"/>
      </w:pPr>
      <w:r>
        <w:t>First:  [Supervisor] directed [subordinate] to take the action in question;</w:t>
      </w:r>
    </w:p>
    <w:p w:rsidR="00A610BD" w:rsidRDefault="00A610BD">
      <w:pPr>
        <w:jc w:val="both"/>
      </w:pPr>
    </w:p>
    <w:p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rsidR="00A610BD" w:rsidRDefault="00A610BD">
      <w:pPr>
        <w:jc w:val="both"/>
      </w:pPr>
    </w:p>
    <w:p w:rsidR="00A610BD" w:rsidRDefault="00A610BD">
      <w:pPr>
        <w:ind w:left="720"/>
        <w:jc w:val="both"/>
      </w:pPr>
      <w:r>
        <w:t>Third:  [Supervisor], with deliberate indifference to the consequences, established and maintained a policy, practice or custom which directly caused the violation.</w:t>
      </w:r>
    </w:p>
    <w:p w:rsidR="00A610BD" w:rsidRDefault="00A610BD">
      <w:pPr>
        <w:jc w:val="both"/>
      </w:pPr>
    </w:p>
    <w:p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rsidR="00A610BD" w:rsidRDefault="00A610BD">
      <w:pPr>
        <w:jc w:val="both"/>
      </w:pPr>
    </w:p>
    <w:p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rsidR="00A610BD" w:rsidRDefault="00A610BD">
      <w:pPr>
        <w:jc w:val="both"/>
      </w:pPr>
    </w:p>
    <w:p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rsidR="00A610BD" w:rsidRDefault="00A610BD">
      <w:pPr>
        <w:jc w:val="both"/>
      </w:pPr>
    </w:p>
    <w:p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rsidR="00A610BD" w:rsidRDefault="00A610BD">
      <w:pPr>
        <w:jc w:val="both"/>
      </w:pPr>
    </w:p>
    <w:p w:rsidR="00A610BD" w:rsidRDefault="00A610BD">
      <w:pPr>
        <w:ind w:left="720"/>
        <w:jc w:val="both"/>
      </w:pPr>
      <w:r>
        <w:t>First:  [The existing custom and practice without [describe supervisory practice]] [the failure to follow the policy of [describe policy]] created an unreasonable risk of [describe violation].</w:t>
      </w:r>
    </w:p>
    <w:p w:rsidR="00A610BD" w:rsidRDefault="00A610BD">
      <w:pPr>
        <w:jc w:val="both"/>
      </w:pPr>
    </w:p>
    <w:p w:rsidR="00A610BD" w:rsidRDefault="00A610BD">
      <w:pPr>
        <w:ind w:left="720"/>
        <w:jc w:val="both"/>
      </w:pPr>
      <w:r>
        <w:t>Second: [Supervisor] was aware that this unreasonable risk existed.</w:t>
      </w:r>
    </w:p>
    <w:p w:rsidR="00A610BD" w:rsidRDefault="00A610BD">
      <w:pPr>
        <w:jc w:val="both"/>
      </w:pPr>
    </w:p>
    <w:p w:rsidR="00A610BD" w:rsidRDefault="00A610BD">
      <w:pPr>
        <w:ind w:left="720"/>
        <w:jc w:val="both"/>
      </w:pPr>
      <w:r>
        <w:t>Third:  [Supervisor] was deliberately indifferent to that risk.</w:t>
      </w:r>
    </w:p>
    <w:p w:rsidR="00A610BD" w:rsidRDefault="00A610BD">
      <w:pPr>
        <w:jc w:val="both"/>
      </w:pPr>
    </w:p>
    <w:p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rsidR="00A610BD" w:rsidRPr="00650F70" w:rsidRDefault="00A610BD">
      <w:pPr>
        <w:jc w:val="both"/>
      </w:pPr>
    </w:p>
    <w:p w:rsidR="00A610BD" w:rsidRPr="00650F70" w:rsidRDefault="00A610BD">
      <w:pPr>
        <w:jc w:val="both"/>
      </w:pPr>
    </w:p>
    <w:p w:rsidR="00A610BD" w:rsidRPr="00650F70" w:rsidRDefault="00A610BD">
      <w:pPr>
        <w:jc w:val="both"/>
      </w:pPr>
      <w:r w:rsidRPr="00650F70">
        <w:rPr>
          <w:b/>
          <w:bCs/>
        </w:rPr>
        <w:t>Comment</w:t>
      </w:r>
    </w:p>
    <w:p w:rsidR="00A610BD" w:rsidRPr="00650F70" w:rsidRDefault="00A610BD">
      <w:pPr>
        <w:jc w:val="both"/>
      </w:pPr>
    </w:p>
    <w:p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had previously been in use in the Third Circuit.</w:t>
      </w:r>
      <w:r w:rsidRPr="00650F70">
        <w:rPr>
          <w:rStyle w:val="FootnoteReference"/>
          <w:vertAlign w:val="superscript"/>
        </w:rPr>
        <w:footnoteReference w:id="54"/>
      </w:r>
    </w:p>
    <w:p w:rsidR="00EF672B" w:rsidRDefault="00EF672B">
      <w:pPr>
        <w:ind w:firstLine="720"/>
        <w:jc w:val="both"/>
      </w:pPr>
    </w:p>
    <w:p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5"/>
      </w:r>
      <w:r w:rsidRPr="00650F70">
        <w:t xml:space="preserve"> and a deliberate-indifference theory</w:t>
      </w:r>
      <w:r w:rsidR="00640B5E">
        <w:t xml:space="preserve"> – </w:t>
      </w:r>
      <w:r w:rsidRPr="00650F70">
        <w:t xml:space="preserve">were invoked by the plaintiff and the 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 xml:space="preserve">s statements concerning the non-existence of vicarious liability, </w:t>
      </w:r>
      <w:r w:rsidRPr="00650F70">
        <w:lastRenderedPageBreak/>
        <w:t>might be read to cast some question on the viability of those two alternatives.</w:t>
      </w:r>
    </w:p>
    <w:p w:rsidR="00A610BD" w:rsidRDefault="00A610BD">
      <w:pPr>
        <w:jc w:val="both"/>
      </w:pPr>
    </w:p>
    <w:p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6"/>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7"/>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rsidR="00D86B93" w:rsidRDefault="00D86B93">
      <w:pPr>
        <w:ind w:firstLine="720"/>
        <w:jc w:val="both"/>
      </w:pPr>
    </w:p>
    <w:p w:rsidR="00D86B93" w:rsidRPr="00D86B93" w:rsidRDefault="00D86B93" w:rsidP="00D86B93">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It left for another day the question whether and under what circumstances a claim for supervisory liability derived from a violation of a different constitutional provision remains valid.</w:t>
      </w:r>
    </w:p>
    <w:p w:rsidR="00A610BD" w:rsidRPr="00650F70" w:rsidRDefault="00A610BD">
      <w:pPr>
        <w:jc w:val="both"/>
      </w:pPr>
    </w:p>
    <w:p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w:t>
      </w:r>
      <w:r w:rsidRPr="00650F70">
        <w:lastRenderedPageBreak/>
        <w:t xml:space="preserve">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rsidR="00D86B93" w:rsidRDefault="00D86B93">
      <w:pPr>
        <w:ind w:firstLine="720"/>
        <w:jc w:val="both"/>
      </w:pPr>
      <w:r w:rsidRPr="00D86B93">
        <w:t xml:space="preserve"> </w:t>
      </w:r>
    </w:p>
    <w:p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rsidR="00A610BD" w:rsidRPr="00650F70" w:rsidRDefault="00A610BD">
      <w:pPr>
        <w:jc w:val="both"/>
      </w:pPr>
    </w:p>
    <w:p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rsidR="00A610BD" w:rsidRPr="00650F70" w:rsidRDefault="00A610BD">
      <w:pPr>
        <w:jc w:val="both"/>
      </w:pPr>
    </w:p>
    <w:p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8"/>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rsidR="00A610BD" w:rsidRDefault="00A610BD">
      <w:pPr>
        <w:jc w:val="both"/>
      </w:pPr>
    </w:p>
    <w:p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[t]he scope of his responsibilities are much more narrow than that of a governor or state attorney general, and logically demand more particularized scrutiny of individual complaints</w:t>
      </w:r>
      <w:r w:rsidR="00B5136B">
        <w:t>”</w:t>
      </w:r>
      <w:r>
        <w:t>).</w:t>
      </w:r>
    </w:p>
    <w:p w:rsidR="00A610BD" w:rsidRDefault="00A610BD">
      <w:pPr>
        <w:jc w:val="both"/>
      </w:pPr>
    </w:p>
    <w:p w:rsidR="00A610BD" w:rsidRDefault="00A610BD">
      <w:pPr>
        <w:ind w:firstLine="720"/>
        <w:jc w:val="both"/>
      </w:pPr>
      <w:r>
        <w:t>As to acquiescence,</w:t>
      </w:r>
      <w:r w:rsidR="001A007D">
        <w:t xml:space="preserve"> “</w:t>
      </w:r>
      <w:r>
        <w:t xml:space="preserve">[w]here a supervisor with authority over a subordinate knows that the </w:t>
      </w:r>
      <w:r>
        <w:lastRenderedPageBreak/>
        <w:t xml:space="preserve">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rsidR="00A610BD" w:rsidRDefault="00A610BD">
      <w:pPr>
        <w:jc w:val="both"/>
      </w:pPr>
    </w:p>
    <w:p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59"/>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0D09A4">
        <w:t>’</w:t>
      </w:r>
      <w:r w:rsidR="00B5136B">
        <w:t>”</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Intervene</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rsidR="00A610BD" w:rsidRDefault="00A610BD">
      <w:pPr>
        <w:jc w:val="both"/>
      </w:pPr>
    </w:p>
    <w:p w:rsidR="00A610BD" w:rsidRDefault="00A610BD">
      <w:pPr>
        <w:ind w:firstLine="720"/>
        <w:jc w:val="both"/>
      </w:pPr>
      <w:r>
        <w:t>[Defendant] is liable for that violation if plaintiff has proven all of the following four things by a preponderance of the evidence:</w:t>
      </w:r>
    </w:p>
    <w:p w:rsidR="00A610BD" w:rsidRDefault="00A610BD">
      <w:pPr>
        <w:jc w:val="both"/>
      </w:pPr>
    </w:p>
    <w:p w:rsidR="00A610BD" w:rsidRDefault="00A610BD">
      <w:pPr>
        <w:ind w:left="720"/>
        <w:jc w:val="both"/>
      </w:pPr>
      <w:r>
        <w:t>First:  [Third person] violated [plaintiff</w:t>
      </w:r>
      <w:r w:rsidR="000D09A4">
        <w:t>’</w:t>
      </w:r>
      <w:r>
        <w:t>s] [specify right].</w:t>
      </w:r>
    </w:p>
    <w:p w:rsidR="00A610BD" w:rsidRDefault="00A610BD">
      <w:pPr>
        <w:jc w:val="both"/>
      </w:pPr>
    </w:p>
    <w:p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rsidR="00A610BD" w:rsidRDefault="00A610BD">
      <w:pPr>
        <w:jc w:val="both"/>
      </w:pPr>
    </w:p>
    <w:p w:rsidR="00A610BD" w:rsidRDefault="00A610BD">
      <w:pPr>
        <w:ind w:left="720"/>
        <w:jc w:val="both"/>
      </w:pPr>
      <w:r>
        <w:t xml:space="preserve">Third:  [Defendant] had a reasonable opportunity to intervene. </w:t>
      </w:r>
    </w:p>
    <w:p w:rsidR="00A610BD" w:rsidRDefault="00A610BD">
      <w:pPr>
        <w:jc w:val="both"/>
      </w:pPr>
    </w:p>
    <w:p w:rsidR="00A610BD" w:rsidRDefault="00A610BD">
      <w:pPr>
        <w:ind w:left="720"/>
        <w:jc w:val="both"/>
      </w:pPr>
      <w:r>
        <w:t>Fourth:  [Defendant] failed to intervene.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2013 WL 4498670 (3d Cir., Aug 23, 2013) (non-precedential opinion) (reversing grant of judgment as a matter of law because jury could have “reasonably inferred” that officer “must have seen” the beating by other officers “and declined to intervene”).</w:t>
      </w:r>
    </w:p>
    <w:p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rsidR="00A610BD" w:rsidRDefault="00A610BD">
      <w:pPr>
        <w:jc w:val="both"/>
      </w:pPr>
    </w:p>
    <w:p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rsidR="00A610BD" w:rsidRDefault="00A610BD">
      <w:pPr>
        <w:jc w:val="both"/>
      </w:pPr>
    </w:p>
    <w:p w:rsidR="00A610BD" w:rsidRDefault="00A610BD">
      <w:pPr>
        <w:ind w:left="720"/>
        <w:jc w:val="both"/>
      </w:pPr>
      <w:r>
        <w:sym w:font="WP TypographicSymbols" w:char="0021"/>
      </w:r>
      <w:r>
        <w:t xml:space="preserve">  a rule or regulation promulgated, adopted, or ratified by [municipality</w:t>
      </w:r>
      <w:r w:rsidR="000D09A4">
        <w:t>’</w:t>
      </w:r>
      <w:r>
        <w:t>s] legislative body;</w:t>
      </w:r>
    </w:p>
    <w:p w:rsidR="00A610BD" w:rsidRDefault="00A610BD">
      <w:pPr>
        <w:jc w:val="both"/>
      </w:pPr>
    </w:p>
    <w:p w:rsidR="00A610BD" w:rsidRDefault="00A610BD">
      <w:pPr>
        <w:ind w:left="720"/>
        <w:jc w:val="both"/>
      </w:pPr>
      <w:r>
        <w:sym w:font="WP TypographicSymbols" w:char="0021"/>
      </w:r>
      <w:r>
        <w:t xml:space="preserve">  a policy statement or decision that is officially made by [municipality</w:t>
      </w:r>
      <w:r w:rsidR="000D09A4">
        <w:t>’</w:t>
      </w:r>
      <w:r>
        <w:t>s] [policy</w:t>
      </w:r>
      <w:r>
        <w:noBreakHyphen/>
        <w:t>making official];</w:t>
      </w:r>
    </w:p>
    <w:p w:rsidR="00A610BD" w:rsidRDefault="00A610BD">
      <w:pPr>
        <w:jc w:val="both"/>
      </w:pPr>
    </w:p>
    <w:p w:rsidR="00A610BD" w:rsidRDefault="00A610BD">
      <w:pPr>
        <w:ind w:left="720"/>
        <w:jc w:val="both"/>
      </w:pPr>
      <w:r>
        <w:sym w:font="WP TypographicSymbols" w:char="0021"/>
      </w:r>
      <w:r>
        <w:t xml:space="preserve">  a custom that is a widespread, well</w:t>
      </w:r>
      <w:r>
        <w:noBreakHyphen/>
        <w:t>settled practice that constitutes a standard operating procedure of [municipality]; or</w:t>
      </w:r>
    </w:p>
    <w:p w:rsidR="00A610BD" w:rsidRDefault="00A610BD">
      <w:pPr>
        <w:jc w:val="both"/>
      </w:pPr>
    </w:p>
    <w:p w:rsidR="00A610BD" w:rsidRDefault="00A610BD">
      <w:pPr>
        <w:ind w:left="720"/>
        <w:jc w:val="both"/>
      </w:pPr>
      <w:r>
        <w:sym w:font="WP TypographicSymbols" w:char="0021"/>
      </w:r>
      <w:r>
        <w:t xml:space="preserve"> [inadequate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rsidR="00A610BD" w:rsidRDefault="00A610BD">
      <w:pPr>
        <w:jc w:val="both"/>
      </w:pPr>
    </w:p>
    <w:p w:rsidR="00A610BD" w:rsidRDefault="00A610BD">
      <w:pPr>
        <w:jc w:val="both"/>
      </w:pPr>
      <w:r>
        <w:t>I will now proceed to give you more details on [each of] the way[s] in which [plaintiff] may try to establish that an official policy or custom of [municipality] caused the deprivation.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E5F0F">
      <w:pPr>
        <w:ind w:firstLine="720"/>
        <w:jc w:val="both"/>
      </w:pPr>
      <w:r>
        <w:lastRenderedPageBreak/>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0"/>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1"/>
      </w:r>
      <w:r w:rsidR="00A610BD">
        <w:t xml:space="preserve">  The Court has elaborated several ways in which a municipality can cause a violation and thus incur liability.  See Instructions 4.6.4 - 4.6.8 and accompanying Comments for further details on each theory of liability.</w:t>
      </w:r>
    </w:p>
    <w:p w:rsidR="00A610BD" w:rsidRDefault="00A610BD">
      <w:pPr>
        <w:jc w:val="both"/>
      </w:pPr>
    </w:p>
    <w:p w:rsidR="00EF672B"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2"/>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xml:space="preserve">) (quoting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 xml:space="preserve">establishing an underlying </w:t>
      </w:r>
      <w:r>
        <w:lastRenderedPageBreak/>
        <w:t>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violation by an individual officer).</w:t>
      </w:r>
    </w:p>
    <w:p w:rsidR="00830DA4" w:rsidRDefault="00830DA4">
      <w:pPr>
        <w:ind w:firstLine="720"/>
        <w:jc w:val="both"/>
      </w:pPr>
    </w:p>
    <w:p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A sufficiently close causal link between ... a known but uncorrected custom or usage and a specific violation is 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rsidR="00A610BD" w:rsidRDefault="00A610BD">
      <w:pPr>
        <w:jc w:val="both"/>
      </w:pPr>
    </w:p>
    <w:p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rsidR="00A610BD" w:rsidRDefault="00A610BD">
      <w:pPr>
        <w:jc w:val="both"/>
      </w:pPr>
    </w:p>
    <w:p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rsidR="00A610BD" w:rsidRDefault="00A610BD">
      <w:pPr>
        <w:jc w:val="both"/>
      </w:pPr>
    </w:p>
    <w:p w:rsidR="00A610BD" w:rsidRDefault="00A610BD">
      <w:pPr>
        <w:jc w:val="both"/>
      </w:pPr>
      <w:r>
        <w:rPr>
          <w:i/>
          <w:iCs/>
        </w:rPr>
        <w:t>Board of County Com'rs of Bryan County, Okl. v. Brown</w:t>
      </w:r>
      <w:r>
        <w:t>, 520 U.S. 397, 409-10 (1997).</w:t>
      </w:r>
    </w:p>
    <w:p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rsidR="00A610BD" w:rsidRDefault="00A610BD">
      <w:pPr>
        <w:jc w:val="both"/>
      </w:pPr>
    </w:p>
    <w:p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rsidR="00A610BD" w:rsidRDefault="00A610BD">
      <w:pPr>
        <w:jc w:val="both"/>
      </w:pPr>
    </w:p>
    <w:p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rsidR="00A610BD" w:rsidRDefault="00A610BD">
      <w:pPr>
        <w:jc w:val="both"/>
      </w:pPr>
    </w:p>
    <w:p w:rsidR="006848AA" w:rsidRDefault="00A610BD" w:rsidP="006848AA">
      <w:pPr>
        <w:pStyle w:val="ListParagraph"/>
        <w:numPr>
          <w:ilvl w:val="0"/>
          <w:numId w:val="4"/>
        </w:numPr>
        <w:jc w:val="both"/>
      </w:pPr>
      <w:r>
        <w:t>directing that the violation occur,</w:t>
      </w:r>
    </w:p>
    <w:p w:rsidR="006848AA" w:rsidRDefault="00A610BD" w:rsidP="006848AA">
      <w:pPr>
        <w:pStyle w:val="ListParagraph"/>
        <w:numPr>
          <w:ilvl w:val="0"/>
          <w:numId w:val="4"/>
        </w:numPr>
        <w:jc w:val="both"/>
      </w:pPr>
      <w:r>
        <w:t>authorizing the violation, or</w:t>
      </w:r>
    </w:p>
    <w:p w:rsidR="00A610BD" w:rsidRDefault="00A610BD" w:rsidP="006848AA">
      <w:pPr>
        <w:pStyle w:val="ListParagraph"/>
        <w:numPr>
          <w:ilvl w:val="0"/>
          <w:numId w:val="4"/>
        </w:numPr>
        <w:jc w:val="both"/>
      </w:pPr>
      <w:r>
        <w:t>agreeing to a subordinate</w:t>
      </w:r>
      <w:r w:rsidR="000D09A4">
        <w:t>’</w:t>
      </w:r>
      <w:r>
        <w:t>s decision to engage in the violation.</w:t>
      </w:r>
    </w:p>
    <w:p w:rsidR="00A610BD" w:rsidRDefault="00A610BD">
      <w:pPr>
        <w:jc w:val="both"/>
      </w:pPr>
    </w:p>
    <w:p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rsidR="00A610BD" w:rsidRDefault="00A610BD">
      <w:pPr>
        <w:jc w:val="both"/>
      </w:pPr>
    </w:p>
    <w:p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6623E3">
        <w:t>”</w:t>
      </w:r>
      <w:r>
        <w:t xml:space="preserve">).  In </w:t>
      </w:r>
      <w:r>
        <w:lastRenderedPageBreak/>
        <w:t>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3"/>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rsidR="00A610BD" w:rsidRDefault="00A610BD">
      <w:pPr>
        <w:jc w:val="both"/>
      </w:pPr>
    </w:p>
    <w:p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rsidR="00A610BD" w:rsidRDefault="00A610BD">
      <w:pPr>
        <w:jc w:val="both"/>
      </w:pPr>
    </w:p>
    <w:p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rsidR="00A610BD" w:rsidRDefault="00A610BD">
      <w:pPr>
        <w:jc w:val="both"/>
      </w:pPr>
    </w:p>
    <w:p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s decision to engage in the violation.  With respect to the third option</w:t>
      </w:r>
      <w:r w:rsidR="00640B5E">
        <w:t xml:space="preserve"> – </w:t>
      </w:r>
      <w:r>
        <w:t>agreement to a subordinate</w:t>
      </w:r>
      <w:r w:rsidR="000D09A4">
        <w:t>’</w:t>
      </w:r>
      <w:r>
        <w:t>s decision</w:t>
      </w:r>
      <w:r w:rsidR="00640B5E">
        <w:t xml:space="preserve"> </w:t>
      </w:r>
      <w:r w:rsidR="00640B5E">
        <w:lastRenderedPageBreak/>
        <w:t xml:space="preserve">–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4"/>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5"/>
      </w:r>
      <w:r>
        <w:t>]]</w:t>
      </w:r>
    </w:p>
    <w:p w:rsidR="00A610BD" w:rsidRDefault="00A610BD">
      <w:pPr>
        <w:jc w:val="both"/>
      </w:pPr>
    </w:p>
    <w:p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rsidR="00A610BD" w:rsidRDefault="00A610BD">
      <w:pPr>
        <w:jc w:val="both"/>
      </w:pPr>
    </w:p>
    <w:p w:rsidR="00A610BD" w:rsidRDefault="00A610BD">
      <w:pPr>
        <w:jc w:val="both"/>
      </w:pPr>
    </w:p>
    <w:p w:rsidR="00A610BD" w:rsidRDefault="00A610BD">
      <w:pPr>
        <w:ind w:left="720" w:right="720"/>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6"/>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rsidR="00A610BD" w:rsidRDefault="00A610BD">
      <w:pPr>
        <w:jc w:val="both"/>
      </w:pPr>
    </w:p>
    <w:p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rsidR="00A610BD" w:rsidRDefault="00A610BD">
      <w:pPr>
        <w:jc w:val="both"/>
      </w:pPr>
    </w:p>
    <w:p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7"/>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8"/>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 xml:space="preserve">that even when a plaintiff alleges that a municipal custom or practice, as opposed to a municipal policy, worked a constitutional </w:t>
      </w:r>
      <w:r>
        <w:lastRenderedPageBreak/>
        <w:t>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vertAlign w:val="superscript"/>
        </w:rPr>
        <w:footnoteReference w:id="69"/>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rsidR="00A610BD" w:rsidRDefault="00A610BD">
      <w:pPr>
        <w:jc w:val="both"/>
      </w:pPr>
    </w:p>
    <w:p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0"/>
      </w:r>
      <w:r>
        <w:t xml:space="preserve">  Rather, some showing of constructive knowledge may suffice; this view is reflected in the first bracketed sentence in Instruction 4.6.6.  For example, the court seemed to approve a constructive-knowledge standard in </w:t>
      </w:r>
      <w:r>
        <w:rPr>
          <w:i/>
          <w:iCs/>
        </w:rPr>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vertAlign w:val="superscript"/>
        </w:rPr>
        <w:footnoteReference w:id="71"/>
      </w:r>
      <w:r>
        <w:t xml:space="preserve">  But the </w:t>
      </w:r>
      <w:r>
        <w:rPr>
          <w:i/>
          <w:iCs/>
        </w:rPr>
        <w:t>Bielevicz</w:t>
      </w:r>
      <w:r>
        <w:t xml:space="preserve"> court took care to note that</w:t>
      </w:r>
      <w:r w:rsidR="00A8690A">
        <w:t xml:space="preserve"> “</w:t>
      </w:r>
      <w:r>
        <w:t xml:space="preserve">[t]his does not mean ... that the </w:t>
      </w:r>
      <w:r>
        <w:lastRenderedPageBreak/>
        <w:t>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2"/>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bookmarkStart w:id="0" w:name="_GoBack"/>
      <w:bookmarkEnd w:id="0"/>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3"/>
      </w:r>
      <w:r>
        <w:t xml:space="preserve">  In holding that the plaintiffs were entitled to reach a jury on their claims, the </w:t>
      </w:r>
      <w:r>
        <w:rPr>
          <w:i/>
          <w:iCs/>
        </w:rPr>
        <w:t>Beck</w:t>
      </w:r>
      <w:r>
        <w:t> court focused on evidence</w:t>
      </w:r>
      <w:r w:rsidR="00A8690A">
        <w:t xml:space="preserve"> “</w:t>
      </w:r>
      <w:r>
        <w:t>that the Chief of Police of Pittsburgh and his department knew, or should have known, 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rsidR="00A610BD" w:rsidRDefault="00A610BD">
      <w:pPr>
        <w:jc w:val="both"/>
      </w:pPr>
    </w:p>
    <w:p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4"/>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[A] municipality's failure to train police officers 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rsidR="00A610BD" w:rsidRDefault="00A610BD">
      <w:pPr>
        <w:tabs>
          <w:tab w:val="center" w:pos="4680"/>
        </w:tabs>
        <w:jc w:val="both"/>
      </w:pPr>
      <w:r>
        <w:rPr>
          <w:b/>
          <w:bCs/>
          <w:sz w:val="28"/>
          <w:szCs w:val="28"/>
        </w:rPr>
        <w:tab/>
        <w:t>Inadequate Training or Supervision</w:t>
      </w:r>
    </w:p>
    <w:p w:rsidR="00A610BD" w:rsidRDefault="00A610BD">
      <w:pPr>
        <w:jc w:val="both"/>
      </w:pPr>
    </w:p>
    <w:p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rsidR="00A610BD" w:rsidRDefault="00A610BD">
      <w:pPr>
        <w:jc w:val="both"/>
      </w:pPr>
    </w:p>
    <w:p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rsidR="00A610BD" w:rsidRDefault="00A610BD">
      <w:pPr>
        <w:jc w:val="both"/>
      </w:pPr>
    </w:p>
    <w:p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rsidR="00A610BD" w:rsidRDefault="00A610BD">
      <w:pPr>
        <w:jc w:val="both"/>
      </w:pPr>
    </w:p>
    <w:p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rsidR="00A610BD" w:rsidRDefault="00A610BD">
      <w:pPr>
        <w:jc w:val="both"/>
      </w:pPr>
    </w:p>
    <w:p w:rsidR="00A610BD" w:rsidRDefault="00A610BD">
      <w:pPr>
        <w:ind w:left="720"/>
        <w:jc w:val="both"/>
      </w:pPr>
      <w:r>
        <w:t>Third:  [Municipality</w:t>
      </w:r>
      <w:r w:rsidR="000D09A4">
        <w:t>’</w:t>
      </w:r>
      <w:r>
        <w:t>s] failure to [adequately train] [adequately supervise] proximately caused the violation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rsidR="00A610BD" w:rsidRDefault="00A610BD">
      <w:pPr>
        <w:jc w:val="both"/>
      </w:pPr>
    </w:p>
    <w:p w:rsidR="00A610BD" w:rsidRDefault="00A610BD">
      <w:pPr>
        <w:ind w:left="720"/>
        <w:jc w:val="both"/>
      </w:pPr>
      <w:r>
        <w:t>First:  [Governing body] or [policymaking official] knew that employees would confront a particular situation.</w:t>
      </w:r>
    </w:p>
    <w:p w:rsidR="00A610BD" w:rsidRDefault="00A610BD">
      <w:pPr>
        <w:jc w:val="both"/>
      </w:pPr>
    </w:p>
    <w:p w:rsidR="00A610BD" w:rsidRDefault="00A610BD">
      <w:pPr>
        <w:ind w:left="720"/>
        <w:jc w:val="both"/>
      </w:pPr>
      <w:r>
        <w:t>Second: The situation involved [a matter that employees had a history of mishandling].</w:t>
      </w:r>
      <w:r>
        <w:rPr>
          <w:rStyle w:val="FootnoteReference"/>
          <w:vertAlign w:val="superscript"/>
        </w:rPr>
        <w:footnoteReference w:id="75"/>
      </w:r>
    </w:p>
    <w:p w:rsidR="00A610BD" w:rsidRDefault="00A610BD">
      <w:pPr>
        <w:jc w:val="both"/>
      </w:pPr>
    </w:p>
    <w:p w:rsidR="00A610BD" w:rsidRDefault="00A610BD">
      <w:pPr>
        <w:ind w:left="720"/>
        <w:jc w:val="both"/>
      </w:pPr>
      <w:r>
        <w:t>Third: The wrong choice by an employee in that situation will frequently cause a deprivation of [specify right].</w:t>
      </w:r>
    </w:p>
    <w:p w:rsidR="00A610BD" w:rsidRDefault="00A610BD">
      <w:pPr>
        <w:jc w:val="both"/>
      </w:pPr>
    </w:p>
    <w:p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6"/>
      </w:r>
      <w:r>
        <w:t xml:space="preserve"> training, supervision or investigation, or by a failure to adopt a needed policy.</w:t>
      </w:r>
      <w:r>
        <w:rPr>
          <w:rStyle w:val="FootnoteReference"/>
          <w:vertAlign w:val="superscript"/>
        </w:rPr>
        <w:footnoteReference w:id="77"/>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8"/>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rsidR="00A610BD" w:rsidRDefault="00A610BD">
      <w:pPr>
        <w:jc w:val="both"/>
      </w:pPr>
    </w:p>
    <w:p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 xml:space="preserve">).  Thus,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[I]t may happen that in light of the duties assigned to specific officers or employees the need for more or different training is so obvious, 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xml:space="preserve">, 749 F.3d 217 (3d Cir. 2014), the court of appeals found the evidence sufficient for the claim to go to a jury under this standard. It held that “a reasonable jury could conclude based on the frequency of fights and the volatile nature of the prison” that the </w:t>
      </w:r>
      <w:r w:rsidR="00830DA4" w:rsidRPr="00830DA4">
        <w:lastRenderedPageBreak/>
        <w:t>county was deliberately indifferent based on its failure to provide training in conflict de-escalation.</w:t>
      </w:r>
    </w:p>
    <w:p w:rsidR="0080651D" w:rsidRDefault="0080651D">
      <w:pPr>
        <w:ind w:firstLine="720"/>
        <w:jc w:val="both"/>
      </w:pPr>
    </w:p>
    <w:p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79"/>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rsidR="00A610BD" w:rsidRDefault="00A610BD">
      <w:pPr>
        <w:jc w:val="both"/>
      </w:pPr>
    </w:p>
    <w:p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rsidR="00A610BD" w:rsidRDefault="00A610BD">
      <w:pPr>
        <w:jc w:val="both"/>
      </w:pPr>
    </w:p>
    <w:p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rsidR="00A610BD" w:rsidRDefault="00A610BD">
      <w:pPr>
        <w:jc w:val="both"/>
      </w:pPr>
    </w:p>
    <w:p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rsidR="00A610BD" w:rsidRDefault="00A610BD">
      <w:pPr>
        <w:jc w:val="both"/>
      </w:pPr>
    </w:p>
    <w:p w:rsidR="00A610BD" w:rsidRDefault="00A610BD">
      <w:pPr>
        <w:ind w:left="720"/>
        <w:jc w:val="both"/>
      </w:pPr>
      <w:r>
        <w:t>First:  [Municipality] failed to check adequately [employee</w:t>
      </w:r>
      <w:r w:rsidR="000D09A4">
        <w:t>’</w:t>
      </w:r>
      <w:r>
        <w:t>s] background when hiring [him/her].</w:t>
      </w:r>
    </w:p>
    <w:p w:rsidR="00A610BD" w:rsidRDefault="00A610BD">
      <w:pPr>
        <w:jc w:val="both"/>
      </w:pPr>
    </w:p>
    <w:p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rsidR="00A610BD" w:rsidRDefault="00A610BD">
      <w:pPr>
        <w:jc w:val="both"/>
      </w:pPr>
    </w:p>
    <w:p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rsidR="00A610BD" w:rsidRDefault="00A610BD">
      <w:pPr>
        <w:jc w:val="both"/>
      </w:pPr>
    </w:p>
    <w:p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rsidR="00A610BD" w:rsidRDefault="00A610BD">
      <w:pPr>
        <w:jc w:val="both"/>
      </w:pPr>
    </w:p>
    <w:p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0"/>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rsidR="00A610BD" w:rsidRDefault="00A610BD">
      <w:pPr>
        <w:jc w:val="both"/>
      </w:pPr>
    </w:p>
    <w:p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rsidR="00A610BD" w:rsidRDefault="00A610BD">
      <w:pPr>
        <w:jc w:val="both"/>
      </w:pPr>
    </w:p>
    <w:p w:rsidR="00A610BD" w:rsidRDefault="00A610BD">
      <w:pPr>
        <w:jc w:val="both"/>
      </w:pPr>
      <w:r>
        <w:rPr>
          <w:i/>
          <w:iCs/>
        </w:rPr>
        <w:t>Id.</w:t>
      </w:r>
      <w:r>
        <w:t xml:space="preserve"> at 408-09.  The Court also drew a distinction between inadequate training cases and inadequate screening cases:</w:t>
      </w:r>
    </w:p>
    <w:p w:rsidR="00A610BD" w:rsidRDefault="00A610BD">
      <w:pPr>
        <w:jc w:val="both"/>
      </w:pPr>
    </w:p>
    <w:p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circumstances, a violation of federal rights may be a highly predictable </w:t>
      </w:r>
      <w:r>
        <w:lastRenderedPageBreak/>
        <w:t>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rsidR="00A610BD" w:rsidRDefault="00A610BD">
      <w:pPr>
        <w:jc w:val="both"/>
      </w:pPr>
    </w:p>
    <w:p w:rsidR="00A610BD" w:rsidRDefault="00A610BD">
      <w:pPr>
        <w:jc w:val="both"/>
      </w:pPr>
      <w:r>
        <w:rPr>
          <w:i/>
          <w:iCs/>
        </w:rPr>
        <w:t>Id.</w:t>
      </w:r>
      <w:r>
        <w:t xml:space="preserve"> at 409-10.  Thus, in the inadequate screening context,</w:t>
      </w:r>
    </w:p>
    <w:p w:rsidR="00A610BD" w:rsidRDefault="00A610BD">
      <w:pPr>
        <w:jc w:val="both"/>
      </w:pPr>
    </w:p>
    <w:p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rsidR="00A610BD" w:rsidRDefault="00A610BD">
      <w:pPr>
        <w:jc w:val="both"/>
      </w:pPr>
    </w:p>
    <w:p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rsidR="00A610BD" w:rsidRDefault="00A610BD">
      <w:pPr>
        <w:jc w:val="both"/>
      </w:pPr>
    </w:p>
    <w:p w:rsidR="00A610BD" w:rsidRDefault="00A610BD">
      <w:pPr>
        <w:ind w:firstLine="720"/>
        <w:jc w:val="both"/>
      </w:pPr>
      <w:r>
        <w:t>Instruction 4.6.8 is designed for use in cases where the plaintiff alleges that the municipality failed adequately to check the prospective employee</w:t>
      </w:r>
      <w:r w:rsidR="000D09A4">
        <w:t>’</w:t>
      </w:r>
      <w:r>
        <w:t>s background.  In some cases, the asserted basis for liability may be, instead, that the municipality checked the prospective employee</w:t>
      </w:r>
      <w:r w:rsidR="000D09A4">
        <w:t>’</w:t>
      </w:r>
      <w:r>
        <w:t xml:space="preserve">s background, learned of information indicating the risk that the person would commit the relevant constitutional violation, and nonetheless hired the person.  In such cases, Instruction </w:t>
      </w:r>
      <w:r>
        <w:lastRenderedPageBreak/>
        <w:t>4.6.8 can be modified as needed to reflect the fact that ignoring known information also can form the basis for an inadequate screening claim.</w:t>
      </w:r>
    </w:p>
    <w:p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rsidR="00A610BD" w:rsidRDefault="00A610BD">
      <w:pPr>
        <w:tabs>
          <w:tab w:val="center" w:pos="4680"/>
        </w:tabs>
        <w:jc w:val="both"/>
        <w:rPr>
          <w:b/>
          <w:bCs/>
          <w:sz w:val="28"/>
          <w:szCs w:val="28"/>
        </w:rPr>
      </w:pPr>
      <w:r>
        <w:rPr>
          <w:b/>
          <w:bCs/>
          <w:sz w:val="28"/>
          <w:szCs w:val="28"/>
        </w:rPr>
        <w:tab/>
        <w:t>Conduct Not Covered by Absolute Immunity</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rsidR="00A610BD" w:rsidRPr="00B8746B" w:rsidRDefault="00A610BD">
      <w:pPr>
        <w:jc w:val="both"/>
      </w:pPr>
    </w:p>
    <w:p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rsidR="00A610BD" w:rsidRDefault="00A610BD">
      <w:pPr>
        <w:jc w:val="both"/>
      </w:pPr>
    </w:p>
    <w:p w:rsidR="00A610BD" w:rsidRDefault="00A610BD">
      <w:pPr>
        <w:ind w:firstLine="720"/>
        <w:jc w:val="both"/>
      </w:pPr>
      <w:r>
        <w:t>Prosecutors</w:t>
      </w:r>
      <w:r>
        <w:rPr>
          <w:rStyle w:val="FootnoteReference"/>
          <w:vertAlign w:val="superscript"/>
        </w:rPr>
        <w:footnoteReference w:id="81"/>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vertAlign w:val="superscript"/>
        </w:rPr>
        <w:footnoteReference w:id="82"/>
      </w:r>
    </w:p>
    <w:p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3"/>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4"/>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rsidR="00A610BD" w:rsidRDefault="00A610BD">
      <w:pPr>
        <w:jc w:val="both"/>
      </w:pPr>
    </w:p>
    <w:p w:rsidR="00A610BD" w:rsidRDefault="00A610BD">
      <w:pPr>
        <w:ind w:firstLine="720"/>
        <w:jc w:val="both"/>
      </w:pPr>
      <w:r>
        <w:t xml:space="preserve">State or local legislators enjoy absolute immunity from suits seeking damages or injunctive 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xml:space="preserve">, 523 U.S. 44, 49 (1998) </w:t>
      </w:r>
      <w:r>
        <w:lastRenderedPageBreak/>
        <w:t>(unanimous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5"/>
      </w:r>
      <w:r>
        <w:t xml:space="preserve"> the Court of Appeals has questioned the two-part test</w:t>
      </w:r>
      <w:r w:rsidR="000D09A4">
        <w:t>’</w:t>
      </w:r>
      <w:r>
        <w:t>s applicability to local officials</w:t>
      </w:r>
      <w:r>
        <w:rPr>
          <w:rStyle w:val="FootnoteReference"/>
          <w:vertAlign w:val="superscript"/>
        </w:rPr>
        <w:footnoteReference w:id="86"/>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[B]ecause concerns for the separation of powers are often at a minimum at the municipal level, we decline to 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xml:space="preserve">, 481 F.3d 187, 199 (3d Cir. 2007) (addressing claims against New Jersey Governor and chair of the </w:t>
      </w:r>
      <w:r>
        <w:lastRenderedPageBreak/>
        <w:t>New Jersey State Council for the Arts).</w:t>
      </w:r>
      <w:r>
        <w:rPr>
          <w:rStyle w:val="FootnoteReference"/>
          <w:vertAlign w:val="superscript"/>
        </w:rPr>
        <w:footnoteReference w:id="87"/>
      </w:r>
    </w:p>
    <w:p w:rsidR="00A610BD" w:rsidRDefault="00930E04">
      <w:pPr>
        <w:ind w:firstLine="720"/>
        <w:jc w:val="both"/>
      </w:pPr>
      <w:r>
        <w:t>Law enforcement</w:t>
      </w:r>
      <w:r w:rsidR="00A610BD">
        <w:t xml:space="preserve"> officers who serve as witnesses generally have absolute immunity from claims concerning their testimony.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8"/>
      </w:r>
    </w:p>
    <w:p w:rsidR="00A610BD" w:rsidRDefault="00A610BD">
      <w:pPr>
        <w:jc w:val="both"/>
      </w:pPr>
    </w:p>
    <w:p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Qualified Immunity</w:t>
      </w:r>
    </w:p>
    <w:p w:rsidR="00A610BD" w:rsidRDefault="00A610BD">
      <w:pPr>
        <w:jc w:val="both"/>
        <w:rPr>
          <w:b/>
          <w:bCs/>
          <w:sz w:val="28"/>
          <w:szCs w:val="28"/>
        </w:rPr>
      </w:pPr>
    </w:p>
    <w:p w:rsidR="00A610BD" w:rsidRDefault="00A610BD">
      <w:pPr>
        <w:jc w:val="both"/>
        <w:rPr>
          <w:b/>
          <w:bCs/>
          <w:sz w:val="28"/>
          <w:szCs w:val="28"/>
        </w:rPr>
      </w:pPr>
    </w:p>
    <w:p w:rsidR="00A610BD" w:rsidRDefault="00A610BD">
      <w:pPr>
        <w:ind w:left="720"/>
        <w:jc w:val="both"/>
      </w:pPr>
      <w:r>
        <w:rPr>
          <w:i/>
          <w:iCs/>
        </w:rPr>
        <w:t>Note: For the reasons explained in the Comment, the jury should not be instructed on qualified immunity.  Accordingly, no instruction on this issue is provided.</w:t>
      </w:r>
    </w:p>
    <w:p w:rsidR="00A610BD" w:rsidRDefault="00A610BD">
      <w:pPr>
        <w:jc w:val="both"/>
      </w:pPr>
    </w:p>
    <w:p w:rsidR="00A610BD" w:rsidRDefault="00A610BD">
      <w:pPr>
        <w:jc w:val="both"/>
      </w:pPr>
    </w:p>
    <w:p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Comment</w:t>
      </w:r>
    </w:p>
    <w:p w:rsidR="00A610BD" w:rsidRDefault="00A610BD">
      <w:pPr>
        <w:jc w:val="both"/>
      </w:pPr>
    </w:p>
    <w:p w:rsidR="0017311F" w:rsidRDefault="001237D8">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xml:space="preserve">, 457 U.S. 800, 818 (1982).  </w:t>
      </w:r>
      <w:r w:rsidR="004808A7" w:rsidRPr="004808A7">
        <w:t xml:space="preserve">The analysis of qualified immunity involves two questions.  One question is whether “the officer's conduct violated a constitutional right.”  </w:t>
      </w:r>
      <w:r w:rsidR="004808A7" w:rsidRPr="004808A7">
        <w:rPr>
          <w:i/>
          <w:iCs/>
        </w:rPr>
        <w:t>Saucier v. Katz</w:t>
      </w:r>
      <w:r w:rsidR="004808A7" w:rsidRPr="004808A7">
        <w:t>, 533 U.S. 194, 201 (2001).</w:t>
      </w:r>
      <w:r w:rsidR="004808A7" w:rsidRPr="004808A7">
        <w:rPr>
          <w:vertAlign w:val="superscript"/>
        </w:rPr>
        <w:t xml:space="preserve"> </w:t>
      </w:r>
      <w:r w:rsidR="004808A7" w:rsidRPr="004808A7">
        <w:rPr>
          <w:vertAlign w:val="superscript"/>
        </w:rPr>
        <w:footnoteReference w:id="89"/>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0"/>
      </w:r>
      <w:r w:rsidR="004808A7" w:rsidRPr="004808A7">
        <w:t xml:space="preserve">  Id. at 201-02.  It will often be useful for the court to address </w:t>
      </w:r>
      <w:r w:rsidR="004808A7" w:rsidRPr="004808A7">
        <w:lastRenderedPageBreak/>
        <w:t xml:space="preserve">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r w:rsidR="004808A7" w:rsidRPr="004808A7">
        <w:rPr>
          <w:i/>
        </w:rPr>
        <w:t>Reichle v. Howards</w:t>
      </w:r>
      <w:r w:rsidR="004808A7" w:rsidRPr="004808A7">
        <w:t>, 132 S. Ct. 2088, 2093 (2012</w:t>
      </w:r>
      <w:r w:rsidR="004808A7" w:rsidRPr="00830DA4">
        <w:t>)</w:t>
      </w:r>
      <w:r w:rsidR="00830DA4" w:rsidRPr="00830DA4">
        <w:t xml:space="preserve">; </w:t>
      </w:r>
      <w:r w:rsidR="00830DA4" w:rsidRPr="00830DA4">
        <w:rPr>
          <w:i/>
        </w:rPr>
        <w:t>Plumhoff v. Rickard,</w:t>
      </w:r>
      <w:r w:rsidR="00830DA4" w:rsidRPr="00830DA4">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w:t>
      </w:r>
      <w:r w:rsidR="004808A7" w:rsidRPr="004808A7">
        <w:rPr>
          <w:vertAlign w:val="superscript"/>
        </w:rPr>
        <w:footnoteReference w:id="91"/>
      </w:r>
    </w:p>
    <w:p w:rsidR="000A3E7C" w:rsidRDefault="000A3E7C">
      <w:pPr>
        <w:ind w:firstLine="720"/>
        <w:jc w:val="both"/>
      </w:pPr>
    </w:p>
    <w:p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rsidR="00A610BD" w:rsidRDefault="00A610BD">
      <w:pPr>
        <w:jc w:val="both"/>
      </w:pPr>
    </w:p>
    <w:p w:rsidR="00A610BD" w:rsidRDefault="00A610BD">
      <w:pPr>
        <w:ind w:left="720" w:right="720"/>
        <w:jc w:val="both"/>
      </w:pPr>
      <w:r>
        <w:t xml:space="preserve">[t]he concern of the immunity inquiry is to acknowledge that reasonable mistakes can be made as to the legal constraints on particular police conduct.  It is sometimes difficult for an officer to determine how the relevant legal doctrine, here excessive </w:t>
      </w:r>
      <w:r>
        <w:lastRenderedPageBreak/>
        <w:t>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rsidR="00A610BD" w:rsidRDefault="00A610BD">
      <w:pPr>
        <w:jc w:val="both"/>
      </w:pPr>
    </w:p>
    <w:p w:rsidR="00A610BD" w:rsidRDefault="00A610BD">
      <w:pPr>
        <w:jc w:val="both"/>
      </w:pPr>
      <w:r>
        <w:rPr>
          <w:i/>
          <w:iCs/>
        </w:rPr>
        <w:t>Saucier</w:t>
      </w:r>
      <w:r>
        <w:t>, 533 U.S. at 205.</w:t>
      </w:r>
      <w:r>
        <w:rPr>
          <w:rStyle w:val="FootnoteReference"/>
          <w:vertAlign w:val="superscript"/>
        </w:rPr>
        <w:footnoteReference w:id="92"/>
      </w:r>
    </w:p>
    <w:p w:rsidR="003054F7" w:rsidRDefault="003054F7">
      <w:pPr>
        <w:jc w:val="both"/>
      </w:pPr>
    </w:p>
    <w:p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rsidR="003054F7" w:rsidRDefault="003054F7">
      <w:pPr>
        <w:ind w:firstLine="720"/>
        <w:jc w:val="both"/>
      </w:pPr>
    </w:p>
    <w:p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3"/>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w:t>
      </w:r>
      <w:r>
        <w:lastRenderedPageBreak/>
        <w:t xml:space="preserve">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4"/>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vertAlign w:val="superscript"/>
        </w:rPr>
        <w:footnoteReference w:id="95"/>
      </w:r>
    </w:p>
    <w:p w:rsidR="00A610BD" w:rsidRDefault="00A610BD">
      <w:pPr>
        <w:ind w:firstLine="720"/>
        <w:jc w:val="both"/>
      </w:pPr>
      <w:r>
        <w:t>The court, then, should not instruct the jury on qualified immunity.</w:t>
      </w:r>
      <w:r>
        <w:rPr>
          <w:rStyle w:val="FootnoteReference"/>
          <w:vertAlign w:val="superscript"/>
        </w:rPr>
        <w:footnoteReference w:id="96"/>
      </w:r>
      <w:r>
        <w:t xml:space="preserve">  Rather, the court </w:t>
      </w:r>
      <w:r>
        <w:lastRenderedPageBreak/>
        <w:t>should determine (in consultation with counsel) what the disputed issues of historical fact are.  The 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7"/>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8"/>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99"/>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rsidR="00A610BD" w:rsidRDefault="00A610BD">
      <w:pPr>
        <w:jc w:val="both"/>
      </w:pPr>
    </w:p>
    <w:p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rsidR="00A610BD" w:rsidRDefault="00A610BD">
      <w:pPr>
        <w:jc w:val="both"/>
      </w:pPr>
    </w:p>
    <w:p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rsidR="00A610BD" w:rsidRDefault="00A610BD">
      <w:pPr>
        <w:jc w:val="both"/>
      </w:pPr>
    </w:p>
    <w:p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0"/>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vertAlign w:val="superscript"/>
        </w:rPr>
        <w:footnoteReference w:id="101"/>
      </w:r>
      <w:r>
        <w:t xml:space="preserve"> </w:t>
      </w:r>
    </w:p>
    <w:p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municipalities have no immunity from damages liability flowing from their constitutional 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rsidR="00A610BD" w:rsidRDefault="00A610BD">
      <w:pPr>
        <w:jc w:val="both"/>
      </w:pPr>
    </w:p>
    <w:p w:rsidR="00A610BD" w:rsidRDefault="00A610BD">
      <w:pPr>
        <w:ind w:firstLine="720"/>
        <w:jc w:val="both"/>
      </w:pPr>
      <w:r>
        <w:lastRenderedPageBreak/>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Release-Dismissal Agreement</w:t>
      </w:r>
    </w:p>
    <w:p w:rsidR="00A610BD" w:rsidRDefault="00A610BD">
      <w:pPr>
        <w:jc w:val="both"/>
        <w:rPr>
          <w:b/>
          <w:bCs/>
          <w:sz w:val="28"/>
          <w:szCs w:val="28"/>
        </w:rPr>
      </w:pPr>
    </w:p>
    <w:p w:rsidR="000E258F" w:rsidRDefault="000E258F">
      <w:pPr>
        <w:jc w:val="both"/>
        <w:rPr>
          <w:b/>
          <w:bCs/>
          <w:sz w:val="28"/>
          <w:szCs w:val="28"/>
        </w:rPr>
        <w:sectPr w:rsidR="000E258F" w:rsidSect="00D413BD">
          <w:headerReference w:type="default" r:id="rId27"/>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rsidR="00A610BD" w:rsidRDefault="00A610BD">
      <w:pPr>
        <w:jc w:val="both"/>
      </w:pPr>
    </w:p>
    <w:p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rsidR="00A610BD" w:rsidRDefault="00A610BD">
      <w:pPr>
        <w:jc w:val="both"/>
      </w:pPr>
    </w:p>
    <w:p w:rsidR="00A610BD" w:rsidRDefault="00A610BD">
      <w:pPr>
        <w:ind w:firstLine="720"/>
        <w:jc w:val="both"/>
      </w:pPr>
      <w:r>
        <w:t>Second, [defendant] must prove [by clear and convincing evidence]</w:t>
      </w:r>
      <w:r>
        <w:rPr>
          <w:rStyle w:val="FootnoteReference"/>
          <w:vertAlign w:val="superscript"/>
        </w:rPr>
        <w:footnoteReference w:id="102"/>
      </w:r>
      <w:r>
        <w:t xml:space="preserve"> [by a preponderance of the evidence]</w:t>
      </w:r>
      <w:r>
        <w:rPr>
          <w:rStyle w:val="FootnoteReference"/>
          <w:vertAlign w:val="superscript"/>
        </w:rPr>
        <w:footnoteReference w:id="103"/>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4"/>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rsidR="00A610BD" w:rsidRDefault="00A610BD">
      <w:pPr>
        <w:jc w:val="both"/>
      </w:pPr>
    </w:p>
    <w:p w:rsidR="00434E7C" w:rsidRDefault="00A610BD" w:rsidP="00434E7C">
      <w:pPr>
        <w:pStyle w:val="ListParagraph"/>
        <w:numPr>
          <w:ilvl w:val="0"/>
          <w:numId w:val="5"/>
        </w:numPr>
        <w:jc w:val="both"/>
      </w:pPr>
      <w:r>
        <w:t>The words of the written release that [plaintiff] signed;</w:t>
      </w:r>
    </w:p>
    <w:p w:rsidR="00434E7C" w:rsidRDefault="00A610BD" w:rsidP="00434E7C">
      <w:pPr>
        <w:pStyle w:val="ListParagraph"/>
        <w:numPr>
          <w:ilvl w:val="0"/>
          <w:numId w:val="5"/>
        </w:numPr>
        <w:jc w:val="both"/>
      </w:pPr>
      <w:r>
        <w:t>Whether [plaintiff] was in custody at the time [he/she] entered into the release;</w:t>
      </w:r>
    </w:p>
    <w:p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rsidR="00434E7C" w:rsidRDefault="00A610BD" w:rsidP="00434E7C">
      <w:pPr>
        <w:pStyle w:val="ListParagraph"/>
        <w:numPr>
          <w:ilvl w:val="0"/>
          <w:numId w:val="5"/>
        </w:numPr>
        <w:jc w:val="both"/>
      </w:pPr>
      <w:r>
        <w:t>Whether [plaintiff] agreed to the release immediately or whether [plaintiff] took time to think about it;</w:t>
      </w:r>
    </w:p>
    <w:p w:rsidR="00434E7C" w:rsidRDefault="00A610BD" w:rsidP="00434E7C">
      <w:pPr>
        <w:pStyle w:val="ListParagraph"/>
        <w:numPr>
          <w:ilvl w:val="0"/>
          <w:numId w:val="5"/>
        </w:numPr>
        <w:jc w:val="both"/>
      </w:pPr>
      <w:r>
        <w:t>Whether [plaintiff] expressed any unwillingness to enter into the release; and</w:t>
      </w:r>
    </w:p>
    <w:p w:rsidR="00A610BD" w:rsidRDefault="00A610BD" w:rsidP="00434E7C">
      <w:pPr>
        <w:pStyle w:val="ListParagraph"/>
        <w:numPr>
          <w:ilvl w:val="0"/>
          <w:numId w:val="5"/>
        </w:numPr>
        <w:jc w:val="both"/>
      </w:pPr>
      <w:r>
        <w:t>Whether the terms of the release were clear.</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5"/>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rsidR="00A610BD" w:rsidRDefault="00A610BD">
      <w:pPr>
        <w:jc w:val="both"/>
      </w:pPr>
    </w:p>
    <w:p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6"/>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rsidR="00A610BD" w:rsidRDefault="00A610BD">
      <w:pPr>
        <w:jc w:val="both"/>
      </w:pPr>
    </w:p>
    <w:p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 xml:space="preserve">countervailing interest ... in </w:t>
      </w:r>
      <w:r>
        <w:lastRenderedPageBreak/>
        <w:t>detecting and deterring official misconduct</w:t>
      </w:r>
      <w:r w:rsidR="001F40F6">
        <w:t>”</w:t>
      </w:r>
      <w:r>
        <w:t xml:space="preserve">); </w:t>
      </w:r>
      <w:r>
        <w:rPr>
          <w:i/>
          <w:iCs/>
        </w:rPr>
        <w:t>id.</w:t>
      </w:r>
      <w:r>
        <w:t xml:space="preserve"> at 528-29 (assessing possible rationales).</w:t>
      </w:r>
      <w:r>
        <w:rPr>
          <w:rStyle w:val="FootnoteReference"/>
          <w:vertAlign w:val="superscript"/>
        </w:rPr>
        <w:footnoteReference w:id="107"/>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8"/>
      </w:r>
    </w:p>
    <w:p w:rsidR="00A610BD" w:rsidRDefault="00A610BD">
      <w:pPr>
        <w:jc w:val="both"/>
      </w:pPr>
    </w:p>
    <w:p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09"/>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rsidR="00A610BD" w:rsidRDefault="00A610BD">
      <w:pPr>
        <w:jc w:val="both"/>
      </w:pPr>
    </w:p>
    <w:p w:rsidR="00A610BD" w:rsidRDefault="00A610BD">
      <w:pPr>
        <w:ind w:firstLine="720"/>
        <w:jc w:val="both"/>
      </w:pPr>
      <w:r>
        <w:t>The objective inquiry (whether there existed a valid public interest in the release) is for the court,</w:t>
      </w:r>
      <w:r>
        <w:rPr>
          <w:rStyle w:val="FootnoteReference"/>
          <w:vertAlign w:val="superscript"/>
        </w:rPr>
        <w:footnoteReference w:id="110"/>
      </w:r>
      <w:r>
        <w:t xml:space="preserve"> but the subjective inquiry (whether that interest was the prosecutor</w:t>
      </w:r>
      <w:r w:rsidR="000D09A4">
        <w:t>’</w:t>
      </w:r>
      <w:r>
        <w:t xml:space="preserve">s actual reason) is for </w:t>
      </w:r>
      <w:r>
        <w:lastRenderedPageBreak/>
        <w:t xml:space="preserve">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rsidR="00A610BD" w:rsidRDefault="00A610BD">
      <w:pPr>
        <w:tabs>
          <w:tab w:val="center" w:pos="4680"/>
        </w:tabs>
        <w:jc w:val="both"/>
        <w:rPr>
          <w:b/>
          <w:bCs/>
          <w:sz w:val="28"/>
          <w:szCs w:val="28"/>
        </w:rPr>
      </w:pPr>
      <w:r>
        <w:rPr>
          <w:b/>
          <w:bCs/>
          <w:sz w:val="28"/>
          <w:szCs w:val="28"/>
        </w:rPr>
        <w:tab/>
        <w:t>Compensatory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rsidR="00A610BD" w:rsidRDefault="00A610BD">
      <w:pPr>
        <w:jc w:val="both"/>
      </w:pPr>
    </w:p>
    <w:p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rsidR="00A610BD" w:rsidRDefault="00A610BD">
      <w:pPr>
        <w:jc w:val="both"/>
      </w:pPr>
    </w:p>
    <w:p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rsidR="00A610BD" w:rsidRDefault="00A610BD">
      <w:pPr>
        <w:jc w:val="both"/>
      </w:pPr>
    </w:p>
    <w:p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rsidR="00A610BD" w:rsidRDefault="00A610BD">
      <w:pPr>
        <w:jc w:val="both"/>
      </w:pPr>
    </w:p>
    <w:p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rsidR="00A610BD" w:rsidRDefault="00A610BD">
      <w:pPr>
        <w:jc w:val="both"/>
      </w:pPr>
    </w:p>
    <w:p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rsidR="00901CEA" w:rsidRDefault="00901CEA" w:rsidP="00901CEA">
      <w:pPr>
        <w:pStyle w:val="ListParagraph"/>
        <w:jc w:val="both"/>
      </w:pPr>
    </w:p>
    <w:p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1"/>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2"/>
      </w:r>
      <w:r>
        <w:t xml:space="preserve"> of such care and supplies that [plaintiff] is reasonably certain to need in the future.</w:t>
      </w:r>
    </w:p>
    <w:p w:rsidR="00901CEA" w:rsidRDefault="00901CEA" w:rsidP="00901CEA">
      <w:pPr>
        <w:pStyle w:val="ListParagraph"/>
        <w:jc w:val="both"/>
      </w:pPr>
    </w:p>
    <w:p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property damaged or destroyed.</w:t>
      </w:r>
    </w:p>
    <w:p w:rsidR="00901CEA" w:rsidRDefault="00901CEA" w:rsidP="00901CEA">
      <w:pPr>
        <w:pStyle w:val="ListParagraph"/>
        <w:jc w:val="both"/>
      </w:pPr>
    </w:p>
    <w:p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vertAlign w:val="superscript"/>
        </w:rPr>
        <w:footnoteReference w:id="113"/>
      </w:r>
    </w:p>
    <w:p w:rsidR="00901CEA" w:rsidRDefault="00901CEA" w:rsidP="00901CEA">
      <w:pPr>
        <w:pStyle w:val="ListParagraph"/>
        <w:jc w:val="both"/>
      </w:pPr>
    </w:p>
    <w:p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4"/>
      </w:r>
    </w:p>
    <w:p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rsidR="00A610BD" w:rsidRPr="00BD7231" w:rsidRDefault="00A610BD">
      <w:pPr>
        <w:jc w:val="both"/>
      </w:pPr>
    </w:p>
    <w:p w:rsidR="00A610BD" w:rsidRPr="00BD7231" w:rsidRDefault="00A610BD">
      <w:pPr>
        <w:ind w:firstLine="720"/>
        <w:jc w:val="both"/>
      </w:pPr>
      <w:r w:rsidRPr="00BD7231">
        <w:t>[In assessing damages, you must not consider attorney fees or the costs of litigating this</w:t>
      </w:r>
    </w:p>
    <w:p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5"/>
      </w:r>
    </w:p>
    <w:p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xml:space="preserve">, 176 F.3d 138, 146 (2d Cir. 1999)).  Thus, Instruction 4.8.1 reflects general tort principles concerning causation and compensatory damages. </w:t>
      </w:r>
    </w:p>
    <w:p w:rsidR="00A610BD" w:rsidRDefault="00A610BD">
      <w:pPr>
        <w:jc w:val="both"/>
      </w:pPr>
    </w:p>
    <w:p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entitled to recover 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rsidR="00A610BD" w:rsidRDefault="00A610BD">
      <w:pPr>
        <w:jc w:val="both"/>
      </w:pPr>
    </w:p>
    <w:p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w:t>
      </w:r>
      <w:r>
        <w:lastRenderedPageBreak/>
        <w:t xml:space="preserve">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rsidR="00A610BD" w:rsidRDefault="00A610BD">
      <w:pPr>
        <w:jc w:val="both"/>
      </w:pPr>
    </w:p>
    <w:p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rsidR="00A610BD" w:rsidRDefault="00A610BD">
      <w:pPr>
        <w:jc w:val="both"/>
      </w:pPr>
    </w:p>
    <w:p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rsidR="00A610BD" w:rsidRDefault="00A610BD">
      <w:pPr>
        <w:jc w:val="both"/>
      </w:pPr>
      <w:r>
        <w:t>.</w:t>
      </w:r>
    </w:p>
    <w:p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6"/>
      </w:r>
      <w:r>
        <w:t xml:space="preserve">  The </w:t>
      </w:r>
      <w:r>
        <w:rPr>
          <w:i/>
          <w:iCs/>
        </w:rPr>
        <w:t>Carey</w:t>
      </w:r>
      <w:r>
        <w:t xml:space="preserve"> Court also noted, however, that </w:t>
      </w:r>
      <w:r w:rsidR="00733FCD">
        <w:t>“the</w:t>
      </w:r>
      <w:r>
        <w:t xml:space="preserve"> rules governing </w:t>
      </w:r>
      <w:r>
        <w:lastRenderedPageBreak/>
        <w:t>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7"/>
      </w:r>
      <w:r>
        <w:t xml:space="preserve">  At least one district court has interpreted Section 1997e(e)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vertAlign w:val="superscript"/>
        </w:rPr>
        <w:footnoteReference w:id="118"/>
      </w:r>
      <w:r>
        <w:t xml:space="preserve"> the court should incorporate this consideration into the instructions.</w:t>
      </w:r>
      <w:r>
        <w:rPr>
          <w:rStyle w:val="FootnoteReference"/>
          <w:vertAlign w:val="superscript"/>
        </w:rPr>
        <w:footnoteReference w:id="119"/>
      </w:r>
    </w:p>
    <w:p w:rsidR="00A610BD" w:rsidRDefault="00A610BD">
      <w:pPr>
        <w:ind w:firstLine="720"/>
        <w:jc w:val="both"/>
      </w:pPr>
      <w:r>
        <w:lastRenderedPageBreak/>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rsidR="00A610BD" w:rsidRDefault="00A610BD">
      <w:pPr>
        <w:jc w:val="both"/>
      </w:pPr>
    </w:p>
    <w:p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rsidR="00A610BD" w:rsidRDefault="00A610BD">
      <w:pPr>
        <w:tabs>
          <w:tab w:val="center" w:pos="4680"/>
        </w:tabs>
        <w:jc w:val="both"/>
        <w:rPr>
          <w:b/>
          <w:bCs/>
          <w:sz w:val="28"/>
          <w:szCs w:val="28"/>
        </w:rPr>
      </w:pPr>
      <w:r>
        <w:rPr>
          <w:b/>
          <w:bCs/>
          <w:sz w:val="28"/>
          <w:szCs w:val="28"/>
        </w:rPr>
        <w:tab/>
        <w:t>Nominal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If you return a verdict for [plaintiff], but [plaintiff] has failed to prove compensatory damages, then you must award nominal damages of $ 1.00.</w:t>
      </w:r>
    </w:p>
    <w:p w:rsidR="00A610BD" w:rsidRDefault="00A610BD">
      <w:pPr>
        <w:jc w:val="both"/>
      </w:pPr>
    </w:p>
    <w:p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rsidR="00A610BD" w:rsidRDefault="00A610BD">
      <w:pPr>
        <w:jc w:val="both"/>
      </w:pPr>
    </w:p>
    <w:p w:rsidR="00A610BD" w:rsidRDefault="00A610BD">
      <w:pPr>
        <w:ind w:firstLine="720"/>
        <w:jc w:val="both"/>
      </w:pPr>
      <w:r>
        <w:t>However, if you find actual injury, you must award compensatory damages (as I instructed you), rather than nominal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rsidR="00A610BD" w:rsidRDefault="00A610BD">
      <w:pPr>
        <w:jc w:val="both"/>
      </w:pPr>
    </w:p>
    <w:p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vertAlign w:val="superscript"/>
        </w:rPr>
        <w:footnoteReference w:id="120"/>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1"/>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rsidR="00A610BD" w:rsidRDefault="00A610BD">
      <w:pPr>
        <w:tabs>
          <w:tab w:val="center" w:pos="4680"/>
        </w:tabs>
        <w:jc w:val="both"/>
        <w:rPr>
          <w:b/>
          <w:bCs/>
          <w:sz w:val="28"/>
          <w:szCs w:val="28"/>
        </w:rPr>
      </w:pPr>
      <w:r>
        <w:rPr>
          <w:b/>
          <w:bCs/>
          <w:sz w:val="28"/>
          <w:szCs w:val="28"/>
        </w:rPr>
        <w:tab/>
        <w:t>Punitive Damages</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 xml:space="preserve">Model </w:t>
      </w:r>
      <w:r>
        <w:rPr>
          <w:rStyle w:val="FootnoteReference"/>
          <w:vertAlign w:val="superscript"/>
        </w:rPr>
        <w:footnoteReference w:id="122"/>
      </w:r>
    </w:p>
    <w:p w:rsidR="00A610BD" w:rsidRDefault="00A610BD">
      <w:pPr>
        <w:jc w:val="both"/>
      </w:pPr>
    </w:p>
    <w:p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rsidR="00A610BD" w:rsidRDefault="00A610BD">
      <w:pPr>
        <w:jc w:val="both"/>
      </w:pPr>
    </w:p>
    <w:p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rsidR="00A610BD" w:rsidRDefault="00A610BD">
      <w:pPr>
        <w:jc w:val="both"/>
      </w:pPr>
    </w:p>
    <w:p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rsidR="00A610BD" w:rsidRDefault="00A610BD">
      <w:pPr>
        <w:jc w:val="both"/>
      </w:pPr>
    </w:p>
    <w:p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rsidR="00A610BD" w:rsidRDefault="00A610BD">
      <w:pPr>
        <w:jc w:val="both"/>
      </w:pPr>
    </w:p>
    <w:p w:rsidR="00A610BD" w:rsidRDefault="00A610BD">
      <w:pPr>
        <w:ind w:firstLine="720"/>
        <w:jc w:val="both"/>
      </w:pPr>
      <w:r>
        <w:t>If you find that it is more likely than not</w:t>
      </w:r>
      <w:r>
        <w:rPr>
          <w:rStyle w:val="FootnoteReference"/>
          <w:vertAlign w:val="superscript"/>
        </w:rPr>
        <w:footnoteReference w:id="123"/>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4"/>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rsidR="00A610BD" w:rsidRDefault="00A610BD">
      <w:pPr>
        <w:jc w:val="both"/>
      </w:pPr>
    </w:p>
    <w:p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rsidR="00A610BD" w:rsidRDefault="00A610BD">
      <w:pPr>
        <w:jc w:val="both"/>
      </w:pPr>
    </w:p>
    <w:p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rsidR="00A610BD" w:rsidRDefault="00A610BD">
      <w:pPr>
        <w:jc w:val="both"/>
      </w:pPr>
    </w:p>
    <w:p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s act posed a risk to health or safety; whether the defendant acted in a deliberately deceptive manner; and whether the defendant engaged in repeated misconduct, or a single act.]  You should also consider the amount of harm actually caused by the defendant</w:t>
      </w:r>
      <w:r w:rsidR="000D09A4">
        <w:t>’</w:t>
      </w:r>
      <w:r>
        <w:t xml:space="preserve">s act, [as well as </w:t>
      </w:r>
      <w:r>
        <w:lastRenderedPageBreak/>
        <w:t>the harm the defendant</w:t>
      </w:r>
      <w:r w:rsidR="000D09A4">
        <w:t>’</w:t>
      </w:r>
      <w:r>
        <w:t>s act could have caused]</w:t>
      </w:r>
      <w:r>
        <w:rPr>
          <w:rStyle w:val="FootnoteReference"/>
          <w:vertAlign w:val="superscript"/>
        </w:rPr>
        <w:footnoteReference w:id="125"/>
      </w:r>
      <w:r>
        <w:t xml:space="preserve"> and the harm that could result if such acts are not deterred in the future.</w:t>
      </w:r>
    </w:p>
    <w:p w:rsidR="00A610BD" w:rsidRDefault="00A610BD">
      <w:pPr>
        <w:jc w:val="both"/>
      </w:pPr>
    </w:p>
    <w:p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6"/>
      </w:r>
    </w:p>
    <w:p w:rsidR="00A610BD" w:rsidRDefault="00A610BD">
      <w:pPr>
        <w:jc w:val="both"/>
      </w:pPr>
    </w:p>
    <w:p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Punitive damages are not available against municipalities.  </w:t>
      </w:r>
      <w:r>
        <w:rPr>
          <w:i/>
          <w:iCs/>
        </w:rPr>
        <w:t>See City of Newport v. Fact Concerts, Inc.</w:t>
      </w:r>
      <w:r>
        <w:t>, 453 U.S. 247, 271 (1981).</w:t>
      </w:r>
    </w:p>
    <w:p w:rsidR="00A610BD" w:rsidRDefault="00A610BD">
      <w:pPr>
        <w:jc w:val="both"/>
      </w:pPr>
    </w:p>
    <w:p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 xml:space="preserve">Smith </w:t>
      </w:r>
      <w:r w:rsidR="00A610BD">
        <w:rPr>
          <w:i/>
          <w:iCs/>
        </w:rPr>
        <w:lastRenderedPageBreak/>
        <w:t>v. Wade</w:t>
      </w:r>
      <w:r w:rsidR="00A610BD">
        <w:t>, 461 U.S. 30, 56 (1983).</w:t>
      </w:r>
      <w:r w:rsidR="00A610BD">
        <w:rPr>
          <w:rStyle w:val="FootnoteReference"/>
          <w:vertAlign w:val="superscript"/>
        </w:rPr>
        <w:footnoteReference w:id="127"/>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8"/>
      </w:r>
    </w:p>
    <w:p w:rsidR="00A610BD" w:rsidRDefault="00A610BD">
      <w:pPr>
        <w:jc w:val="both"/>
      </w:pPr>
    </w:p>
    <w:p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29"/>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0"/>
      </w:r>
      <w:r>
        <w:t xml:space="preserve"> (though the </w:t>
      </w:r>
      <w:r>
        <w:rPr>
          <w:i/>
          <w:iCs/>
        </w:rPr>
        <w:t>Gore</w:t>
      </w:r>
      <w:r>
        <w:t xml:space="preserve"> factors may well apply differently in such cases than they do in cases under state tort law).  Second, the concerns elaborated by the Court in the due process cases may also provide some guidance </w:t>
      </w:r>
      <w:r>
        <w:lastRenderedPageBreak/>
        <w:t>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rsidR="00A610BD" w:rsidRDefault="00A610BD">
      <w:pPr>
        <w:jc w:val="both"/>
      </w:pPr>
    </w:p>
    <w:p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rsidR="00A610BD" w:rsidRDefault="00A610BD">
      <w:pPr>
        <w:jc w:val="both"/>
      </w:pPr>
    </w:p>
    <w:p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1"/>
      </w:r>
      <w:r>
        <w:t xml:space="preserve">  However, given the possibility that courts may in the future apply analogous principles in the Section 1983 context, </w:t>
      </w:r>
      <w:r>
        <w:lastRenderedPageBreak/>
        <w:t>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2"/>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rsidR="00A610BD" w:rsidRDefault="00A610BD">
      <w:pPr>
        <w:jc w:val="both"/>
      </w:pPr>
    </w:p>
    <w:p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3"/>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4"/>
      </w:r>
    </w:p>
    <w:p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5"/>
      </w:r>
      <w:r>
        <w:t xml:space="preserve">  However, the Court</w:t>
      </w:r>
      <w:r w:rsidR="000D09A4">
        <w:t>’</w:t>
      </w:r>
      <w:r>
        <w:t xml:space="preserve">s decision 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rsidR="00A610BD" w:rsidRDefault="00A610BD">
      <w:pPr>
        <w:jc w:val="both"/>
      </w:pPr>
    </w:p>
    <w:p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rsidR="00A610BD" w:rsidRDefault="00A610BD">
      <w:pPr>
        <w:jc w:val="both"/>
      </w:pPr>
    </w:p>
    <w:p w:rsidR="00A610BD" w:rsidRDefault="00A610BD">
      <w:pPr>
        <w:jc w:val="both"/>
      </w:pPr>
      <w:r>
        <w:rPr>
          <w:i/>
          <w:iCs/>
        </w:rPr>
        <w:t>Philip Morris</w:t>
      </w:r>
      <w:r>
        <w:t>, 127 S. Ct. at 1063.</w:t>
      </w:r>
    </w:p>
    <w:p w:rsidR="00A610BD" w:rsidRDefault="00A610BD">
      <w:pPr>
        <w:jc w:val="both"/>
      </w:pPr>
    </w:p>
    <w:p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6"/>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rsidR="00A610BD" w:rsidRDefault="00A610BD">
      <w:pPr>
        <w:jc w:val="both"/>
      </w:pPr>
    </w:p>
    <w:p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explain the distinction between permissible and impermissible uses of information relating to harm to third parties.  This paragraph is bracketed to indicate that it should be given only when necessitated by the evidence or argument presented to the jury.</w:t>
      </w:r>
    </w:p>
    <w:p w:rsidR="00A610BD" w:rsidRDefault="00A610BD">
      <w:pPr>
        <w:jc w:val="both"/>
      </w:pPr>
    </w:p>
    <w:p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7"/>
      </w:r>
      <w:r>
        <w:t xml:space="preserve"> because precedent in civil rights cases indicates that the jury can award punitive damages if it finds the defendant maliciously or wantonly violated the plaintiff</w:t>
      </w:r>
      <w:r w:rsidR="000D09A4">
        <w:t>’</w:t>
      </w:r>
      <w:r>
        <w:t xml:space="preserve">s rights, without </w:t>
      </w:r>
      <w:r>
        <w:lastRenderedPageBreak/>
        <w:t>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rsidR="00A610BD" w:rsidRDefault="00A610BD">
      <w:pPr>
        <w:jc w:val="both"/>
      </w:pPr>
    </w:p>
    <w:p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8"/>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39"/>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0"/>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rsidR="00EF672B" w:rsidRDefault="00EF672B">
      <w:pPr>
        <w:ind w:firstLine="720"/>
        <w:jc w:val="both"/>
      </w:pPr>
    </w:p>
    <w:p w:rsidR="00A610BD" w:rsidRDefault="00A610BD">
      <w:pPr>
        <w:ind w:firstLine="720"/>
        <w:jc w:val="both"/>
      </w:pPr>
      <w:r>
        <w:t>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and the amount of harm the defendant caused to the plaintiff.</w:t>
      </w:r>
      <w:r>
        <w:rPr>
          <w:rStyle w:val="FootnoteReference"/>
          <w:vertAlign w:val="superscript"/>
        </w:rPr>
        <w:footnoteReference w:id="141"/>
      </w:r>
      <w:r>
        <w:t xml:space="preserve">  In such a case, instructing the jury to consider that relationship would not unduly confine a punitive award but could help to ensure that any such award is not unconstitutionally excessive.</w:t>
      </w:r>
    </w:p>
    <w:p w:rsidR="00A610BD" w:rsidRDefault="00A610BD">
      <w:pPr>
        <w:jc w:val="both"/>
      </w:pPr>
    </w:p>
    <w:p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2"/>
      </w:r>
      <w:r>
        <w:t xml:space="preserve">  Elsewhere, the Court has noted its concern that evidence of wealth could </w:t>
      </w:r>
      <w:r>
        <w:lastRenderedPageBreak/>
        <w:t>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512 U.S. 415, 432 (1994).  Although 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rsidR="00A610BD" w:rsidRDefault="00A610BD">
      <w:pPr>
        <w:jc w:val="both"/>
      </w:pPr>
    </w:p>
    <w:p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3"/>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rsidR="00A610BD" w:rsidRDefault="00A610BD">
      <w:pPr>
        <w:jc w:val="both"/>
      </w:pPr>
    </w:p>
    <w:p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s net worth in order to obtain punitive damages in a Section 1983 case.</w:t>
      </w:r>
      <w:r>
        <w:rPr>
          <w:rStyle w:val="FootnoteReference"/>
          <w:vertAlign w:val="superscript"/>
        </w:rPr>
        <w:footnoteReference w:id="144"/>
      </w:r>
      <w:r>
        <w:t xml:space="preserve">  Accordingly, the last paragraph of the model is bracketed because it should be omitted in cases where no evidence is presented concerning the defendant</w:t>
      </w:r>
      <w:r w:rsidR="000D09A4">
        <w:t>’</w:t>
      </w:r>
      <w:r>
        <w:t>s finances.</w:t>
      </w:r>
    </w:p>
    <w:p w:rsidR="00A610BD" w:rsidRDefault="00A610BD">
      <w:pPr>
        <w:jc w:val="both"/>
      </w:pPr>
    </w:p>
    <w:p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w:t>
      </w:r>
      <w:r>
        <w:lastRenderedPageBreak/>
        <w:t>an Eighth Amendment excessive force case involving only one claim and one defendant, the Committee suggests that the court substitute the following for the first three paragraphs of Instruction 4.8.3:</w:t>
      </w:r>
    </w:p>
    <w:p w:rsidR="00A610BD" w:rsidRDefault="00A610BD">
      <w:pPr>
        <w:jc w:val="both"/>
      </w:pPr>
    </w:p>
    <w:p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rsidR="00A610BD" w:rsidRDefault="00A610BD">
      <w:pPr>
        <w:jc w:val="both"/>
      </w:pPr>
    </w:p>
    <w:p w:rsidR="00A610BD" w:rsidRDefault="00A610BD">
      <w:pPr>
        <w:ind w:left="720"/>
        <w:jc w:val="both"/>
      </w:pPr>
      <w:r>
        <w:t>First:  [Defendant] intentionally committed certain acts.</w:t>
      </w:r>
    </w:p>
    <w:p w:rsidR="00A610BD" w:rsidRDefault="00A610BD">
      <w:pPr>
        <w:jc w:val="both"/>
      </w:pPr>
    </w:p>
    <w:p w:rsidR="00A610BD" w:rsidRDefault="00A610BD">
      <w:pPr>
        <w:ind w:left="720"/>
        <w:jc w:val="both"/>
      </w:pPr>
      <w:r>
        <w:t>Second: Those acts violated [plaintiff</w:t>
      </w:r>
      <w:r w:rsidR="000D09A4">
        <w:t>’</w:t>
      </w:r>
      <w:r>
        <w:t>s] Fourth Amendment right not to be subjected to excessive force.</w:t>
      </w:r>
    </w:p>
    <w:p w:rsidR="00A610BD" w:rsidRDefault="00A610BD">
      <w:pPr>
        <w:jc w:val="both"/>
      </w:pPr>
    </w:p>
    <w:p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rsidR="00A610BD" w:rsidRDefault="00A610BD">
      <w:pPr>
        <w:jc w:val="both"/>
      </w:pPr>
    </w:p>
    <w:p w:rsidR="0062691A" w:rsidRDefault="00A610BD" w:rsidP="0062691A">
      <w:pPr>
        <w:pStyle w:val="ListParagraph"/>
        <w:numPr>
          <w:ilvl w:val="0"/>
          <w:numId w:val="7"/>
        </w:numPr>
        <w:jc w:val="both"/>
      </w:pPr>
      <w:r>
        <w:t>the severity of the crime at issue;</w:t>
      </w:r>
    </w:p>
    <w:p w:rsidR="0062691A" w:rsidRDefault="00A610BD" w:rsidP="0062691A">
      <w:pPr>
        <w:pStyle w:val="ListParagraph"/>
        <w:numPr>
          <w:ilvl w:val="0"/>
          <w:numId w:val="7"/>
        </w:numPr>
        <w:jc w:val="both"/>
      </w:pPr>
      <w:r>
        <w:t>whether [plaintiff] posed an immediate threat to the safety of [defendant] or others;</w:t>
      </w:r>
    </w:p>
    <w:p w:rsidR="0062691A" w:rsidRDefault="00A610BD" w:rsidP="0062691A">
      <w:pPr>
        <w:pStyle w:val="ListParagraph"/>
        <w:numPr>
          <w:ilvl w:val="0"/>
          <w:numId w:val="7"/>
        </w:numPr>
        <w:jc w:val="both"/>
      </w:pPr>
      <w:r>
        <w:t>the possibility that [plaintiff] was armed;</w:t>
      </w:r>
    </w:p>
    <w:p w:rsidR="0062691A" w:rsidRDefault="00A610BD" w:rsidP="0062691A">
      <w:pPr>
        <w:pStyle w:val="ListParagraph"/>
        <w:numPr>
          <w:ilvl w:val="0"/>
          <w:numId w:val="7"/>
        </w:numPr>
        <w:jc w:val="both"/>
      </w:pPr>
      <w:r>
        <w:t>the possibility that other persons subject to the police action were violent or dangerous;</w:t>
      </w:r>
    </w:p>
    <w:p w:rsidR="0062691A" w:rsidRDefault="00A610BD" w:rsidP="0062691A">
      <w:pPr>
        <w:pStyle w:val="ListParagraph"/>
        <w:numPr>
          <w:ilvl w:val="0"/>
          <w:numId w:val="7"/>
        </w:numPr>
        <w:jc w:val="both"/>
      </w:pPr>
      <w:r>
        <w:t>whether [plaintiff] was actively resisting arrest or attempting to evade arrest by flight;</w:t>
      </w:r>
    </w:p>
    <w:p w:rsidR="0062691A" w:rsidRDefault="00A610BD" w:rsidP="0062691A">
      <w:pPr>
        <w:pStyle w:val="ListParagraph"/>
        <w:numPr>
          <w:ilvl w:val="0"/>
          <w:numId w:val="7"/>
        </w:numPr>
        <w:jc w:val="both"/>
      </w:pPr>
      <w:r>
        <w:t>the duration of [defendant</w:t>
      </w:r>
      <w:r w:rsidR="000D09A4">
        <w:t>’</w:t>
      </w:r>
      <w:r>
        <w:t>s] action;</w:t>
      </w:r>
    </w:p>
    <w:p w:rsidR="0062691A" w:rsidRDefault="00A610BD" w:rsidP="0062691A">
      <w:pPr>
        <w:pStyle w:val="ListParagraph"/>
        <w:numPr>
          <w:ilvl w:val="0"/>
          <w:numId w:val="7"/>
        </w:numPr>
        <w:jc w:val="both"/>
      </w:pPr>
      <w:r>
        <w:t>the number of persons with whom [defendant] had to contend; and</w:t>
      </w:r>
    </w:p>
    <w:p w:rsidR="00A610BD" w:rsidRDefault="00A610BD" w:rsidP="0062691A">
      <w:pPr>
        <w:pStyle w:val="ListParagraph"/>
        <w:numPr>
          <w:ilvl w:val="0"/>
          <w:numId w:val="7"/>
        </w:numPr>
        <w:jc w:val="both"/>
      </w:pPr>
      <w:r>
        <w:lastRenderedPageBreak/>
        <w:t>whether the physical force applied was of such an extent as to lead to unnecessary injury.</w:t>
      </w:r>
    </w:p>
    <w:p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ind w:firstLine="720"/>
        <w:jc w:val="both"/>
      </w:pPr>
      <w:r>
        <w:t>What matters is whether [defendant</w:t>
      </w:r>
      <w:r w:rsidR="000D09A4">
        <w:t>’</w:t>
      </w:r>
      <w:r>
        <w:t>s] acts were objectively reasonable in light of the facts and circumstances confronting the defendant.</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rsidR="00A610BD" w:rsidRDefault="00A610BD">
      <w:pPr>
        <w:jc w:val="both"/>
      </w:pPr>
    </w:p>
    <w:p w:rsidR="00A610BD" w:rsidRDefault="00A610BD">
      <w:pPr>
        <w:ind w:firstLine="720"/>
        <w:jc w:val="both"/>
      </w:pPr>
      <w:r>
        <w:t>Because the excessive force standards differ depending on the source of the constitutional protection, it will be necessary to determine which standard ought to apply.  The Fourth 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w:t>
      </w:r>
      <w:r>
        <w:lastRenderedPageBreak/>
        <w:t xml:space="preserve">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rsidR="00EF672B" w:rsidRDefault="00EF672B">
      <w:pPr>
        <w:ind w:firstLine="720"/>
        <w:jc w:val="both"/>
      </w:pPr>
    </w:p>
    <w:p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rsidR="00A610BD" w:rsidRDefault="00A610BD">
      <w:pPr>
        <w:jc w:val="both"/>
      </w:pPr>
    </w:p>
    <w:p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rsidR="00A610BD" w:rsidRDefault="00A610BD">
      <w:pPr>
        <w:jc w:val="both"/>
      </w:pPr>
    </w:p>
    <w:p w:rsidR="00A610BD" w:rsidRDefault="00A610BD">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rsidR="00A610BD" w:rsidRDefault="00A610BD">
      <w:pPr>
        <w:jc w:val="both"/>
      </w:pPr>
    </w:p>
    <w:p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rsidR="00A610BD" w:rsidRDefault="00A610BD">
      <w:pPr>
        <w:jc w:val="both"/>
      </w:pPr>
    </w:p>
    <w:p w:rsidR="00A610BD"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w:t>
      </w:r>
      <w:r>
        <w:lastRenderedPageBreak/>
        <w:t>course of the entire evening</w:t>
      </w:r>
      <w:r w:rsidR="001C7410">
        <w:t>”</w:t>
      </w:r>
      <w:r>
        <w:t>).</w:t>
      </w:r>
      <w:r>
        <w:rPr>
          <w:rStyle w:val="FootnoteReference"/>
          <w:vertAlign w:val="superscript"/>
        </w:rPr>
        <w:footnoteReference w:id="145"/>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6"/>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361 F.3d 772, 777 (3d Cir. 2004).</w:t>
      </w:r>
    </w:p>
    <w:p w:rsidR="00A610BD" w:rsidRDefault="00A610BD">
      <w:pPr>
        <w:jc w:val="both"/>
      </w:pPr>
    </w:p>
    <w:p w:rsidR="00A610BD" w:rsidRDefault="00A610BD">
      <w:pPr>
        <w:ind w:firstLine="720"/>
        <w:jc w:val="both"/>
      </w:pPr>
      <w:r>
        <w:t xml:space="preserve">Physical injury is relevant but it is not a prerequisite of an excessive force claim.  </w:t>
      </w:r>
      <w:r>
        <w:rPr>
          <w:i/>
          <w:iCs/>
        </w:rPr>
        <w:t>See 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rsidR="00A610BD" w:rsidRDefault="00A610BD">
      <w:pPr>
        <w:jc w:val="both"/>
      </w:pPr>
    </w:p>
    <w:p w:rsidR="001113F7" w:rsidRPr="001113F7" w:rsidRDefault="00A610BD" w:rsidP="001113F7">
      <w:pPr>
        <w:ind w:firstLine="720"/>
        <w:jc w:val="both"/>
      </w:pPr>
      <w:r>
        <w:t>In the context of deadly force, the Third Circuit has stated the inquiry thus:</w:t>
      </w:r>
      <w:r w:rsidR="007514A3">
        <w:t xml:space="preserve"> “</w:t>
      </w:r>
      <w:r>
        <w:t xml:space="preserve">Giving due regard to the pressures faced by the police, was it objectively reasonable for the officer to believe, in light of the totality of the circumstances, that deadly force was necessary to prevent the suspect's </w:t>
      </w:r>
      <w:r>
        <w:lastRenderedPageBreak/>
        <w:t>escape, and that the suspect posed a significant threat of death or serious physical injury to the officer or others?</w:t>
      </w:r>
      <w:r w:rsidR="001C7410">
        <w:t>”</w:t>
      </w:r>
      <w:r>
        <w:t xml:space="preserve">  </w:t>
      </w:r>
      <w:r>
        <w:rPr>
          <w:i/>
          <w:iCs/>
        </w:rPr>
        <w:t>Abraham</w:t>
      </w:r>
      <w:r>
        <w:t xml:space="preserve">, 183 F.3d at 289 (citing </w:t>
      </w:r>
      <w:r>
        <w:rPr>
          <w:i/>
          <w:iCs/>
        </w:rPr>
        <w:t>Graham</w:t>
      </w:r>
      <w:r>
        <w:t xml:space="preserve"> and </w:t>
      </w:r>
      <w:r>
        <w:rPr>
          <w:i/>
          <w:iCs/>
        </w:rPr>
        <w:t>Tennessee v. Garner</w:t>
      </w:r>
      <w:r>
        <w:t xml:space="preserve">, 471 U.S. 1, 3 (1985)).  An instruction is provided below for use in cases where </w:t>
      </w:r>
      <w:r>
        <w:rPr>
          <w:i/>
          <w:iCs/>
        </w:rPr>
        <w:t>Garner</w:t>
      </w:r>
      <w:r w:rsidR="000D09A4">
        <w:t>’</w:t>
      </w:r>
      <w:r>
        <w:t xml:space="preserve">s deadly force analysis is appropriate.  </w:t>
      </w:r>
      <w:r>
        <w:rPr>
          <w:i/>
          <w:iCs/>
        </w:rPr>
        <w:t xml:space="preserve">See infra </w:t>
      </w:r>
      <w:r>
        <w:t>Instruction 4.9.1.  The Supreme Court has cautioned, however, that some uses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1D344E">
        <w:t>(“</w:t>
      </w:r>
      <w:r>
        <w:rPr>
          <w:i/>
          <w:iCs/>
        </w:rPr>
        <w:t xml:space="preserve">Garner </w:t>
      </w:r>
      <w:r>
        <w:t xml:space="preserve">did not establish a magical on/off switch that triggers rigid preconditions whenever an officer's actions constitute </w:t>
      </w:r>
      <w:r w:rsidR="003B6D6B">
        <w:t>‘</w:t>
      </w:r>
      <w:r>
        <w:t>deadly force.</w:t>
      </w:r>
      <w:r w:rsidR="000D09A4">
        <w:t>’</w:t>
      </w:r>
      <w:r>
        <w:t xml:space="preserve"> </w:t>
      </w:r>
      <w:r>
        <w:rPr>
          <w:i/>
          <w:iCs/>
        </w:rPr>
        <w:t xml:space="preserve">Garner </w:t>
      </w:r>
      <w:r>
        <w:t xml:space="preserve">was simply an application of the Fourth Amendment's </w:t>
      </w:r>
      <w:r w:rsidR="003B6D6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Pr="001113F7">
        <w:t>.</w:t>
      </w:r>
      <w:r w:rsidR="001C7410" w:rsidRPr="001113F7">
        <w:t>”</w:t>
      </w:r>
      <w:r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p>
    <w:p w:rsidR="001113F7" w:rsidRPr="001113F7" w:rsidRDefault="001113F7" w:rsidP="001113F7">
      <w:pPr>
        <w:ind w:firstLine="720"/>
        <w:jc w:val="both"/>
      </w:pPr>
    </w:p>
    <w:p w:rsidR="00A610BD" w:rsidRDefault="00A610BD">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rsidR="00A610BD" w:rsidRDefault="00A610BD">
      <w:pPr>
        <w:jc w:val="both"/>
      </w:pPr>
    </w:p>
    <w:p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7"/>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rsidR="00A610BD" w:rsidRDefault="00A610BD">
      <w:pPr>
        <w:jc w:val="both"/>
      </w:pPr>
    </w:p>
    <w:p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w:t>
      </w:r>
      <w:r>
        <w:lastRenderedPageBreak/>
        <w:t xml:space="preserve">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8"/>
      </w:r>
      <w:r>
        <w:t xml:space="preserve">  In </w:t>
      </w:r>
      <w:r>
        <w:rPr>
          <w:i/>
          <w:iCs/>
        </w:rPr>
        <w:t>Lora</w:t>
      </w:r>
      <w:r>
        <w:rPr>
          <w:i/>
          <w:iCs/>
        </w:rPr>
        <w:noBreakHyphen/>
        <w:t>Pena v. F.B.I.</w:t>
      </w:r>
      <w:r>
        <w:t xml:space="preserve">, 529 F.3d 503 (3d Cir. 2008), the court of appeals held that </w:t>
      </w:r>
      <w:r>
        <w:rPr>
          <w:i/>
          <w:iCs/>
        </w:rPr>
        <w:t>Heck</w:t>
      </w:r>
      <w:r>
        <w:t xml:space="preserve"> 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rsidR="00A610BD" w:rsidRDefault="00A610BD">
      <w:pPr>
        <w:jc w:val="both"/>
      </w:pPr>
    </w:p>
    <w:p w:rsidR="00A610BD" w:rsidRDefault="00A610BD">
      <w:pPr>
        <w:ind w:firstLine="720"/>
        <w:jc w:val="both"/>
      </w:pPr>
      <w:r>
        <w:t>In this case, [plaintiff] claims that [defendant] violated [plaintiff</w:t>
      </w:r>
      <w:r w:rsidR="000D09A4">
        <w:t>’</w:t>
      </w:r>
      <w:r>
        <w:t>s] Fourth Amendment rights by using deadly force against [plaintiff] [plaintiff</w:t>
      </w:r>
      <w:r w:rsidR="000D09A4">
        <w:t>’</w:t>
      </w:r>
      <w:r>
        <w:t>s decedent].</w:t>
      </w:r>
    </w:p>
    <w:p w:rsidR="00A610BD" w:rsidRDefault="00A610BD">
      <w:pPr>
        <w:jc w:val="both"/>
      </w:pPr>
    </w:p>
    <w:p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rsidR="00A610BD" w:rsidRDefault="00A610BD">
      <w:pPr>
        <w:jc w:val="both"/>
      </w:pPr>
    </w:p>
    <w:p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49"/>
      </w:r>
      <w:r>
        <w:t>:</w:t>
      </w:r>
    </w:p>
    <w:p w:rsidR="00F544AB" w:rsidRDefault="00F544AB" w:rsidP="00F544AB">
      <w:pPr>
        <w:jc w:val="both"/>
      </w:pPr>
    </w:p>
    <w:p w:rsidR="00F544AB" w:rsidRDefault="00A610BD" w:rsidP="00F544AB">
      <w:pPr>
        <w:pStyle w:val="ListParagraph"/>
        <w:numPr>
          <w:ilvl w:val="0"/>
          <w:numId w:val="8"/>
        </w:numPr>
        <w:jc w:val="both"/>
      </w:pPr>
      <w:r>
        <w:t>deadly force was not necessary to prevent [plaintiff</w:t>
      </w:r>
      <w:r w:rsidR="000D09A4">
        <w:t>’</w:t>
      </w:r>
      <w:r>
        <w:t>s] escape; or</w:t>
      </w:r>
    </w:p>
    <w:p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rsidR="00A610BD" w:rsidRDefault="00A610BD">
      <w:pPr>
        <w:jc w:val="both"/>
      </w:pPr>
    </w:p>
    <w:p w:rsidR="00A610BD" w:rsidRDefault="00A610BD">
      <w:pPr>
        <w:ind w:firstLine="720"/>
        <w:jc w:val="both"/>
      </w:pPr>
      <w:r>
        <w:t xml:space="preserve">You should consider all the relevant facts and circumstances (leading up to the time of the encounter) that [defendant] reasonably believed to be true at the time of the encounter.  The </w:t>
      </w:r>
      <w:r>
        <w:lastRenderedPageBreak/>
        <w:t>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rsidR="00A610BD" w:rsidRDefault="00A610BD">
      <w:pPr>
        <w:jc w:val="both"/>
      </w:pPr>
    </w:p>
    <w:p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0"/>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rsidR="00A610BD" w:rsidRDefault="00A610BD">
      <w:pPr>
        <w:jc w:val="both"/>
      </w:pPr>
    </w:p>
    <w:p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rsidR="00A610BD" w:rsidRDefault="00A610BD">
      <w:pPr>
        <w:jc w:val="both"/>
      </w:pPr>
    </w:p>
    <w:p w:rsidR="00A610BD" w:rsidRDefault="00A610BD">
      <w:pPr>
        <w:ind w:firstLine="720"/>
        <w:jc w:val="both"/>
      </w:pPr>
      <w:r>
        <w:lastRenderedPageBreak/>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rsidR="00A610BD" w:rsidRDefault="00A610BD">
      <w:pPr>
        <w:jc w:val="both"/>
      </w:pPr>
    </w:p>
    <w:p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 xml:space="preserve">-type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 Nevertheless, particularly since </w:t>
      </w:r>
      <w:r w:rsidR="001113F7" w:rsidRPr="001113F7">
        <w:rPr>
          <w:i/>
        </w:rPr>
        <w:t>Plumhoff</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rsidR="00A610BD" w:rsidRDefault="00A610BD">
      <w:pPr>
        <w:jc w:val="both"/>
      </w:pPr>
    </w:p>
    <w:p w:rsidR="00A610BD" w:rsidRDefault="001113F7">
      <w:pPr>
        <w:ind w:firstLine="720"/>
        <w:jc w:val="both"/>
      </w:pPr>
      <w:r>
        <w:rPr>
          <w:u w:val="single"/>
        </w:rPr>
        <w:t xml:space="preserve">What constitutes deadly </w:t>
      </w:r>
      <w:r w:rsidR="00A610BD">
        <w:rPr>
          <w:u w:val="single"/>
        </w:rPr>
        <w:t>force.</w:t>
      </w:r>
      <w:r w:rsidR="00A610BD">
        <w:rPr>
          <w:rStyle w:val="FootnoteReference"/>
          <w:vertAlign w:val="superscript"/>
        </w:rPr>
        <w:footnoteReference w:id="151"/>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rsidR="00A610BD" w:rsidRDefault="00A610BD">
      <w:pPr>
        <w:jc w:val="both"/>
      </w:pPr>
    </w:p>
    <w:p w:rsidR="00A610BD" w:rsidRDefault="00A610BD">
      <w:pPr>
        <w:ind w:firstLine="720"/>
        <w:jc w:val="both"/>
      </w:pPr>
      <w:r>
        <w:lastRenderedPageBreak/>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2"/>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vertAlign w:val="superscript"/>
        </w:rPr>
        <w:footnoteReference w:id="153"/>
      </w:r>
      <w:r>
        <w:t xml:space="preserve">  The extraordinary facts of that case, coupled with the fact that none of the opinions handed down clearly commanded a majority of the panel on the definitional question,</w:t>
      </w:r>
      <w:r>
        <w:rPr>
          <w:rStyle w:val="FootnoteReference"/>
          <w:vertAlign w:val="superscript"/>
        </w:rPr>
        <w:footnoteReference w:id="154"/>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5"/>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rsidR="00A610BD" w:rsidRDefault="00A610BD">
      <w:pPr>
        <w:jc w:val="both"/>
      </w:pPr>
    </w:p>
    <w:p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but not both.</w:t>
      </w:r>
    </w:p>
    <w:p w:rsidR="00A610BD" w:rsidRDefault="00A610BD">
      <w:pPr>
        <w:jc w:val="both"/>
      </w:pPr>
    </w:p>
    <w:p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6"/>
      </w:r>
    </w:p>
    <w:p w:rsidR="00A610BD" w:rsidRDefault="00A610BD">
      <w:pPr>
        <w:jc w:val="both"/>
      </w:pPr>
    </w:p>
    <w:p w:rsidR="00A610BD" w:rsidRDefault="00A610BD">
      <w:pPr>
        <w:ind w:firstLine="720"/>
        <w:jc w:val="both"/>
      </w:pPr>
      <w:r>
        <w:t>It is clear, however, that the relevant danger can be either to the officer</w:t>
      </w:r>
      <w:r>
        <w:rPr>
          <w:rStyle w:val="FootnoteReference"/>
          <w:vertAlign w:val="superscript"/>
        </w:rPr>
        <w:footnoteReference w:id="157"/>
      </w:r>
      <w:r>
        <w:t xml:space="preserve"> or to a third person.</w:t>
      </w:r>
      <w:r>
        <w:rPr>
          <w:rStyle w:val="FootnoteReference"/>
          <w:vertAlign w:val="superscript"/>
        </w:rPr>
        <w:footnoteReference w:id="158"/>
      </w:r>
      <w:r>
        <w:t xml:space="preserve">  The jury should</w:t>
      </w:r>
      <w:r w:rsidR="00941010">
        <w:t xml:space="preserve"> “</w:t>
      </w:r>
      <w:r>
        <w:t xml:space="preserve">determine, after deciding what the real risk . . . was, what was </w:t>
      </w:r>
      <w:r>
        <w:lastRenderedPageBreak/>
        <w:t>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59"/>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rsidR="00A610BD" w:rsidRDefault="00A610BD">
      <w:pPr>
        <w:jc w:val="both"/>
      </w:pPr>
    </w:p>
    <w:p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0"/>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rsidR="00A610BD" w:rsidRDefault="00A610BD">
      <w:pPr>
        <w:jc w:val="both"/>
      </w:pPr>
    </w:p>
    <w:p w:rsidR="00A610BD" w:rsidRDefault="00A610BD">
      <w:pPr>
        <w:jc w:val="both"/>
      </w:pPr>
      <w:r>
        <w:rPr>
          <w:i/>
          <w:iCs/>
        </w:rPr>
        <w:t>Grazier</w:t>
      </w:r>
      <w:r>
        <w:t>, 328 F.3d at 127.</w:t>
      </w:r>
    </w:p>
    <w:p w:rsidR="00A610BD" w:rsidRDefault="00A610BD">
      <w:pPr>
        <w:jc w:val="both"/>
      </w:pPr>
    </w:p>
    <w:p w:rsidR="00A610BD" w:rsidRDefault="00A610BD">
      <w:pPr>
        <w:ind w:firstLine="720"/>
        <w:jc w:val="both"/>
      </w:pPr>
      <w:r>
        <w:rPr>
          <w:u w:val="single"/>
        </w:rPr>
        <w:t>Municipal liability.</w:t>
      </w:r>
      <w:r>
        <w:t xml:space="preserve">  In discussing municipal liability, the Supreme Court has noted that </w:t>
      </w:r>
    </w:p>
    <w:p w:rsidR="00EF672B" w:rsidRDefault="00EF672B">
      <w:pPr>
        <w:ind w:left="720" w:right="720"/>
        <w:jc w:val="both"/>
      </w:pPr>
    </w:p>
    <w:p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rsidR="00A610BD" w:rsidRDefault="00A610BD">
      <w:pPr>
        <w:jc w:val="both"/>
      </w:pPr>
    </w:p>
    <w:p w:rsidR="00A610BD" w:rsidRDefault="00A610BD">
      <w:pPr>
        <w:jc w:val="both"/>
      </w:pPr>
      <w:r>
        <w:rPr>
          <w:i/>
          <w:iCs/>
        </w:rPr>
        <w:t>City of Canton, Ohio v. Harris</w:t>
      </w:r>
      <w:r>
        <w:t>, 489 U.S. 378, 390 n.10 (1989).</w:t>
      </w:r>
    </w:p>
    <w:p w:rsidR="00A610BD" w:rsidRDefault="00A610BD">
      <w:pPr>
        <w:jc w:val="both"/>
      </w:pPr>
    </w:p>
    <w:p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3707DE" w:rsidRDefault="003707DE">
      <w:pPr>
        <w:jc w:val="both"/>
        <w:rPr>
          <w:b/>
          <w:bCs/>
          <w:sz w:val="28"/>
          <w:szCs w:val="28"/>
        </w:rPr>
        <w:sectPr w:rsidR="003707DE" w:rsidSect="00D413BD">
          <w:headerReference w:type="default" r:id="rId3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rsidR="00A610BD" w:rsidRDefault="00A610BD">
      <w:pPr>
        <w:jc w:val="both"/>
      </w:pPr>
    </w:p>
    <w:p w:rsidR="00A610BD" w:rsidRDefault="00A610BD">
      <w:pPr>
        <w:ind w:firstLine="720"/>
        <w:jc w:val="both"/>
      </w:pPr>
      <w:r>
        <w:t>In this case, [plaintiff] claims that [defendant]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1"/>
      </w:r>
      <w:r>
        <w:t xml:space="preserve"> to [him/her].</w:t>
      </w:r>
    </w:p>
    <w:p w:rsidR="00A610BD" w:rsidRDefault="00A610BD">
      <w:pPr>
        <w:jc w:val="both"/>
      </w:pPr>
    </w:p>
    <w:p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rsidR="00A610BD" w:rsidRDefault="00A610BD">
      <w:pPr>
        <w:jc w:val="both"/>
      </w:pPr>
    </w:p>
    <w:p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 xml:space="preserve">).  However, the Third Circuit has held that </w:t>
      </w:r>
      <w:r w:rsidR="00733FCD">
        <w:t>“the</w:t>
      </w:r>
      <w:r>
        <w:t xml:space="preserve"> Eighth Amendment cruel and unusual punishments standards found in </w:t>
      </w:r>
      <w:r>
        <w:rPr>
          <w:i/>
          <w:iCs/>
        </w:rPr>
        <w:t>Whitley v. Albers</w:t>
      </w:r>
      <w:r>
        <w:t xml:space="preserve">, 475 U.S. 312 (1986) and </w:t>
      </w:r>
      <w:r>
        <w:rPr>
          <w:i/>
          <w:iCs/>
        </w:rPr>
        <w:t>Hudson v. McMillian</w:t>
      </w:r>
      <w:r>
        <w:t xml:space="preserve">, 503 U.S. 1 (1992), apply to a pretrial detainee's excessive force claim </w:t>
      </w:r>
      <w:r>
        <w:rPr>
          <w:i/>
          <w:iCs/>
        </w:rPr>
        <w:t>arising in the context of a prison disturbance</w:t>
      </w:r>
      <w:r>
        <w:t>.</w:t>
      </w:r>
      <w:r w:rsidR="00326D5E">
        <w:t>”</w:t>
      </w:r>
      <w:r>
        <w:t xml:space="preserve">  </w:t>
      </w:r>
      <w:r>
        <w:rPr>
          <w:i/>
          <w:iCs/>
        </w:rPr>
        <w:t>Fuentes v. Wagner</w:t>
      </w:r>
      <w:r>
        <w:t>, 206 F.3d 335, 347 (3d Cir. 2000) (emphasis in original).</w:t>
      </w:r>
    </w:p>
    <w:p w:rsidR="00A610BD" w:rsidRDefault="00A610BD">
      <w:pPr>
        <w:jc w:val="both"/>
      </w:pPr>
    </w:p>
    <w:p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503 U.S. 1, 6-7 (1992).</w:t>
      </w:r>
      <w:r>
        <w:rPr>
          <w:rStyle w:val="FootnoteReference"/>
          <w:vertAlign w:val="superscript"/>
        </w:rPr>
        <w:footnoteReference w:id="162"/>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rsidR="00A610BD" w:rsidRDefault="00A610BD">
      <w:pPr>
        <w:jc w:val="both"/>
      </w:pPr>
    </w:p>
    <w:p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 xml:space="preserve">But equally relevant are such factors as the extent of the threat to the safety of staff and inmates, </w:t>
      </w:r>
      <w:r>
        <w:lastRenderedPageBreak/>
        <w:t>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rsidR="00EF672B" w:rsidRDefault="00EF672B">
      <w:pPr>
        <w:ind w:firstLine="720"/>
        <w:jc w:val="both"/>
      </w:pPr>
    </w:p>
    <w:p w:rsidR="00A610BD"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T]he degree of injury is relevant for any Eighth Amendment analysis, [but] there is no fixed minimum quantum of injury that a prisoner must prove 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rsidR="00A610BD" w:rsidRDefault="00A610BD">
      <w:pPr>
        <w:jc w:val="both"/>
      </w:pPr>
    </w:p>
    <w:p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3"/>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4"/>
      </w:r>
    </w:p>
    <w:p w:rsidR="00A610BD" w:rsidRDefault="00A610BD">
      <w:pPr>
        <w:ind w:firstLine="720"/>
        <w:jc w:val="both"/>
      </w:pPr>
      <w:r>
        <w:lastRenderedPageBreak/>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rsidR="00A610BD" w:rsidRDefault="00A610BD">
      <w:pPr>
        <w:jc w:val="both"/>
      </w:pPr>
    </w:p>
    <w:p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rsidR="00A610BD" w:rsidRDefault="00A610BD">
      <w:pPr>
        <w:jc w:val="both"/>
      </w:pPr>
    </w:p>
    <w:p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vertAlign w:val="superscript"/>
        </w:rPr>
        <w:footnoteReference w:id="165"/>
      </w:r>
    </w:p>
    <w:p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rsidR="00A610BD" w:rsidRDefault="00A610BD">
      <w:pPr>
        <w:jc w:val="both"/>
        <w:rPr>
          <w:b/>
          <w:bCs/>
          <w:sz w:val="28"/>
          <w:szCs w:val="28"/>
        </w:rPr>
      </w:pPr>
    </w:p>
    <w:p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Denial of Adequate Medical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[Plaintiff] had a serious medical need.</w:t>
      </w:r>
    </w:p>
    <w:p w:rsidR="00A610BD" w:rsidRDefault="00A610BD">
      <w:pPr>
        <w:jc w:val="both"/>
      </w:pPr>
    </w:p>
    <w:p w:rsidR="00A610BD" w:rsidRDefault="00A610BD">
      <w:pPr>
        <w:ind w:left="720"/>
        <w:jc w:val="both"/>
      </w:pPr>
      <w:r>
        <w:t>Second:  [Defendant] was deliberately indifferent to that serious medical need.</w:t>
      </w:r>
    </w:p>
    <w:p w:rsidR="00A610BD" w:rsidRDefault="00A610BD">
      <w:pPr>
        <w:jc w:val="both"/>
      </w:pPr>
    </w:p>
    <w:p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6"/>
      </w:r>
      <w:r>
        <w:t xml:space="preserve"> to [plaintiff].</w:t>
      </w:r>
    </w:p>
    <w:p w:rsidR="00A610BD" w:rsidRDefault="00A610BD">
      <w:pPr>
        <w:jc w:val="both"/>
      </w:pPr>
    </w:p>
    <w:p w:rsidR="00A610BD" w:rsidRDefault="00A610BD">
      <w:pPr>
        <w:jc w:val="both"/>
      </w:pPr>
      <w:r>
        <w:t>I will now proceed to give you more details on the first and second of these three requirements.</w:t>
      </w:r>
    </w:p>
    <w:p w:rsidR="00A610BD" w:rsidRDefault="00A610BD">
      <w:pPr>
        <w:jc w:val="both"/>
      </w:pPr>
    </w:p>
    <w:p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rsidR="00A610BD" w:rsidRDefault="00A610BD">
      <w:pPr>
        <w:ind w:firstLine="720"/>
        <w:jc w:val="both"/>
      </w:pPr>
    </w:p>
    <w:p w:rsidR="00753106" w:rsidRDefault="00A610BD" w:rsidP="00753106">
      <w:pPr>
        <w:pStyle w:val="ListParagraph"/>
        <w:numPr>
          <w:ilvl w:val="0"/>
          <w:numId w:val="9"/>
        </w:numPr>
        <w:jc w:val="both"/>
      </w:pPr>
      <w:r>
        <w:t>A doctor has decided that the condition needs treatment; or</w:t>
      </w:r>
    </w:p>
    <w:p w:rsidR="00753106" w:rsidRDefault="00753106" w:rsidP="00753106">
      <w:pPr>
        <w:pStyle w:val="ListParagraph"/>
        <w:jc w:val="both"/>
      </w:pPr>
    </w:p>
    <w:p w:rsidR="00753106" w:rsidRDefault="00A610BD" w:rsidP="00753106">
      <w:pPr>
        <w:pStyle w:val="ListParagraph"/>
        <w:numPr>
          <w:ilvl w:val="0"/>
          <w:numId w:val="9"/>
        </w:numPr>
        <w:jc w:val="both"/>
      </w:pPr>
      <w:r>
        <w:t>The problem is so obvious that non-doctors would easily recognize the need for medical attention; or</w:t>
      </w:r>
      <w:r>
        <w:tab/>
      </w:r>
    </w:p>
    <w:p w:rsidR="00753106" w:rsidRDefault="00753106" w:rsidP="00753106">
      <w:pPr>
        <w:pStyle w:val="ListParagraph"/>
        <w:jc w:val="both"/>
      </w:pPr>
    </w:p>
    <w:p w:rsidR="00753106" w:rsidRDefault="00A610BD" w:rsidP="00753106">
      <w:pPr>
        <w:pStyle w:val="ListParagraph"/>
        <w:numPr>
          <w:ilvl w:val="0"/>
          <w:numId w:val="9"/>
        </w:numPr>
        <w:jc w:val="both"/>
      </w:pPr>
      <w:r>
        <w:t>Denying or delaying medical care creates a risk of permanent physical injury; or</w:t>
      </w:r>
    </w:p>
    <w:p w:rsidR="00753106" w:rsidRDefault="00753106" w:rsidP="00753106">
      <w:pPr>
        <w:pStyle w:val="ListParagraph"/>
        <w:jc w:val="both"/>
      </w:pPr>
    </w:p>
    <w:p w:rsidR="00A610BD" w:rsidRDefault="00A610BD" w:rsidP="00753106">
      <w:pPr>
        <w:pStyle w:val="ListParagraph"/>
        <w:numPr>
          <w:ilvl w:val="0"/>
          <w:numId w:val="9"/>
        </w:numPr>
        <w:jc w:val="both"/>
      </w:pPr>
      <w:r>
        <w:t>Denying or delaying medical care causes needless pain.</w:t>
      </w:r>
    </w:p>
    <w:p w:rsidR="00A610BD" w:rsidRDefault="00A610BD">
      <w:pPr>
        <w:jc w:val="both"/>
      </w:pPr>
    </w:p>
    <w:p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7"/>
      </w:r>
    </w:p>
    <w:p w:rsidR="00A610BD" w:rsidRDefault="00A610BD">
      <w:pPr>
        <w:jc w:val="both"/>
      </w:pPr>
    </w:p>
    <w:p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rsidR="00A610BD" w:rsidRDefault="00A610BD">
      <w:pPr>
        <w:ind w:firstLine="720"/>
        <w:jc w:val="both"/>
      </w:pPr>
    </w:p>
    <w:p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intentionally refuses to provide that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delays the medical treatment for non-medical reasons;</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rsidR="00BF2C99" w:rsidRDefault="00BF2C99" w:rsidP="00BF2C99">
      <w:pPr>
        <w:pStyle w:val="ListParagraph"/>
        <w:jc w:val="both"/>
      </w:pPr>
    </w:p>
    <w:p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rsidR="00BF2C99" w:rsidRDefault="00BF2C99" w:rsidP="00BF2C99">
      <w:pPr>
        <w:pStyle w:val="ListParagraph"/>
        <w:jc w:val="both"/>
      </w:pPr>
    </w:p>
    <w:p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rsidR="00A610BD" w:rsidRDefault="00A610BD">
      <w:pPr>
        <w:jc w:val="both"/>
      </w:pPr>
    </w:p>
    <w:p w:rsidR="00A610BD" w:rsidRDefault="00A610BD">
      <w:pPr>
        <w:ind w:firstLine="720"/>
        <w:jc w:val="both"/>
      </w:pPr>
      <w:r>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rsidR="00A610BD" w:rsidRDefault="00A610BD">
      <w:pPr>
        <w:jc w:val="both"/>
      </w:pPr>
    </w:p>
    <w:p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8"/>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69"/>
      </w:r>
      <w:r>
        <w:t xml:space="preserve">  Instruction 4.11 reflects the Eighth Amendment standard concerning the denial of medical care.</w:t>
      </w:r>
    </w:p>
    <w:p w:rsidR="00A610BD" w:rsidRDefault="00A610BD">
      <w:pPr>
        <w:jc w:val="both"/>
      </w:pPr>
    </w:p>
    <w:p w:rsidR="00A610BD" w:rsidRDefault="00A610BD">
      <w:pPr>
        <w:ind w:firstLine="720"/>
        <w:jc w:val="both"/>
      </w:pPr>
      <w:r>
        <w:t xml:space="preserve">The Eighth Amendment standard may be more difficult for plaintiffs to meet than the </w:t>
      </w:r>
      <w:r>
        <w:lastRenderedPageBreak/>
        <w:t xml:space="preserve">standard that applies to claims regarding treatment of pretrial detainees or of prisoners who have 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rsidR="00A610BD" w:rsidRDefault="00A610BD">
      <w:pPr>
        <w:jc w:val="both"/>
      </w:pPr>
    </w:p>
    <w:p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 22.</w:t>
      </w:r>
      <w:r>
        <w:rPr>
          <w:rStyle w:val="FootnoteReference"/>
          <w:vertAlign w:val="superscript"/>
        </w:rPr>
        <w:footnoteReference w:id="170"/>
      </w:r>
    </w:p>
    <w:p w:rsidR="00A610BD" w:rsidRDefault="00A610BD">
      <w:pPr>
        <w:jc w:val="both"/>
      </w:pPr>
    </w:p>
    <w:p w:rsidR="00A610BD" w:rsidRDefault="00A610BD">
      <w:pPr>
        <w:ind w:firstLine="720"/>
        <w:jc w:val="both"/>
      </w:pPr>
      <w:r>
        <w:rPr>
          <w:u w:val="single"/>
        </w:rPr>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rsidR="00A610BD" w:rsidRDefault="00A610BD">
      <w:pPr>
        <w:jc w:val="both"/>
      </w:pPr>
    </w:p>
    <w:p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p>
    <w:p w:rsidR="00A610BD" w:rsidRDefault="00A610BD">
      <w:pPr>
        <w:jc w:val="both"/>
      </w:pPr>
    </w:p>
    <w:p w:rsidR="00A610BD" w:rsidRDefault="00A610BD">
      <w:pPr>
        <w:ind w:firstLine="720"/>
        <w:jc w:val="both"/>
      </w:pPr>
      <w:r>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1"/>
      </w:r>
      <w:r>
        <w:t xml:space="preserve">  Rather, the plaintiff must show subjective recklessness on the defendant</w:t>
      </w:r>
      <w:r w:rsidR="000D09A4">
        <w:t>’</w:t>
      </w:r>
      <w:r>
        <w:t xml:space="preserve">s part.  </w:t>
      </w:r>
      <w:r w:rsidR="004D583E">
        <w:lastRenderedPageBreak/>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rsidR="00A610BD" w:rsidRDefault="00A610BD">
      <w:pPr>
        <w:jc w:val="both"/>
      </w:pPr>
    </w:p>
    <w:p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3"/>
      </w:r>
    </w:p>
    <w:p w:rsidR="00A610BD" w:rsidRDefault="00A610BD">
      <w:pPr>
        <w:jc w:val="both"/>
      </w:pPr>
    </w:p>
    <w:p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 xml:space="preserve">s awareness of the risk may be closely entwined, rendering it confusing to present the latter issue as one on which the </w:t>
      </w:r>
      <w:r>
        <w:lastRenderedPageBreak/>
        <w:t>defendant has the burden of proof.  Accordingly, the model does not explicitly address the question of burden of proof concerning that issue.</w:t>
      </w:r>
    </w:p>
    <w:p w:rsidR="00A610BD" w:rsidRDefault="00A610BD">
      <w:pPr>
        <w:jc w:val="both"/>
      </w:pPr>
    </w:p>
    <w:p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rsidR="00A610BD" w:rsidRDefault="00A610BD">
      <w:pPr>
        <w:jc w:val="both"/>
      </w:pPr>
    </w:p>
    <w:p w:rsidR="00A610BD" w:rsidRDefault="00A610BD">
      <w:pPr>
        <w:ind w:firstLine="720"/>
        <w:jc w:val="both"/>
      </w:pPr>
      <w:r>
        <w:t>The Third Circuit has enumerated a number of ways in which a plaintiff could show deliberate indifference.  Deliberate indifference exists, for example:</w:t>
      </w:r>
    </w:p>
    <w:p w:rsidR="00A610BD" w:rsidRDefault="00A610BD">
      <w:pPr>
        <w:jc w:val="both"/>
      </w:pPr>
    </w:p>
    <w:p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4"/>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5"/>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6"/>
      </w:r>
    </w:p>
    <w:p w:rsidR="00D95514" w:rsidRDefault="00D95514" w:rsidP="00D95514">
      <w:pPr>
        <w:pStyle w:val="ListParagraph"/>
        <w:jc w:val="both"/>
      </w:pPr>
    </w:p>
    <w:p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7"/>
      </w:r>
    </w:p>
    <w:p w:rsidR="00D95514" w:rsidRDefault="00D95514" w:rsidP="00D95514">
      <w:pPr>
        <w:pStyle w:val="ListParagraph"/>
        <w:jc w:val="both"/>
      </w:pPr>
    </w:p>
    <w:p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8"/>
      </w:r>
    </w:p>
    <w:p w:rsidR="00D95514" w:rsidRDefault="00D95514" w:rsidP="00D95514">
      <w:pPr>
        <w:pStyle w:val="ListParagraph"/>
        <w:jc w:val="both"/>
      </w:pPr>
    </w:p>
    <w:p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79"/>
      </w:r>
    </w:p>
    <w:p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in the face of resultant pain and risk of permanent injury.</w:t>
      </w:r>
      <w:r w:rsidR="00663CA4">
        <w:t>’”</w:t>
      </w:r>
      <w:r w:rsidR="00A610BD">
        <w:rPr>
          <w:rStyle w:val="FootnoteReference"/>
          <w:vertAlign w:val="superscript"/>
        </w:rPr>
        <w:footnoteReference w:id="180"/>
      </w:r>
    </w:p>
    <w:p w:rsidR="00A610BD" w:rsidRDefault="00A610BD">
      <w:pPr>
        <w:jc w:val="both"/>
      </w:pPr>
    </w:p>
    <w:p w:rsidR="00A610BD"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p>
    <w:p w:rsidR="00A610BD" w:rsidRDefault="00A610BD">
      <w:pPr>
        <w:jc w:val="both"/>
      </w:pPr>
    </w:p>
    <w:p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1"/>
      </w:r>
      <w:r>
        <w:t xml:space="preserve">  Assuming that the plaintiff must prove some harm, proof of physical injury clearly suffices.  Proof of physical pain should also suffice, even absent other significant physical injury.  </w:t>
      </w:r>
      <w:r>
        <w:rPr>
          <w:i/>
          <w:iCs/>
        </w:rPr>
        <w:t>Cf. Atkinson</w:t>
      </w:r>
      <w:r>
        <w:t xml:space="preserve">, </w:t>
      </w:r>
      <w:r>
        <w:lastRenderedPageBreak/>
        <w:t xml:space="preserve">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rsidR="00A610BD" w:rsidRDefault="00A610BD">
      <w:pPr>
        <w:jc w:val="both"/>
      </w:pPr>
    </w:p>
    <w:p w:rsidR="00A610BD" w:rsidRDefault="00A610BD">
      <w:pPr>
        <w:ind w:firstLine="720"/>
        <w:jc w:val="both"/>
      </w:pPr>
      <w:r>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7A02A6">
        <w:t>’”</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rsidR="00A610BD" w:rsidRDefault="00A610BD">
      <w:pPr>
        <w:jc w:val="both"/>
      </w:pPr>
    </w:p>
    <w:p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rsidR="00A610BD" w:rsidRDefault="00A610BD">
      <w:pPr>
        <w:jc w:val="both"/>
      </w:pPr>
    </w:p>
    <w:p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2"/>
      </w:r>
    </w:p>
    <w:p w:rsidR="00A610BD" w:rsidRDefault="00A610BD">
      <w:pPr>
        <w:ind w:firstLine="720"/>
        <w:jc w:val="both"/>
      </w:pPr>
      <w:r>
        <w:lastRenderedPageBreak/>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vertAlign w:val="superscript"/>
        </w:rPr>
        <w:footnoteReference w:id="183"/>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Suicidal Action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rsidR="00A610BD" w:rsidRDefault="00A610BD">
      <w:pPr>
        <w:jc w:val="both"/>
      </w:pPr>
    </w:p>
    <w:p w:rsidR="00A610BD" w:rsidRDefault="00A610BD">
      <w:pPr>
        <w:ind w:firstLine="720"/>
        <w:jc w:val="both"/>
      </w:pPr>
      <w:r>
        <w:t>In order to establish [his/her] claim for violation of the Eighth Amendment, [plaintiff] must prove the following three things by a preponderance of the evidence:</w:t>
      </w:r>
    </w:p>
    <w:p w:rsidR="00A610BD" w:rsidRDefault="00A610BD">
      <w:pPr>
        <w:ind w:firstLine="720"/>
        <w:jc w:val="both"/>
      </w:pPr>
    </w:p>
    <w:p w:rsidR="00A610BD" w:rsidRDefault="00A610BD">
      <w:pPr>
        <w:ind w:left="720"/>
        <w:jc w:val="both"/>
      </w:pPr>
      <w:r>
        <w:t>First:  [Decedent] was particularly vulnerable to suicide.  [Plaintiff] must show that there was a strong likelihood that [decedent] would attempt suicide.</w:t>
      </w:r>
    </w:p>
    <w:p w:rsidR="00A610BD" w:rsidRDefault="00A610BD">
      <w:pPr>
        <w:jc w:val="both"/>
      </w:pPr>
    </w:p>
    <w:p w:rsidR="00A610BD" w:rsidRDefault="00A610BD">
      <w:pPr>
        <w:ind w:firstLine="720"/>
        <w:jc w:val="both"/>
      </w:pPr>
      <w:r>
        <w:t>Second: [Defendant] was deliberately indifferent to that vulnerability.</w:t>
      </w:r>
    </w:p>
    <w:p w:rsidR="00A610BD" w:rsidRDefault="00A610BD">
      <w:pPr>
        <w:jc w:val="both"/>
      </w:pPr>
    </w:p>
    <w:p w:rsidR="00A610BD" w:rsidRDefault="00A610BD">
      <w:pPr>
        <w:ind w:left="720"/>
        <w:jc w:val="both"/>
      </w:pPr>
      <w:r>
        <w:t>Third:  [Decedent] [would have survived] [would have suffered less harm] if [defendant] had not been deliberately indifferent.</w:t>
      </w:r>
    </w:p>
    <w:p w:rsidR="00A610BD" w:rsidRDefault="00A610BD">
      <w:pPr>
        <w:jc w:val="both"/>
      </w:pPr>
    </w:p>
    <w:p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rsidR="00A610BD" w:rsidRDefault="00A610BD">
      <w:pPr>
        <w:jc w:val="both"/>
      </w:pPr>
    </w:p>
    <w:p w:rsidR="00A610BD" w:rsidRDefault="00A610BD">
      <w:pPr>
        <w:ind w:firstLine="720"/>
        <w:jc w:val="both"/>
      </w:pPr>
      <w:r>
        <w:t>[Plaintiff] must show that [defendant] actually knew of the risk.  [If a prison official 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 xml:space="preserve">If [plaintiff] proves that the risk of a suicide attempt by [decedent] was obvious, you are entitled to infer from the obviousness of the risk that [defendant] knew of the risk.  [However, [defendant] claims that even if there was an obvious risk, [he/she] was unaware of that risk.  If you </w:t>
      </w:r>
      <w:r>
        <w:lastRenderedPageBreak/>
        <w:t>find that [defendant] was unaware of the risk, then you must find that [he/she] was not deliberately indifferent.]</w:t>
      </w:r>
      <w:r>
        <w:rPr>
          <w:rStyle w:val="FootnoteReference"/>
          <w:vertAlign w:val="superscript"/>
        </w:rPr>
        <w:footnoteReference w:id="184"/>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rsidR="00A610BD" w:rsidRDefault="00A610BD">
      <w:pPr>
        <w:jc w:val="both"/>
      </w:pPr>
    </w:p>
    <w:p w:rsidR="00A610BD" w:rsidRDefault="00A610BD">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p>
    <w:p w:rsidR="00A610BD" w:rsidRDefault="00A610BD">
      <w:pPr>
        <w:jc w:val="both"/>
      </w:pPr>
    </w:p>
    <w:p w:rsidR="00A610BD" w:rsidRDefault="00A610BD">
      <w:pPr>
        <w:ind w:firstLine="720"/>
        <w:jc w:val="both"/>
      </w:pPr>
      <w:r>
        <w:rPr>
          <w:u w:val="single"/>
        </w:rPr>
        <w:t>Deliberate indifference.</w:t>
      </w:r>
      <w:r>
        <w:t xml:space="preserve">  The plaintiff in a case involving a convicted prisoner</w:t>
      </w:r>
      <w:r w:rsidR="000D09A4">
        <w:t>’</w:t>
      </w:r>
      <w:r>
        <w:t xml:space="preserve">s suicide must meet the </w:t>
      </w:r>
      <w:r>
        <w:rPr>
          <w:i/>
          <w:iCs/>
        </w:rPr>
        <w:t>Farmer</w:t>
      </w:r>
      <w:r>
        <w:t xml:space="preserve"> test for subjective deliberate indifference.  Admittedly, in the context of claims concerning pretrial detainees</w:t>
      </w:r>
      <w:r w:rsidR="000D09A4">
        <w:t>’</w:t>
      </w:r>
      <w:r>
        <w:t xml:space="preserve"> suicides, the Court of Appeals stated an objective, rather than a subjective, test: </w:t>
      </w:r>
      <w:r w:rsidR="004D583E">
        <w:t>“[</w:t>
      </w:r>
      <w:r>
        <w:t xml:space="preserve">A] plaintiff in a prison suicide case has the burden of establishing three elements: (1) the detainee 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t xml:space="preserve">  </w:t>
      </w:r>
      <w:r>
        <w:rPr>
          <w:i/>
          <w:iCs/>
        </w:rPr>
        <w:t>Woloszyn</w:t>
      </w:r>
      <w:r>
        <w:t xml:space="preserve">, 396 F.3d at 319 (quoting </w:t>
      </w:r>
      <w:r>
        <w:rPr>
          <w:i/>
          <w:iCs/>
        </w:rPr>
        <w:t>Colburn</w:t>
      </w:r>
      <w:r>
        <w:t xml:space="preserve">, 946 F.2d at 1023).  However, claims regarding convicted prisoners sound in the Eighth Amendment, and plaintiffs in such cases must show subjective deliberate indifference.  </w:t>
      </w:r>
      <w:r>
        <w:rPr>
          <w:i/>
          <w:iCs/>
        </w:rPr>
        <w:t>See</w:t>
      </w:r>
      <w:r>
        <w:t xml:space="preserve"> </w:t>
      </w:r>
      <w:r>
        <w:rPr>
          <w:i/>
          <w:iCs/>
        </w:rPr>
        <w:t>Farmer v. Brennan</w:t>
      </w:r>
      <w:r>
        <w:t xml:space="preserve">, 511 U.S. 825, 837 (1994); </w:t>
      </w:r>
      <w:r>
        <w:rPr>
          <w:i/>
          <w:iCs/>
        </w:rPr>
        <w:t>Singletary v. Pennsylvania Dept. of Corrections</w:t>
      </w:r>
      <w:r>
        <w:t xml:space="preserve">, 266 F.3d 186, 192 n.2 (3d Cir. 2001) (applying </w:t>
      </w:r>
      <w:r>
        <w:rPr>
          <w:i/>
          <w:iCs/>
        </w:rPr>
        <w:t>Farmer</w:t>
      </w:r>
      <w:r>
        <w:t xml:space="preserve"> in case arising from convicted prisoner</w:t>
      </w:r>
      <w:r w:rsidR="000D09A4">
        <w:t>’</w:t>
      </w:r>
      <w:r>
        <w:t xml:space="preserve">s suicide); </w:t>
      </w:r>
      <w:r>
        <w:rPr>
          <w:i/>
          <w:iCs/>
        </w:rPr>
        <w:t>see also</w:t>
      </w:r>
      <w:r>
        <w:t xml:space="preserve"> Comments 4.11.1 &amp; 4.11.3.  The model instruction is designed for use in Eighth Amendment cases and it employs the </w:t>
      </w:r>
      <w:r>
        <w:rPr>
          <w:i/>
          <w:iCs/>
        </w:rPr>
        <w:t>Farmer</w:t>
      </w:r>
      <w:r>
        <w:t xml:space="preserve"> standard.</w:t>
      </w:r>
    </w:p>
    <w:p w:rsidR="00A610BD" w:rsidRDefault="00A610BD">
      <w:pPr>
        <w:jc w:val="both"/>
      </w:pPr>
    </w:p>
    <w:p w:rsidR="00A610BD" w:rsidRDefault="00A610BD">
      <w:pPr>
        <w:ind w:firstLine="720"/>
        <w:jc w:val="both"/>
      </w:pPr>
      <w:r>
        <w:t xml:space="preserve">Claims regarding pretrial detainees are substantive due process claims, and it is not clear whether such claims should be analyzed under </w:t>
      </w:r>
      <w:r>
        <w:rPr>
          <w:i/>
          <w:iCs/>
        </w:rPr>
        <w:t>Farmer</w:t>
      </w:r>
      <w:r w:rsidR="000D09A4">
        <w:t>’</w:t>
      </w:r>
      <w:r>
        <w:t xml:space="preserve">s stringent Eighth Amendment test.  </w:t>
      </w:r>
      <w:r>
        <w:rPr>
          <w:i/>
          <w:iCs/>
        </w:rPr>
        <w:t>See</w:t>
      </w:r>
      <w:r>
        <w:t xml:space="preserve"> Comment 4.11.1 (noting that the substantive due process test for claims concerning treatment of </w:t>
      </w:r>
      <w:r>
        <w:lastRenderedPageBreak/>
        <w:t xml:space="preserve">pretrial detainees may be less rigorous than the Eighth Amendment test for claims concerning treatment of convicted prisoners); </w:t>
      </w:r>
      <w:r>
        <w:rPr>
          <w:i/>
          <w:iCs/>
        </w:rPr>
        <w:t>see also Owens v. City of Philadelphia</w:t>
      </w:r>
      <w:r>
        <w:t xml:space="preserve">, 6 F. Supp. 2d 373, 380 n.6 (E.D.Pa. 1998) </w:t>
      </w:r>
      <w:r w:rsidR="00356C5B">
        <w:t>(“</w:t>
      </w:r>
      <w:r>
        <w:t>The Eighth Amendment's cruel and unusual punishments clause</w:t>
      </w:r>
      <w:r w:rsidR="000E077A">
        <w:t xml:space="preserve"> – </w:t>
      </w:r>
      <w:r>
        <w:t xml:space="preserve">which  underpins the subjective </w:t>
      </w:r>
      <w:r w:rsidR="009510BB">
        <w:t>‘</w:t>
      </w:r>
      <w:r>
        <w:t>criminal recklessness</w:t>
      </w:r>
      <w:r w:rsidR="000D09A4">
        <w:t>’</w:t>
      </w:r>
      <w:r>
        <w:t xml:space="preserve"> standard articulated in </w:t>
      </w:r>
      <w:r>
        <w:rPr>
          <w:i/>
          <w:iCs/>
        </w:rPr>
        <w:t>Farmer</w:t>
      </w:r>
      <w:r w:rsidR="000E077A">
        <w:t xml:space="preserve"> – </w:t>
      </w:r>
      <w:r>
        <w:t>seems rather remote from the values appropriate for determining the due process rights of those who, although in detention, have not been convicted of any crime.</w:t>
      </w:r>
      <w:r w:rsidR="00FD4B4D">
        <w:t>”</w:t>
      </w:r>
      <w:r>
        <w:t xml:space="preserve">).  Because the plaintiff in </w:t>
      </w:r>
      <w:r>
        <w:rPr>
          <w:i/>
          <w:iCs/>
        </w:rPr>
        <w:t>Woloszyn</w:t>
      </w:r>
      <w:r>
        <w:t xml:space="preserve"> failed to present evidence establishing the first element (particular vulnerability to suicide), the Court of Appeals did not have occasion to decide whether </w:t>
      </w:r>
      <w:r>
        <w:rPr>
          <w:i/>
          <w:iCs/>
        </w:rPr>
        <w:t>Farmer</w:t>
      </w:r>
      <w:r w:rsidR="000D09A4">
        <w:t>’</w:t>
      </w:r>
      <w:r>
        <w:t>s subjective deliberate indifference test should apply to claims concerning pretrial detainees</w:t>
      </w:r>
      <w:r w:rsidR="000D09A4">
        <w:t>’</w:t>
      </w:r>
      <w:r>
        <w:t xml:space="preserve"> suicides.  </w:t>
      </w:r>
      <w:r>
        <w:rPr>
          <w:i/>
          <w:iCs/>
        </w:rPr>
        <w:t>See Woloszyn</w:t>
      </w:r>
      <w:r>
        <w:t>, 396 F.3d at 321.</w:t>
      </w:r>
      <w:r>
        <w:rPr>
          <w:rStyle w:val="FootnoteReference"/>
          <w:vertAlign w:val="superscript"/>
        </w:rPr>
        <w:footnoteReference w:id="185"/>
      </w:r>
    </w:p>
    <w:p w:rsidR="00A610BD" w:rsidRDefault="00A610BD">
      <w:pPr>
        <w:jc w:val="both"/>
      </w:pPr>
    </w:p>
    <w:p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rsidR="00A610BD" w:rsidRDefault="00A610BD">
      <w:pPr>
        <w:jc w:val="both"/>
      </w:pPr>
    </w:p>
    <w:p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 xml:space="preserve">deliverance of the pass [to see a psychiatrist] at a time contemporaneous to the last </w:t>
      </w:r>
      <w:r>
        <w:lastRenderedPageBreak/>
        <w:t>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rsidR="0042151A" w:rsidRDefault="0042151A" w:rsidP="0042151A">
      <w:pPr>
        <w:ind w:firstLine="720"/>
        <w:jc w:val="both"/>
        <w:rPr>
          <w:u w:val="double"/>
        </w:rPr>
      </w:pPr>
    </w:p>
    <w:p w:rsidR="0042151A" w:rsidRPr="0042151A" w:rsidRDefault="0042151A" w:rsidP="0042151A">
      <w:pPr>
        <w:ind w:firstLine="720"/>
        <w:jc w:val="both"/>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p>
    <w:p w:rsidR="00A610BD" w:rsidRPr="0042151A" w:rsidRDefault="00A610BD">
      <w:pPr>
        <w:ind w:firstLine="720"/>
        <w:jc w:val="both"/>
      </w:pPr>
    </w:p>
    <w:p w:rsidR="00F95913" w:rsidRDefault="00F95913">
      <w:pPr>
        <w:tabs>
          <w:tab w:val="center" w:pos="4680"/>
        </w:tabs>
        <w:jc w:val="both"/>
        <w:rPr>
          <w:b/>
          <w:bCs/>
          <w:sz w:val="28"/>
          <w:szCs w:val="28"/>
        </w:rPr>
      </w:pPr>
    </w:p>
    <w:p w:rsidR="0042151A" w:rsidRDefault="0042151A">
      <w:pPr>
        <w:tabs>
          <w:tab w:val="center" w:pos="4680"/>
        </w:tabs>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rsidR="00A610BD" w:rsidRDefault="00A610BD">
      <w:pPr>
        <w:tabs>
          <w:tab w:val="center" w:pos="4680"/>
        </w:tabs>
        <w:jc w:val="both"/>
        <w:rPr>
          <w:b/>
          <w:bCs/>
          <w:sz w:val="28"/>
          <w:szCs w:val="28"/>
        </w:rPr>
      </w:pPr>
      <w:r>
        <w:rPr>
          <w:b/>
          <w:bCs/>
          <w:sz w:val="28"/>
          <w:szCs w:val="28"/>
        </w:rPr>
        <w:tab/>
        <w:t>Failure to Protect from Attack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6"/>
      </w:r>
      <w:r>
        <w:t xml:space="preserve">  Specifically, [plaintiff] claims that [briefly describe plaintiff</w:t>
      </w:r>
      <w:r w:rsidR="000D09A4">
        <w:t>’</w:t>
      </w:r>
      <w:r>
        <w:t>s allegations].</w:t>
      </w:r>
    </w:p>
    <w:p w:rsidR="00A610BD" w:rsidRDefault="00A610BD">
      <w:pPr>
        <w:jc w:val="both"/>
      </w:pPr>
    </w:p>
    <w:p w:rsidR="00A610BD" w:rsidRDefault="00A610BD">
      <w:pPr>
        <w:ind w:firstLine="720"/>
        <w:jc w:val="both"/>
      </w:pPr>
      <w:r>
        <w:t>In order to establish [his/her] claim for violation of the Eighth Amendment, [plaintiff] must prove each of the following three things by a preponderance of the evidence:</w:t>
      </w:r>
    </w:p>
    <w:p w:rsidR="00A610BD" w:rsidRDefault="00A610BD">
      <w:pPr>
        <w:ind w:firstLine="720"/>
        <w:jc w:val="both"/>
      </w:pPr>
    </w:p>
    <w:p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rsidR="00A610BD" w:rsidRDefault="00A610BD">
      <w:pPr>
        <w:jc w:val="both"/>
      </w:pPr>
    </w:p>
    <w:p w:rsidR="00A610BD" w:rsidRDefault="00A610BD">
      <w:pPr>
        <w:ind w:left="720"/>
        <w:jc w:val="both"/>
      </w:pPr>
      <w:r>
        <w:t>Second: [Defendant] was deliberately indifferent to that risk.</w:t>
      </w:r>
    </w:p>
    <w:p w:rsidR="00A610BD" w:rsidRDefault="00A610BD">
      <w:pPr>
        <w:jc w:val="both"/>
      </w:pPr>
    </w:p>
    <w:p w:rsidR="00A610BD" w:rsidRDefault="00A610BD">
      <w:pPr>
        <w:ind w:left="720"/>
        <w:jc w:val="both"/>
      </w:pPr>
      <w:r>
        <w:t>Third: [Plaintiff] [would have survived] [would have suffered less harm]</w:t>
      </w:r>
      <w:r>
        <w:rPr>
          <w:rStyle w:val="FootnoteReference"/>
          <w:vertAlign w:val="superscript"/>
        </w:rPr>
        <w:footnoteReference w:id="187"/>
      </w:r>
      <w:r>
        <w:t xml:space="preserve"> if [defendant] had not been deliberately indifferent.</w:t>
      </w:r>
    </w:p>
    <w:p w:rsidR="00A610BD" w:rsidRDefault="00A610BD">
      <w:pPr>
        <w:jc w:val="both"/>
      </w:pPr>
    </w:p>
    <w:p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rsidR="00A610BD" w:rsidRDefault="00A610BD">
      <w:pPr>
        <w:jc w:val="both"/>
      </w:pPr>
    </w:p>
    <w:p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rsidR="00A610BD" w:rsidRDefault="00A610BD">
      <w:pPr>
        <w:jc w:val="both"/>
      </w:pPr>
    </w:p>
    <w:p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merely </w:t>
      </w:r>
      <w:r>
        <w:lastRenderedPageBreak/>
        <w:t>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rsidR="00A610BD" w:rsidRDefault="00A610BD">
      <w:pPr>
        <w:jc w:val="both"/>
      </w:pPr>
    </w:p>
    <w:p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8"/>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89"/>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rsidR="00E078C5" w:rsidRDefault="00E078C5" w:rsidP="00E078C5">
      <w:pPr>
        <w:ind w:firstLine="720"/>
        <w:jc w:val="both"/>
      </w:pPr>
    </w:p>
    <w:p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 xml:space="preserve">Quinones v. </w:t>
      </w:r>
      <w:r>
        <w:rPr>
          <w:i/>
          <w:iCs/>
        </w:rPr>
        <w:lastRenderedPageBreak/>
        <w:t>Jimenez</w:t>
      </w:r>
      <w:r>
        <w:rPr>
          <w:i/>
          <w:iCs/>
        </w:rPr>
        <w:noBreakHyphen/>
        <w:t>Nettleship</w:t>
      </w:r>
      <w:r>
        <w:t>, 842 F.2d 556, 558 (1st Cir. 1988)).</w:t>
      </w:r>
      <w:r>
        <w:rPr>
          <w:rStyle w:val="FootnoteReference"/>
          <w:vertAlign w:val="superscript"/>
        </w:rPr>
        <w:footnoteReference w:id="190"/>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rsidR="00A610BD" w:rsidRDefault="00A610BD">
      <w:pPr>
        <w:jc w:val="both"/>
      </w:pPr>
    </w:p>
    <w:p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rsidR="00A610BD" w:rsidRDefault="00A610BD">
      <w:pPr>
        <w:jc w:val="both"/>
      </w:pPr>
    </w:p>
    <w:p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p>
    <w:p w:rsidR="00A610BD" w:rsidRDefault="00A610BD">
      <w:pPr>
        <w:jc w:val="both"/>
      </w:pPr>
    </w:p>
    <w:p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1"/>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FD4B4D">
        <w:t>”</w:t>
      </w:r>
      <w:r>
        <w:rPr>
          <w:i/>
          <w:iCs/>
        </w:rPr>
        <w:t xml:space="preserve">  Id.</w:t>
      </w:r>
      <w:r>
        <w:t xml:space="preserve"> at 847.</w:t>
      </w:r>
    </w:p>
    <w:p w:rsidR="00EF672B" w:rsidRDefault="00EF672B">
      <w:pPr>
        <w:ind w:firstLine="720"/>
        <w:jc w:val="both"/>
      </w:pPr>
    </w:p>
    <w:p w:rsidR="00A610BD" w:rsidRDefault="00A610BD">
      <w:pPr>
        <w:ind w:firstLine="720"/>
        <w:jc w:val="both"/>
      </w:pPr>
      <w:r>
        <w:lastRenderedPageBreak/>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2"/>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3"/>
      </w:r>
      <w:r>
        <w:t xml:space="preserve">  </w:t>
      </w:r>
    </w:p>
    <w:p w:rsidR="00A610BD" w:rsidRDefault="00A610BD">
      <w:pPr>
        <w:jc w:val="both"/>
      </w:pPr>
    </w:p>
    <w:p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rsidR="00A610BD" w:rsidRDefault="00A610BD">
      <w:pPr>
        <w:jc w:val="both"/>
      </w:pPr>
    </w:p>
    <w:p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vertAlign w:val="superscript"/>
        </w:rPr>
        <w:footnoteReference w:id="194"/>
      </w:r>
    </w:p>
    <w:p w:rsidR="00A610BD" w:rsidRDefault="00A610BD">
      <w:pPr>
        <w:jc w:val="both"/>
      </w:pPr>
    </w:p>
    <w:p w:rsidR="00A610BD" w:rsidRDefault="00A610BD">
      <w:pPr>
        <w:ind w:firstLine="720"/>
        <w:jc w:val="both"/>
      </w:pPr>
      <w:r>
        <w:t xml:space="preserve">Likewise, it is not a valid defense </w:t>
      </w:r>
      <w:r w:rsidR="001D2816">
        <w:t>“</w:t>
      </w:r>
      <w:r>
        <w:t xml:space="preserve">that, while [the defendant] was aware of an obvious, </w:t>
      </w:r>
      <w:r>
        <w:lastRenderedPageBreak/>
        <w:t>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rsidR="00A610BD" w:rsidRDefault="00A610BD">
      <w:pPr>
        <w:jc w:val="both"/>
      </w:pPr>
    </w:p>
    <w:p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5"/>
      </w:r>
    </w:p>
    <w:p w:rsidR="00EF672B" w:rsidRDefault="00EF672B">
      <w:pPr>
        <w:ind w:firstLine="720"/>
        <w:jc w:val="both"/>
        <w:rPr>
          <w:u w:val="single"/>
        </w:rPr>
      </w:pPr>
    </w:p>
    <w:p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rsidR="00A610BD" w:rsidRDefault="00A610BD">
      <w:pPr>
        <w:jc w:val="both"/>
      </w:pPr>
    </w:p>
    <w:p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xml:space="preserve">, 239 F.3d </w:t>
      </w:r>
      <w:r>
        <w:lastRenderedPageBreak/>
        <w:t>307, 314 (3d Cir. 2001) (en banc).</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The Fourth Amendment to the United States Constitution protects persons from being</w:t>
      </w:r>
    </w:p>
    <w:p w:rsidR="00A610BD" w:rsidRDefault="00A610BD">
      <w:pPr>
        <w:jc w:val="both"/>
      </w:pPr>
      <w:r>
        <w:t>subjected to unreasonable seizures by the police.  A law enforcement official may only seize a person (for example, by stopping or arresting the person) if there is appropriate justification to do so.</w:t>
      </w:r>
    </w:p>
    <w:p w:rsidR="00A610BD" w:rsidRDefault="00A610BD">
      <w:pPr>
        <w:jc w:val="both"/>
      </w:pPr>
    </w:p>
    <w:p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rsidR="00A610BD" w:rsidRDefault="00A610BD">
      <w:pPr>
        <w:jc w:val="both"/>
      </w:pPr>
    </w:p>
    <w:p w:rsidR="00A610BD" w:rsidRDefault="00A610BD">
      <w:pPr>
        <w:ind w:left="720"/>
        <w:jc w:val="both"/>
      </w:pPr>
      <w:r>
        <w:t>First:  [Defendant] intentionally [describe the acts plaintiff alleges led to or constituted the seizure].</w:t>
      </w:r>
    </w:p>
    <w:p w:rsidR="00A610BD" w:rsidRDefault="00A610BD">
      <w:pPr>
        <w:jc w:val="both"/>
      </w:pPr>
    </w:p>
    <w:p w:rsidR="00A610BD" w:rsidRDefault="00A610BD">
      <w:pPr>
        <w:ind w:left="720"/>
        <w:jc w:val="both"/>
      </w:pPr>
      <w:r>
        <w:t>Second: Those acts subjected [plaintiff] to a</w:t>
      </w:r>
      <w:r w:rsidR="00D95F6F">
        <w:t xml:space="preserve"> “</w:t>
      </w:r>
      <w:r>
        <w:t>seizure.</w:t>
      </w:r>
      <w:r w:rsidR="00FD4B4D">
        <w:t>”</w:t>
      </w:r>
    </w:p>
    <w:p w:rsidR="00A610BD" w:rsidRDefault="00A610BD">
      <w:pPr>
        <w:jc w:val="both"/>
      </w:pPr>
    </w:p>
    <w:p w:rsidR="00A610BD" w:rsidRDefault="00A610BD">
      <w:pPr>
        <w:ind w:left="720"/>
        <w:jc w:val="both"/>
      </w:pPr>
      <w:r>
        <w:t>Third: The</w:t>
      </w:r>
      <w:r w:rsidR="00D95F6F">
        <w:t xml:space="preserve"> “</w:t>
      </w:r>
      <w:r>
        <w:t>seizure</w:t>
      </w:r>
      <w:r w:rsidR="00FD4B4D">
        <w:t>”</w:t>
      </w:r>
      <w:r>
        <w:t xml:space="preserve"> was unreasonable.</w:t>
      </w:r>
    </w:p>
    <w:p w:rsidR="00A610BD" w:rsidRDefault="00A610BD">
      <w:pPr>
        <w:jc w:val="both"/>
      </w:pPr>
    </w:p>
    <w:p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rsidR="00A610BD" w:rsidRDefault="00A610BD">
      <w:pPr>
        <w:jc w:val="both"/>
      </w:pPr>
    </w:p>
    <w:p w:rsidR="00A610BD" w:rsidRDefault="00A610BD">
      <w:pPr>
        <w:ind w:firstLine="720"/>
        <w:jc w:val="both"/>
      </w:pPr>
      <w:r>
        <w:rPr>
          <w:i/>
          <w:iCs/>
        </w:rPr>
        <w:t>[Add appropriate instructions concerning the relevant type[s] of seizure[s].  See infra Instructions 4.12.1 - 4.12.3.]</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rsidR="00A610BD" w:rsidRDefault="00A610BD">
      <w:pPr>
        <w:jc w:val="both"/>
      </w:pPr>
    </w:p>
    <w:p w:rsidR="00A610BD" w:rsidRDefault="00A610BD">
      <w:pPr>
        <w:ind w:firstLine="720"/>
        <w:jc w:val="both"/>
      </w:pPr>
      <w:r>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rsidR="00A610BD" w:rsidRDefault="00A610BD">
      <w:pPr>
        <w:jc w:val="both"/>
      </w:pPr>
    </w:p>
    <w:p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6"/>
      </w:r>
    </w:p>
    <w:p w:rsidR="00A610BD" w:rsidRDefault="00A610BD">
      <w:pPr>
        <w:jc w:val="both"/>
      </w:pPr>
    </w:p>
    <w:p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7"/>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vertAlign w:val="superscript"/>
        </w:rPr>
        <w:footnoteReference w:id="198"/>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199"/>
      </w:r>
      <w:r w:rsidR="008D05CB">
        <w:t xml:space="preserve"> </w:t>
      </w:r>
      <w:r w:rsidR="008B5850" w:rsidRPr="008B5850">
        <w:t xml:space="preserve">When a police </w:t>
      </w:r>
      <w:r w:rsidR="008B5850" w:rsidRPr="008B5850">
        <w:lastRenderedPageBreak/>
        <w:t>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rsidR="00A610BD" w:rsidRDefault="00A610BD">
      <w:pPr>
        <w:jc w:val="both"/>
      </w:pPr>
    </w:p>
    <w:p w:rsidR="00A610BD" w:rsidRDefault="00A610BD">
      <w:pPr>
        <w:ind w:firstLine="720"/>
        <w:jc w:val="both"/>
      </w:pPr>
      <w:r>
        <w:t>As discussed below, the degree of justification required to render a seizure reasonable under the Fourth Amendment varies with the nature and scope of the seizure.</w:t>
      </w:r>
      <w:r>
        <w:rPr>
          <w:rStyle w:val="FootnoteReference"/>
          <w:vertAlign w:val="superscript"/>
        </w:rPr>
        <w:footnoteReference w:id="200"/>
      </w:r>
      <w:r>
        <w:t xml:space="preserve">  </w:t>
      </w:r>
      <w:r w:rsidR="00A81979">
        <w:t>“</w:t>
      </w:r>
      <w:r>
        <w:t>The principal components of a determination of reasonable suspicion or probable cause will be the events which 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1"/>
      </w:r>
    </w:p>
    <w:p w:rsidR="00A610BD" w:rsidRDefault="00A610BD">
      <w:pPr>
        <w:jc w:val="both"/>
      </w:pPr>
    </w:p>
    <w:p w:rsidR="00A610BD" w:rsidRDefault="00A610BD">
      <w:pPr>
        <w:ind w:firstLine="720"/>
        <w:jc w:val="both"/>
      </w:pPr>
      <w:r>
        <w:rPr>
          <w:u w:val="single"/>
        </w:rPr>
        <w:lastRenderedPageBreak/>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rsidR="00A610BD" w:rsidRDefault="00A610BD">
      <w:pPr>
        <w:jc w:val="both"/>
      </w:pPr>
    </w:p>
    <w:p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1042 (noting that relevant factors “includ[e] the lawful limits of the premises, whether the occupant was within the line of sight of his dwelling, [and] the ease of reentry from the occupant's location”).</w:t>
      </w:r>
    </w:p>
    <w:p w:rsidR="00A610BD" w:rsidRDefault="00A610BD">
      <w:pPr>
        <w:jc w:val="both"/>
      </w:pPr>
    </w:p>
    <w:p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rsidR="00A610BD" w:rsidRDefault="00A610BD">
      <w:pPr>
        <w:jc w:val="both"/>
      </w:pPr>
    </w:p>
    <w:p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 xml:space="preserve">s interest in assuring the </w:t>
      </w:r>
      <w:r>
        <w:lastRenderedPageBreak/>
        <w:t>witness</w:t>
      </w:r>
      <w:r w:rsidR="000D09A4">
        <w:t>’</w:t>
      </w:r>
      <w:r>
        <w:t xml:space="preserve">s presence to testify.  </w:t>
      </w:r>
      <w:r>
        <w:rPr>
          <w:i/>
          <w:iCs/>
        </w:rPr>
        <w:t>See id.</w:t>
      </w:r>
      <w:r>
        <w:t xml:space="preserve"> at 328-29.</w:t>
      </w:r>
      <w:r>
        <w:rPr>
          <w:rStyle w:val="FootnoteReference"/>
          <w:vertAlign w:val="superscript"/>
        </w:rPr>
        <w:footnoteReference w:id="202"/>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rsidR="00A610BD" w:rsidRDefault="00A610BD">
      <w:pPr>
        <w:jc w:val="both"/>
      </w:pPr>
    </w:p>
    <w:p w:rsidR="00A610BD" w:rsidRDefault="00A610BD">
      <w:pPr>
        <w:ind w:firstLine="720"/>
        <w:jc w:val="both"/>
      </w:pPr>
      <w:r>
        <w:rPr>
          <w:u w:val="single"/>
        </w:rPr>
        <w:t>Arrests upon warrant.</w:t>
      </w:r>
      <w:r>
        <w:t xml:space="preserve">  See Comment 4.12.3 for a discussion of claims arising from an arrest upon a warrant.</w:t>
      </w:r>
    </w:p>
    <w:p w:rsidR="00A610BD" w:rsidRDefault="00A610BD">
      <w:pPr>
        <w:jc w:val="both"/>
      </w:pPr>
    </w:p>
    <w:p w:rsidR="00A610BD" w:rsidRDefault="00A610BD">
      <w:pPr>
        <w:ind w:firstLine="720"/>
        <w:jc w:val="both"/>
      </w:pPr>
      <w:r>
        <w:rPr>
          <w:u w:val="single"/>
        </w:rPr>
        <w:t>Arrests without a warrant.</w:t>
      </w:r>
      <w:r>
        <w:t xml:space="preserve">  See Comment 4.12.2 for a discussion of claims arising from warrantless arrests.</w:t>
      </w:r>
    </w:p>
    <w:p w:rsidR="00A610BD" w:rsidRDefault="00A610BD">
      <w:pPr>
        <w:jc w:val="both"/>
      </w:pPr>
    </w:p>
    <w:p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w:t>
      </w:r>
      <w:r>
        <w:lastRenderedPageBreak/>
        <w:t xml:space="preserve">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3"/>
      </w:r>
      <w:r>
        <w:t xml:space="preserve">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4"/>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rsidR="00A610BD" w:rsidRDefault="00A610BD">
      <w:pPr>
        <w:jc w:val="both"/>
      </w:pPr>
    </w:p>
    <w:p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 xml:space="preserve">A claim for false arrest, unlike a claim for malicious prosecution, covers damages only for the time of detention until the issuance of process or arraignment, and not </w:t>
      </w:r>
      <w:r>
        <w:lastRenderedPageBreak/>
        <w:t>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rsidR="00A610BD" w:rsidRDefault="00A610BD">
      <w:pPr>
        <w:jc w:val="both"/>
      </w:pPr>
    </w:p>
    <w:p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rsidR="00A610BD" w:rsidRDefault="00A610BD">
      <w:pPr>
        <w:jc w:val="both"/>
      </w:pPr>
    </w:p>
    <w:p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5"/>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vertAlign w:val="superscript"/>
        </w:rPr>
        <w:footnoteReference w:id="206"/>
      </w:r>
    </w:p>
    <w:p w:rsidR="00A610BD" w:rsidRDefault="00A610BD">
      <w:pPr>
        <w:jc w:val="both"/>
      </w:pPr>
    </w:p>
    <w:p w:rsidR="00A610BD" w:rsidRDefault="00A610BD">
      <w:pPr>
        <w:ind w:firstLine="720"/>
        <w:jc w:val="both"/>
      </w:pPr>
      <w:r>
        <w:t>[Define the relevant crime[s].]</w:t>
      </w:r>
    </w:p>
    <w:p w:rsidR="00A610BD" w:rsidRDefault="00A610BD">
      <w:pPr>
        <w:jc w:val="both"/>
      </w:pPr>
    </w:p>
    <w:p w:rsidR="00A610BD" w:rsidRDefault="00A610BD">
      <w:pPr>
        <w:ind w:firstLine="720"/>
        <w:jc w:val="both"/>
      </w:pPr>
      <w:r>
        <w:t>[When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is necessary to discover such weapons.]</w:t>
      </w:r>
    </w:p>
    <w:p w:rsidR="00A610BD" w:rsidRDefault="00A610BD">
      <w:pPr>
        <w:jc w:val="both"/>
      </w:pPr>
    </w:p>
    <w:p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7"/>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8"/>
      </w:r>
    </w:p>
    <w:p w:rsidR="00A610BD"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considers </w:t>
      </w:r>
      <w:r w:rsidR="002478ED">
        <w:t>“</w:t>
      </w:r>
      <w:r>
        <w:t>the facts available to the officer at the moment of the seizure</w:t>
      </w:r>
      <w:r w:rsidR="00FD4B4D">
        <w:t>”</w:t>
      </w:r>
      <w:r>
        <w:t>);</w:t>
      </w:r>
      <w:r>
        <w:rPr>
          <w:rStyle w:val="FootnoteReference"/>
          <w:vertAlign w:val="superscript"/>
        </w:rPr>
        <w:footnoteReference w:id="209"/>
      </w:r>
      <w:r>
        <w:t xml:space="preserve"> </w:t>
      </w:r>
      <w:r>
        <w:rPr>
          <w:i/>
          <w:iCs/>
        </w:rPr>
        <w:t>Johnson v. Campbell</w:t>
      </w:r>
      <w:r>
        <w:t xml:space="preserve">, </w:t>
      </w:r>
      <w:r>
        <w:lastRenderedPageBreak/>
        <w:t xml:space="preserve">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0"/>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1"/>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2"/>
      </w:r>
      <w:r>
        <w:t xml:space="preserve">  The test is an objective one;</w:t>
      </w:r>
      <w:r w:rsidR="00802411">
        <w:t xml:space="preserve"> “</w:t>
      </w:r>
      <w:r>
        <w:t>subjective good faith</w:t>
      </w:r>
      <w:r w:rsidR="00FD4B4D">
        <w:t>”</w:t>
      </w:r>
      <w:r>
        <w:t xml:space="preserve"> does not suffice to justify a stop.  </w:t>
      </w:r>
      <w:r>
        <w:rPr>
          <w:i/>
          <w:iCs/>
        </w:rPr>
        <w:t>Terry</w:t>
      </w:r>
      <w:r>
        <w:t>, 392 U.S. at 22.</w:t>
      </w:r>
      <w:r>
        <w:rPr>
          <w:rStyle w:val="FootnoteReference"/>
          <w:vertAlign w:val="superscript"/>
        </w:rPr>
        <w:footnoteReference w:id="213"/>
      </w:r>
    </w:p>
    <w:p w:rsidR="00A610BD" w:rsidRDefault="00A610BD">
      <w:pPr>
        <w:ind w:firstLine="720"/>
        <w:jc w:val="both"/>
      </w:pPr>
      <w:r>
        <w:lastRenderedPageBreak/>
        <w:t>The scope of the ensuing stop</w:t>
      </w:r>
      <w:r>
        <w:rPr>
          <w:rStyle w:val="FootnoteReference"/>
          <w:vertAlign w:val="superscript"/>
        </w:rPr>
        <w:footnoteReference w:id="214"/>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5"/>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rsidR="00214208" w:rsidRDefault="00214208">
      <w:pPr>
        <w:ind w:firstLine="720"/>
        <w:jc w:val="both"/>
      </w:pPr>
    </w:p>
    <w:p w:rsidR="00214208" w:rsidRPr="00214208" w:rsidRDefault="00214208" w:rsidP="00214208">
      <w:pPr>
        <w:ind w:firstLine="720"/>
        <w:jc w:val="both"/>
      </w:pPr>
      <w:r w:rsidRPr="00214208">
        <w:t xml:space="preserve">A </w:t>
      </w:r>
      <w:r w:rsidRPr="00214208">
        <w:rPr>
          <w:i/>
        </w:rPr>
        <w:t>Terry</w:t>
      </w:r>
      <w:r w:rsidRPr="00214208">
        <w:t xml:space="preserve"> stop carries with it the right to use some degree of physical coercion. In </w:t>
      </w:r>
      <w:r w:rsidRPr="00214208">
        <w:rPr>
          <w:i/>
        </w:rPr>
        <w:t>Carman v. Carroll</w:t>
      </w:r>
      <w:r w:rsidRPr="00214208">
        <w:t xml:space="preserve">, 749 F.3d 192 (3d Cir. 2014),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rsidR="00A610BD" w:rsidRDefault="00A610BD">
      <w:pPr>
        <w:jc w:val="both"/>
      </w:pPr>
    </w:p>
    <w:p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xml:space="preserve">, 767 F. Supp. </w:t>
      </w:r>
      <w:r>
        <w:lastRenderedPageBreak/>
        <w:t>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rsidR="00A610BD" w:rsidRDefault="00A610BD">
      <w:pPr>
        <w:jc w:val="both"/>
      </w:pPr>
    </w:p>
    <w:p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6"/>
      </w:r>
    </w:p>
    <w:p w:rsidR="00A610BD" w:rsidRDefault="00A610BD">
      <w:pPr>
        <w:jc w:val="both"/>
      </w:pPr>
    </w:p>
    <w:p w:rsidR="00A610BD" w:rsidRDefault="00A610BD">
      <w:pPr>
        <w:ind w:firstLine="720"/>
        <w:jc w:val="both"/>
      </w:pPr>
      <w:r>
        <w:t>[If you find that an arrest occurred, then]</w:t>
      </w:r>
      <w:r>
        <w:rPr>
          <w:rStyle w:val="FootnoteReference"/>
          <w:vertAlign w:val="superscript"/>
        </w:rPr>
        <w:footnoteReference w:id="217"/>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8"/>
      </w:r>
    </w:p>
    <w:p w:rsidR="00A610BD" w:rsidRDefault="00A610BD">
      <w:pPr>
        <w:jc w:val="both"/>
      </w:pPr>
    </w:p>
    <w:p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rsidR="00A610BD" w:rsidRDefault="00A610BD">
      <w:pPr>
        <w:jc w:val="both"/>
      </w:pPr>
    </w:p>
    <w:p w:rsidR="00A610BD" w:rsidRDefault="00A610BD">
      <w:pPr>
        <w:ind w:firstLine="720"/>
        <w:jc w:val="both"/>
      </w:pPr>
      <w:r>
        <w:t xml:space="preserve">[Define the relevant crime[s].]  [Under [the relevant] law, the offense of [name offense] is a misdemeanor, not a felony.  This means that because [defendant] did not have a warrant for the arrest, [defendant] could only arrest [plaintiff] for [name offense] if [plaintiff] committed [name </w:t>
      </w:r>
      <w:r>
        <w:lastRenderedPageBreak/>
        <w:t>offense] in [defendant</w:t>
      </w:r>
      <w:r w:rsidR="000D09A4">
        <w:t>’</w:t>
      </w:r>
      <w:r>
        <w:t>s] presence.]</w:t>
      </w:r>
      <w:r>
        <w:rPr>
          <w:rStyle w:val="FootnoteReference"/>
          <w:vertAlign w:val="superscript"/>
        </w:rPr>
        <w:footnoteReference w:id="219"/>
      </w:r>
    </w:p>
    <w:p w:rsidR="00A610BD" w:rsidRDefault="00A610BD">
      <w:pPr>
        <w:jc w:val="both"/>
      </w:pPr>
    </w:p>
    <w:p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rsidR="00A610BD" w:rsidRDefault="00A610BD">
      <w:pPr>
        <w:jc w:val="both"/>
      </w:pPr>
    </w:p>
    <w:p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0"/>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Clearly, an arrest without probable cause is a constitutional violation actionable under s 1983.</w:t>
      </w:r>
      <w:r w:rsidR="00FD4B4D">
        <w:t>”</w:t>
      </w:r>
      <w:r>
        <w:t>).</w:t>
      </w:r>
      <w:r>
        <w:rPr>
          <w:rStyle w:val="FootnoteReference"/>
          <w:vertAlign w:val="superscript"/>
        </w:rPr>
        <w:footnoteReference w:id="221"/>
      </w:r>
    </w:p>
    <w:p w:rsidR="00A610BD" w:rsidRDefault="006E5BE5">
      <w:pPr>
        <w:ind w:firstLine="720"/>
        <w:jc w:val="both"/>
      </w:pPr>
      <w:r>
        <w:lastRenderedPageBreak/>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2"/>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Probable cause to arrest requires more than mere suspicion; 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  The analysis is a pragmatic one and should be based upon common sense.</w:t>
      </w:r>
      <w:r w:rsidR="00A610BD">
        <w:rPr>
          <w:rStyle w:val="FootnoteReference"/>
          <w:vertAlign w:val="superscript"/>
        </w:rPr>
        <w:footnoteReference w:id="223"/>
      </w:r>
    </w:p>
    <w:p w:rsidR="00A610BD" w:rsidRDefault="007508F2">
      <w:pPr>
        <w:ind w:firstLine="720"/>
        <w:jc w:val="both"/>
      </w:pPr>
      <w:r>
        <w:lastRenderedPageBreak/>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4"/>
      </w:r>
    </w:p>
    <w:p w:rsidR="00A610BD" w:rsidRDefault="00A610BD">
      <w:pPr>
        <w:jc w:val="both"/>
      </w:pPr>
    </w:p>
    <w:p w:rsidR="00A610BD" w:rsidRDefault="007508F2">
      <w:pPr>
        <w:ind w:firstLine="720"/>
        <w:jc w:val="both"/>
      </w:pPr>
      <w:r>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w:t>
      </w:r>
      <w:r w:rsidR="00A610BD">
        <w:lastRenderedPageBreak/>
        <w:t xml:space="preserve">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5"/>
      </w:r>
    </w:p>
    <w:p w:rsidR="00A610BD" w:rsidRDefault="00A610BD">
      <w:pPr>
        <w:jc w:val="both"/>
      </w:pPr>
    </w:p>
    <w:p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6"/>
      </w:r>
      <w:r>
        <w:t xml:space="preserve">  The </w:t>
      </w:r>
      <w:r>
        <w:rPr>
          <w:i/>
          <w:iCs/>
        </w:rPr>
        <w:t>Patzig</w:t>
      </w:r>
      <w:r>
        <w:t xml:space="preserve"> court based this observation partly on the burden-shifting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7"/>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w:t>
      </w:r>
      <w:r>
        <w:lastRenderedPageBreak/>
        <w:t xml:space="preserve">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plaintiff must show that the officer lacked probable cause to effect the arrest, or that the force used was excessive,</w:t>
      </w:r>
      <w:r w:rsidR="00FD4B4D">
        <w:t>”</w:t>
      </w:r>
      <w:r>
        <w:t xml:space="preserve"> </w:t>
      </w:r>
      <w:r>
        <w:rPr>
          <w:i/>
          <w:iCs/>
        </w:rPr>
        <w:t>id.</w:t>
      </w:r>
      <w:r>
        <w:t xml:space="preserve"> at *3.  It is not clear, accordingly, which party has the burden of proof as to probable cause for a warrantless arrest.</w:t>
      </w:r>
    </w:p>
    <w:p w:rsidR="00A610BD" w:rsidRDefault="00A610BD">
      <w:pPr>
        <w:jc w:val="both"/>
      </w:pPr>
    </w:p>
    <w:p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rsidR="00A610BD" w:rsidRDefault="00A610BD">
      <w:pPr>
        <w:jc w:val="both"/>
      </w:pPr>
    </w:p>
    <w:p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lastRenderedPageBreak/>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vertAlign w:val="superscript"/>
        </w:rPr>
        <w:footnoteReference w:id="228"/>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rsidR="00A610BD" w:rsidRDefault="00A610BD">
      <w:pPr>
        <w:jc w:val="both"/>
      </w:pPr>
    </w:p>
    <w:p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rsidR="00A610BD" w:rsidRDefault="00A610BD">
      <w:pPr>
        <w:jc w:val="both"/>
      </w:pPr>
    </w:p>
    <w:p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rsidR="00A610BD" w:rsidRDefault="00A610BD">
      <w:pPr>
        <w:jc w:val="both"/>
      </w:pPr>
    </w:p>
    <w:p w:rsidR="00A610BD" w:rsidRDefault="00A610BD">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w:t>
      </w:r>
      <w:r>
        <w:lastRenderedPageBreak/>
        <w:t>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vertAlign w:val="superscript"/>
        </w:rPr>
        <w:footnoteReference w:id="229"/>
      </w:r>
      <w:r>
        <w:t xml:space="preserve">   By contrast, if the officer erroneously believed particular conduct was criminal when in fact it was not, the presence of probable cause to believe the suspect had committed that conduct would not provide probable cause to arrest.  </w:t>
      </w:r>
      <w:r>
        <w:rPr>
          <w:i/>
          <w:iCs/>
        </w:rPr>
        <w:t>See Johnson v. Campbell</w:t>
      </w:r>
      <w:r>
        <w:t xml:space="preserve">, 332 F.3d 199, 214 (3d Cir. 2003) </w:t>
      </w:r>
      <w:r w:rsidR="00356C5B">
        <w:t>(“</w:t>
      </w:r>
      <w:r>
        <w:t>[W]hat Campb</w:t>
      </w:r>
      <w:r w:rsidR="009677AB">
        <w:t xml:space="preserve">ell believed Johnson had done – speak profane words in public – </w:t>
      </w:r>
      <w:r>
        <w:t>is not a crime, therefore Campbell could not have had probable cause to believe a crime was being committed.</w:t>
      </w:r>
      <w:r w:rsidR="00FD4B4D">
        <w:t>”</w:t>
      </w:r>
      <w:r>
        <w:t>).</w:t>
      </w:r>
      <w:r>
        <w:rPr>
          <w:rStyle w:val="FootnoteReference"/>
          <w:vertAlign w:val="superscript"/>
        </w:rPr>
        <w:footnoteReference w:id="230"/>
      </w:r>
    </w:p>
    <w:p w:rsidR="00A610BD" w:rsidRDefault="00A610BD">
      <w:pPr>
        <w:jc w:val="both"/>
      </w:pPr>
    </w:p>
    <w:p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1"/>
      </w:r>
      <w:r w:rsidR="00A610BD">
        <w:t xml:space="preserve">  The relevant question is whether those facts provided probable cause to arrest </w:t>
      </w:r>
      <w:r w:rsidR="00A610BD">
        <w:lastRenderedPageBreak/>
        <w:t>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A610BD">
        <w:rPr>
          <w:i/>
          <w:iCs/>
        </w:rPr>
        <w:t>Id.</w:t>
      </w:r>
      <w:r w:rsidR="00A610BD">
        <w:t xml:space="preserve"> at 153.</w:t>
      </w:r>
      <w:r w:rsidR="00A610BD">
        <w:rPr>
          <w:rStyle w:val="FootnoteReference"/>
          <w:vertAlign w:val="superscript"/>
        </w:rPr>
        <w:footnoteReference w:id="232"/>
      </w:r>
    </w:p>
    <w:p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3"/>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rsidR="00A610BD" w:rsidRDefault="00A610BD">
      <w:pPr>
        <w:jc w:val="both"/>
      </w:pPr>
    </w:p>
    <w:p w:rsidR="00A610B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4"/>
      </w:r>
      <w:r w:rsidR="00A610BD">
        <w:t xml:space="preserve">  </w:t>
      </w:r>
      <w:r w:rsidR="00090421">
        <w:t>“</w:t>
      </w:r>
      <w:r w:rsidR="00A610BD">
        <w:t>The government bears the burden of proving that exigent circumstances existed.</w:t>
      </w:r>
      <w:r w:rsidR="00FD4B4D">
        <w:t>”</w:t>
      </w:r>
      <w:r w:rsidR="00A610BD">
        <w:t xml:space="preserve">  </w:t>
      </w:r>
      <w:r w:rsidR="00A610BD">
        <w:rPr>
          <w:i/>
          <w:iCs/>
        </w:rPr>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5"/>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rsidR="00A610BD" w:rsidRDefault="00A610BD">
      <w:pPr>
        <w:jc w:val="both"/>
      </w:pPr>
    </w:p>
    <w:p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 xml:space="preserve">must provide a fair and reliable determination of probable cause as a condition for </w:t>
      </w:r>
      <w:r>
        <w:lastRenderedPageBreak/>
        <w:t>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1"/>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rsidR="00A610BD" w:rsidRDefault="00A610BD">
      <w:pPr>
        <w:jc w:val="both"/>
      </w:pPr>
    </w:p>
    <w:p w:rsidR="00A610BD" w:rsidRDefault="00A610BD">
      <w:pPr>
        <w:ind w:firstLine="720"/>
        <w:jc w:val="both"/>
      </w:pPr>
      <w:r>
        <w:t>To show that the arrest pursuant to this warrant violated the Fourth Amendment, [plaintiff] must prove each of the following three things by a preponderance of the evidence:</w:t>
      </w:r>
    </w:p>
    <w:p w:rsidR="00A610BD" w:rsidRDefault="00A610BD">
      <w:pPr>
        <w:jc w:val="both"/>
      </w:pPr>
    </w:p>
    <w:p w:rsidR="00A610BD" w:rsidRDefault="00A610BD">
      <w:pPr>
        <w:ind w:left="720"/>
        <w:jc w:val="both"/>
      </w:pPr>
      <w:r>
        <w:t>First:  In the warrant affidavit, [defendant] made false statements, or omissions that created a falsehood.</w:t>
      </w:r>
    </w:p>
    <w:p w:rsidR="00A610BD" w:rsidRDefault="00A610BD">
      <w:pPr>
        <w:jc w:val="both"/>
      </w:pPr>
    </w:p>
    <w:p w:rsidR="00A610BD" w:rsidRDefault="00A610BD">
      <w:pPr>
        <w:ind w:left="720"/>
        <w:jc w:val="both"/>
      </w:pPr>
      <w:r>
        <w:t>Second:  [Defendant] made those false statements or omissions either deliberately, or with a reckless disregard for the truth.</w:t>
      </w:r>
    </w:p>
    <w:p w:rsidR="00A610BD" w:rsidRDefault="00A610BD">
      <w:pPr>
        <w:jc w:val="both"/>
      </w:pPr>
    </w:p>
    <w:p w:rsidR="00A610BD" w:rsidRDefault="00A610BD">
      <w:pPr>
        <w:ind w:left="720"/>
        <w:jc w:val="both"/>
      </w:pPr>
      <w:r>
        <w:t>Third: Those false statements or omissions were material, or necessary, to the finding of probable cause for the arrest warrant.</w:t>
      </w:r>
    </w:p>
    <w:p w:rsidR="00A610BD" w:rsidRDefault="00A610BD">
      <w:pPr>
        <w:jc w:val="both"/>
      </w:pPr>
    </w:p>
    <w:p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rsidR="00A610BD" w:rsidRDefault="00A610BD">
      <w:pPr>
        <w:jc w:val="both"/>
      </w:pPr>
    </w:p>
    <w:p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rsidR="00A610BD" w:rsidRDefault="00A610BD">
      <w:pPr>
        <w:jc w:val="both"/>
      </w:pPr>
    </w:p>
    <w:p w:rsidR="00A610BD" w:rsidRDefault="00A610BD">
      <w:pPr>
        <w:ind w:firstLine="720"/>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rsidR="00A610BD" w:rsidRDefault="00A610BD">
      <w:pPr>
        <w:jc w:val="both"/>
      </w:pPr>
    </w:p>
    <w:p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6"/>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7"/>
      </w:r>
    </w:p>
    <w:p w:rsidR="00A610BD" w:rsidRDefault="00A610BD">
      <w:pPr>
        <w:jc w:val="both"/>
      </w:pPr>
    </w:p>
    <w:p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8"/>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vertAlign w:val="superscript"/>
        </w:rPr>
        <w:footnoteReference w:id="239"/>
      </w:r>
    </w:p>
    <w:p w:rsidR="00A610BD" w:rsidRDefault="00A610BD">
      <w:pPr>
        <w:jc w:val="both"/>
      </w:pPr>
    </w:p>
    <w:p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w:t>
      </w:r>
      <w:r>
        <w:lastRenderedPageBreak/>
        <w:t xml:space="preserve">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rsidR="00A610BD" w:rsidRDefault="00A610BD">
      <w:pPr>
        <w:jc w:val="both"/>
      </w:pPr>
    </w:p>
    <w:p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rsidR="00A610BD" w:rsidRDefault="00A610BD">
      <w:pPr>
        <w:jc w:val="both"/>
      </w:pPr>
    </w:p>
    <w:p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rsidR="00A610BD" w:rsidRDefault="00A610BD">
      <w:pPr>
        <w:jc w:val="both"/>
      </w:pPr>
    </w:p>
    <w:p w:rsidR="00A610BD" w:rsidRDefault="00A610BD">
      <w:pPr>
        <w:ind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 xml:space="preserve">s investigation). </w:t>
      </w:r>
      <w:r w:rsidR="002D1D62">
        <w:t xml:space="preserve"> “</w:t>
      </w:r>
      <w:r>
        <w:t>To determine the materiality of the misstatements and omissions,</w:t>
      </w:r>
      <w:r w:rsidR="00FD4B4D">
        <w:t>”</w:t>
      </w:r>
      <w:r>
        <w:t xml:space="preserve"> the decisionmaker must</w:t>
      </w:r>
      <w:r w:rsidR="002D1D62">
        <w:t xml:space="preserve"> “</w:t>
      </w:r>
      <w:r>
        <w:t xml:space="preserve">excise the offending inaccuracies and insert the facts recklessly omitted, and then determine whether or not the </w:t>
      </w:r>
      <w:r w:rsidR="009510BB">
        <w:t>‘</w:t>
      </w:r>
      <w:r>
        <w:t>corrected</w:t>
      </w:r>
      <w:r w:rsidR="000D09A4">
        <w:t>’</w:t>
      </w:r>
      <w:r>
        <w:t xml:space="preserve"> warrant affidavit would establish probable cause.</w:t>
      </w:r>
      <w:r w:rsidR="00FD4B4D">
        <w:t>”</w:t>
      </w:r>
      <w:r>
        <w:t xml:space="preserve">  </w:t>
      </w:r>
      <w:r>
        <w:rPr>
          <w:i/>
          <w:iCs/>
        </w:rPr>
        <w:t>Wilson</w:t>
      </w:r>
      <w:r>
        <w:t xml:space="preserve">, 212 F.3d at 789 (quoting </w:t>
      </w:r>
      <w:r>
        <w:rPr>
          <w:i/>
          <w:iCs/>
        </w:rPr>
        <w:t>Sherwood</w:t>
      </w:r>
      <w:r>
        <w:t xml:space="preserve">, 113 F.3d at 400); </w:t>
      </w:r>
      <w:r>
        <w:rPr>
          <w:i/>
          <w:iCs/>
        </w:rPr>
        <w:t>see also</w:t>
      </w:r>
      <w:r>
        <w:t xml:space="preserve"> </w:t>
      </w:r>
      <w:r>
        <w:rPr>
          <w:i/>
          <w:iCs/>
        </w:rPr>
        <w:t>Reedy v. Evanson</w:t>
      </w:r>
      <w:r>
        <w:t>, 615 F.3d 197, 211-23 (3d Cir. 2010) (applying this test).</w:t>
      </w:r>
    </w:p>
    <w:p w:rsidR="00A610BD" w:rsidRDefault="00A610BD">
      <w:pPr>
        <w:jc w:val="both"/>
      </w:pPr>
    </w:p>
    <w:p w:rsidR="00A610BD"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 xml:space="preserve">Whiteley v. </w:t>
      </w:r>
      <w:r w:rsidR="00A610BD">
        <w:rPr>
          <w:i/>
          <w:iCs/>
        </w:rPr>
        <w:lastRenderedPageBreak/>
        <w:t>Warden</w:t>
      </w:r>
      <w:r w:rsidR="00A610BD">
        <w:t xml:space="preserve">, 401 U.S. 560, 568 (1971); </w:t>
      </w:r>
      <w:r w:rsidR="00A610BD">
        <w:rPr>
          <w:i/>
          <w:iCs/>
        </w:rPr>
        <w:t>see also Berg</w:t>
      </w:r>
      <w:r w:rsidR="00A610BD">
        <w:t xml:space="preserve">, 219 F.3d at 270 (quoting </w:t>
      </w:r>
      <w:r w:rsidR="00A610BD">
        <w:rPr>
          <w:i/>
          <w:iCs/>
        </w:rPr>
        <w:t>Whiteley</w:t>
      </w:r>
      <w:r w:rsidR="00A610BD">
        <w:t>).</w:t>
      </w:r>
    </w:p>
    <w:p w:rsidR="00A610BD" w:rsidRDefault="00A610BD">
      <w:pPr>
        <w:jc w:val="both"/>
      </w:pPr>
    </w:p>
    <w:p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132 S. Ct. 1235, 1245, 1249 (2012) (holding that in light of magistrate’s issuance of warrant, defendant officers were entitled to qualified immunity unless their reliance on the warrant was “plainly incompetent” or “entirely unreasonable”)</w:t>
      </w:r>
      <w:r>
        <w:t>.</w:t>
      </w:r>
      <w:r>
        <w:rPr>
          <w:rStyle w:val="FootnoteReference"/>
          <w:vertAlign w:val="superscript"/>
        </w:rPr>
        <w:footnoteReference w:id="240"/>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1"/>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rsidR="00A610BD" w:rsidRDefault="00A610BD">
      <w:pPr>
        <w:jc w:val="both"/>
      </w:pPr>
    </w:p>
    <w:p w:rsidR="00A610BD" w:rsidRDefault="00A610BD">
      <w:pPr>
        <w:ind w:firstLine="720"/>
        <w:jc w:val="both"/>
      </w:pPr>
      <w:r>
        <w:lastRenderedPageBreak/>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rsidR="00A610BD" w:rsidRDefault="00A610BD">
      <w:pPr>
        <w:jc w:val="both"/>
      </w:pPr>
    </w:p>
    <w:p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should be read against the background of tort liability that makes a man responsible for the natural consequences of his 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rsidR="00A610BD" w:rsidRDefault="00A610BD">
      <w:pPr>
        <w:jc w:val="both"/>
      </w:pPr>
    </w:p>
    <w:p w:rsidR="00A610BD" w:rsidRDefault="00A610BD">
      <w:pPr>
        <w:jc w:val="both"/>
      </w:pPr>
      <w:r>
        <w:rPr>
          <w:i/>
          <w:iCs/>
        </w:rPr>
        <w:t>Malley</w:t>
      </w:r>
      <w:r>
        <w:t>, 475 U.S. at 345 n.7.  The Court of Appeals has given this language a narrow interpretation:</w:t>
      </w:r>
    </w:p>
    <w:p w:rsidR="00A610BD" w:rsidRDefault="00A610BD">
      <w:pPr>
        <w:jc w:val="both"/>
      </w:pPr>
    </w:p>
    <w:p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rsidR="00A610BD" w:rsidRDefault="00A610BD">
      <w:pPr>
        <w:jc w:val="both"/>
      </w:pPr>
    </w:p>
    <w:p w:rsidR="00A610BD" w:rsidRDefault="00A610BD">
      <w:pPr>
        <w:jc w:val="both"/>
      </w:pPr>
      <w:r>
        <w:rPr>
          <w:i/>
          <w:iCs/>
        </w:rPr>
        <w:t>Egervary v. Young</w:t>
      </w:r>
      <w:r>
        <w:t>, 366 F.3d 238, 248 (3d Cir. 2004).</w:t>
      </w:r>
    </w:p>
    <w:p w:rsidR="00A610BD" w:rsidRDefault="00A610BD">
      <w:pPr>
        <w:jc w:val="both"/>
      </w:pPr>
    </w:p>
    <w:p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w:t>
      </w:r>
      <w:r>
        <w:lastRenderedPageBreak/>
        <w:t>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rsidR="00A610BD" w:rsidRDefault="00A610BD">
      <w:pPr>
        <w:jc w:val="both"/>
      </w:pPr>
    </w:p>
    <w:p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t>Egervary</w:t>
      </w:r>
      <w:r w:rsidR="000D09A4">
        <w:t>’</w:t>
      </w:r>
      <w:r>
        <w:t>s approach appears to be in some tension with Supreme Court precedent.</w:t>
      </w:r>
      <w:r>
        <w:rPr>
          <w:rStyle w:val="FootnoteReference"/>
          <w:vertAlign w:val="superscript"/>
        </w:rPr>
        <w:footnoteReference w:id="242"/>
      </w:r>
      <w:r>
        <w:t xml:space="preserve">  In any event, Instruction 4.12.3 is designed for use in cases where the plaintiff asserts that the warrant application contained material falsehoods or omissions.</w:t>
      </w:r>
    </w:p>
    <w:p w:rsidR="00A610BD" w:rsidRDefault="00A610BD">
      <w:pPr>
        <w:jc w:val="both"/>
      </w:pPr>
    </w:p>
    <w:p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jc w:val="both"/>
      </w:pPr>
    </w:p>
    <w:p w:rsidR="00A610BD" w:rsidRDefault="00A610BD">
      <w:pPr>
        <w:ind w:firstLine="720"/>
        <w:jc w:val="both"/>
      </w:pPr>
      <w:r>
        <w:t>[Plaintiff] claims that [defendant] violated [plaintiff</w:t>
      </w:r>
      <w:r w:rsidR="000D09A4">
        <w:t>’</w:t>
      </w:r>
      <w:r>
        <w:t>s] Fourth Amendment rights by initiating the prosecution of [plaintiff] for [describe crime[s]].</w:t>
      </w:r>
    </w:p>
    <w:p w:rsidR="00A610BD" w:rsidRDefault="00A610BD">
      <w:pPr>
        <w:jc w:val="both"/>
      </w:pPr>
    </w:p>
    <w:p w:rsidR="00A610BD" w:rsidRDefault="00A610BD">
      <w:pPr>
        <w:ind w:firstLine="720"/>
        <w:jc w:val="both"/>
      </w:pPr>
      <w:r>
        <w:t>To establish this claim of malicious prosecution, [plaintiff] must prove the following [five] things by a preponderance of the evidence:</w:t>
      </w:r>
    </w:p>
    <w:p w:rsidR="00A610BD" w:rsidRDefault="00A610BD">
      <w:pPr>
        <w:jc w:val="both"/>
      </w:pPr>
    </w:p>
    <w:p w:rsidR="00A610BD" w:rsidRDefault="00A610BD">
      <w:pPr>
        <w:ind w:left="720"/>
        <w:jc w:val="both"/>
      </w:pPr>
      <w:r>
        <w:t>First: [Defendant] initiated the criminal proceeding against [plaintiff].</w:t>
      </w:r>
    </w:p>
    <w:p w:rsidR="00A610BD" w:rsidRDefault="00A610BD">
      <w:pPr>
        <w:jc w:val="both"/>
      </w:pPr>
    </w:p>
    <w:p w:rsidR="00A610BD" w:rsidRDefault="00A610BD">
      <w:pPr>
        <w:ind w:left="720"/>
        <w:jc w:val="both"/>
      </w:pPr>
      <w:r>
        <w:t>Second: [Defendant] lacked probable cause to initiate the proceeding.</w:t>
      </w:r>
      <w:r>
        <w:rPr>
          <w:rStyle w:val="FootnoteReference"/>
          <w:vertAlign w:val="superscript"/>
        </w:rPr>
        <w:footnoteReference w:id="243"/>
      </w:r>
    </w:p>
    <w:p w:rsidR="00A610BD" w:rsidRDefault="00A610BD">
      <w:pPr>
        <w:jc w:val="both"/>
      </w:pPr>
    </w:p>
    <w:p w:rsidR="00A610BD" w:rsidRDefault="00A610BD">
      <w:pPr>
        <w:ind w:left="720"/>
        <w:jc w:val="both"/>
      </w:pPr>
      <w:r>
        <w:t>Third: The criminal proceeding ended in [plaintiff</w:t>
      </w:r>
      <w:r w:rsidR="000D09A4">
        <w:t>’</w:t>
      </w:r>
      <w:r>
        <w:t>s] favor.</w:t>
      </w:r>
    </w:p>
    <w:p w:rsidR="00A610BD" w:rsidRDefault="00A610BD">
      <w:pPr>
        <w:jc w:val="both"/>
      </w:pPr>
    </w:p>
    <w:p w:rsidR="00A610BD" w:rsidRDefault="00A610BD">
      <w:pPr>
        <w:ind w:left="720"/>
        <w:jc w:val="both"/>
      </w:pPr>
      <w:r>
        <w:t>Fourth:  [Defendant] acted maliciously or for a purpose other than bringing [plaintiff] to justice.</w:t>
      </w:r>
    </w:p>
    <w:p w:rsidR="00A610BD" w:rsidRDefault="00A610BD">
      <w:pPr>
        <w:jc w:val="both"/>
      </w:pPr>
    </w:p>
    <w:p w:rsidR="00A610BD" w:rsidRDefault="00A610BD">
      <w:pPr>
        <w:ind w:left="720"/>
        <w:jc w:val="both"/>
      </w:pPr>
      <w:r>
        <w:t>Fifth: As a consequence of the proceeding, [plaintiff] suffered a significant deprivation of liberty.</w:t>
      </w:r>
      <w:r>
        <w:rPr>
          <w:rStyle w:val="FootnoteReference"/>
          <w:vertAlign w:val="superscript"/>
        </w:rPr>
        <w:footnoteReference w:id="244"/>
      </w:r>
    </w:p>
    <w:p w:rsidR="00A610BD" w:rsidRDefault="00A610BD">
      <w:pPr>
        <w:jc w:val="both"/>
      </w:pPr>
    </w:p>
    <w:p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5"/>
      </w:r>
    </w:p>
    <w:p w:rsidR="00A610BD" w:rsidRDefault="00A610BD">
      <w:pPr>
        <w:jc w:val="both"/>
      </w:pPr>
    </w:p>
    <w:p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cause existed, you should consider whether the facts and circumstances available to [defendant] </w:t>
      </w:r>
      <w:r>
        <w:lastRenderedPageBreak/>
        <w:t>would warrant a prudent person in believing that [plaintiff] had committed the crime of [name the crime].  [Define the relevant crime under state law.]</w:t>
      </w:r>
    </w:p>
    <w:p w:rsidR="00A610BD" w:rsidRDefault="00A610BD">
      <w:pPr>
        <w:jc w:val="both"/>
      </w:pPr>
    </w:p>
    <w:p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rsidR="00A610BD" w:rsidRDefault="00A610BD">
      <w:pPr>
        <w:jc w:val="both"/>
      </w:pPr>
    </w:p>
    <w:p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rsidR="00A610BD" w:rsidRDefault="00A610BD">
      <w:pPr>
        <w:jc w:val="both"/>
      </w:pPr>
    </w:p>
    <w:p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rsidR="00A610BD" w:rsidRDefault="00A610BD">
      <w:pPr>
        <w:jc w:val="both"/>
      </w:pPr>
    </w:p>
    <w:p w:rsidR="00A610BD" w:rsidRDefault="00A610BD">
      <w:pPr>
        <w:jc w:val="both"/>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rsidR="00A610BD" w:rsidRDefault="00A610BD">
      <w:pPr>
        <w:jc w:val="both"/>
      </w:pPr>
    </w:p>
    <w:p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(1) the defendants initiated a criminal proceeding; (2) the criminal proceeding ended in plaintiff's favor; (3) the 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w:t>
      </w:r>
      <w:r>
        <w:lastRenderedPageBreak/>
        <w:t xml:space="preserve">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rsidR="00EF672B" w:rsidRDefault="00EF672B">
      <w:pPr>
        <w:ind w:firstLine="720"/>
        <w:jc w:val="both"/>
        <w:rPr>
          <w:u w:val="single"/>
        </w:rPr>
      </w:pPr>
    </w:p>
    <w:p w:rsidR="00A610BD" w:rsidRDefault="00A610BD">
      <w:pPr>
        <w:ind w:firstLine="720"/>
        <w:jc w:val="both"/>
      </w:pPr>
      <w:r>
        <w:rPr>
          <w:u w:val="single"/>
        </w:rPr>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6"/>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rsidR="00A610BD" w:rsidRDefault="00A610BD">
      <w:pPr>
        <w:jc w:val="both"/>
      </w:pPr>
    </w:p>
    <w:p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rsidR="00A610BD" w:rsidRDefault="00A610BD">
      <w:pPr>
        <w:jc w:val="both"/>
      </w:pPr>
    </w:p>
    <w:p w:rsidR="00A610BD" w:rsidRDefault="00A610BD">
      <w:pPr>
        <w:ind w:firstLine="720"/>
        <w:jc w:val="both"/>
      </w:pPr>
      <w:r>
        <w:t>Justice Souter also concurred in the judgment.  Though he did not believe that the existence 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w:t>
      </w:r>
      <w:r>
        <w:lastRenderedPageBreak/>
        <w:t xml:space="preserve">absent a substantial violation not redressable under a specific Bill of Rights provision.  </w:t>
      </w:r>
      <w:r>
        <w:rPr>
          <w:i/>
          <w:iCs/>
        </w:rPr>
        <w:t>Albright</w:t>
      </w:r>
      <w:r>
        <w:t>, 510 U.S. at 286, 288-89 (Souter, J., concurring in the judgment).</w:t>
      </w:r>
    </w:p>
    <w:p w:rsidR="00A610BD" w:rsidRDefault="00A610BD">
      <w:pPr>
        <w:jc w:val="both"/>
      </w:pPr>
    </w:p>
    <w:p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rsidR="00A610BD" w:rsidRDefault="00A610BD">
      <w:pPr>
        <w:jc w:val="both"/>
      </w:pPr>
    </w:p>
    <w:p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rsidR="00A610BD" w:rsidRDefault="00A610BD">
      <w:pPr>
        <w:jc w:val="both"/>
      </w:pPr>
    </w:p>
    <w:p w:rsidR="00A610BD" w:rsidRDefault="00A610BD">
      <w:pPr>
        <w:ind w:firstLine="720"/>
        <w:jc w:val="both"/>
      </w:pPr>
      <w:r>
        <w:rPr>
          <w:u w:val="single"/>
        </w:rPr>
        <w:t>Post-Albright cases.</w:t>
      </w:r>
      <w:r>
        <w:t xml:space="preserve">  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7"/>
      </w:r>
      <w:r>
        <w:t xml:space="preserve">  Instruction 4.13 is designed for use in cases where the plaintiff premises the malicious prosecution claim on a Fourth Amendment violation; adjustment would be necessary in cases premised on other constitutional violations.</w:t>
      </w:r>
    </w:p>
    <w:p w:rsidR="00A610BD" w:rsidRDefault="00A610BD">
      <w:pPr>
        <w:jc w:val="both"/>
      </w:pPr>
    </w:p>
    <w:p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 xml:space="preserve">had to post a $10,000 bond, he had to attend all court hearings including his trial and arraignment, he was required to contact Pretrial Services on a weekly basis, and he was prohibited from traveling </w:t>
      </w:r>
      <w:r>
        <w:lastRenderedPageBreak/>
        <w:t>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8"/>
      </w:r>
      <w:r>
        <w:t xml:space="preserve">  The plaintiff also must show that the seizure was unreasonable under the Fourth Amendment; in the malicious prosecution context, that requirement typically will be equivalent to the traditional common law element of lack of probable cause, discussed below.</w:t>
      </w:r>
    </w:p>
    <w:p w:rsidR="00A610BD" w:rsidRDefault="00A610BD">
      <w:pPr>
        <w:jc w:val="both"/>
      </w:pPr>
    </w:p>
    <w:p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at 494 (Souter, J., joined by 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rsidR="00A610BD" w:rsidRDefault="00A610BD">
      <w:pPr>
        <w:jc w:val="both"/>
      </w:pPr>
    </w:p>
    <w:p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9"/>
      </w:r>
      <w:r>
        <w:t xml:space="preserve">  Similarly, the Court of Appeals noted in </w:t>
      </w:r>
      <w:r>
        <w:rPr>
          <w:i/>
          <w:iCs/>
        </w:rPr>
        <w:t>Gallo</w:t>
      </w:r>
      <w:r>
        <w:t xml:space="preserve"> that</w:t>
      </w:r>
    </w:p>
    <w:p w:rsidR="00A610BD" w:rsidRDefault="00A610BD">
      <w:pPr>
        <w:jc w:val="both"/>
      </w:pPr>
    </w:p>
    <w:p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w:t>
      </w:r>
      <w:r>
        <w:lastRenderedPageBreak/>
        <w:t xml:space="preserve">seizure lacking probable cause, it is unclear why a plaintiff would have to show that the police acted with malice. </w:t>
      </w:r>
    </w:p>
    <w:p w:rsidR="00A610BD" w:rsidRDefault="00A610BD">
      <w:pPr>
        <w:jc w:val="both"/>
      </w:pPr>
    </w:p>
    <w:p w:rsidR="00A610BD" w:rsidRDefault="00A610BD">
      <w:pPr>
        <w:jc w:val="both"/>
      </w:pPr>
      <w:r>
        <w:rPr>
          <w:i/>
          <w:iCs/>
        </w:rPr>
        <w:t>Gallo</w:t>
      </w:r>
      <w:r>
        <w:t>, 161 F.3d at 222 n.6.</w:t>
      </w:r>
    </w:p>
    <w:p w:rsidR="00A610BD" w:rsidRDefault="00A610BD">
      <w:pPr>
        <w:jc w:val="both"/>
      </w:pPr>
    </w:p>
    <w:p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50"/>
      </w:r>
    </w:p>
    <w:p w:rsidR="00EF672B" w:rsidRDefault="00EF672B">
      <w:pPr>
        <w:ind w:left="720" w:right="720"/>
        <w:jc w:val="both"/>
      </w:pPr>
    </w:p>
    <w:p w:rsidR="00A610BD" w:rsidRDefault="00A610BD">
      <w:pPr>
        <w:ind w:left="720" w:right="720"/>
        <w:jc w:val="both"/>
      </w:pPr>
      <w:r>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rsidR="00A610BD" w:rsidRDefault="00A610BD">
      <w:pPr>
        <w:jc w:val="both"/>
      </w:pPr>
    </w:p>
    <w:p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see also DiBella v. Borough of Beachwood</w:t>
      </w:r>
      <w:r>
        <w:t>, 407 F.3d 599, 601 (3d Cir. 2005).</w:t>
      </w:r>
      <w:r>
        <w:rPr>
          <w:rStyle w:val="FootnoteReference"/>
          <w:vertAlign w:val="superscript"/>
        </w:rPr>
        <w:footnoteReference w:id="251"/>
      </w:r>
    </w:p>
    <w:p w:rsidR="00A610BD" w:rsidRDefault="00A610BD">
      <w:pPr>
        <w:ind w:firstLine="720"/>
        <w:jc w:val="both"/>
      </w:pPr>
      <w:r>
        <w:lastRenderedPageBreak/>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rsidR="00A610BD" w:rsidRDefault="00A610BD">
      <w:pPr>
        <w:jc w:val="both"/>
      </w:pPr>
    </w:p>
    <w:p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involved in initiating the prosecution.</w:t>
      </w:r>
    </w:p>
    <w:p w:rsidR="00A610BD" w:rsidRDefault="00A610BD">
      <w:pPr>
        <w:jc w:val="both"/>
      </w:pPr>
    </w:p>
    <w:p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Litigation, </w:t>
      </w:r>
      <w:r w:rsidR="00191CA5">
        <w:t xml:space="preserve">§ </w:t>
      </w:r>
      <w:r>
        <w:t>3.20, at 316 (3d ed. 1997).).</w:t>
      </w:r>
    </w:p>
    <w:p w:rsidR="00A610BD" w:rsidRDefault="00A610BD">
      <w:pPr>
        <w:jc w:val="both"/>
      </w:pPr>
    </w:p>
    <w:p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rsidR="00A610BD" w:rsidRDefault="00A610BD">
      <w:pPr>
        <w:jc w:val="both"/>
      </w:pPr>
    </w:p>
    <w:p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 xml:space="preserve">Because we find that Miller neither compromised with the prosecution to obtain her grant of nolle prosequi nor formally accepted the nolle prosequi in exchange for a release of future civil claims, we conclude that the underlying proceeding </w:t>
      </w:r>
      <w:r>
        <w:lastRenderedPageBreak/>
        <w:t>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2"/>
      </w:r>
    </w:p>
    <w:p w:rsidR="00A610BD" w:rsidRDefault="00DE5D73" w:rsidP="000759A6">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cquittal on the aggravated assault and public intoxication charges cannot be divorced from his simultaneous conviction for disorderly conduct when all three charges arose from the 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p>
    <w:p w:rsidR="00A610BD" w:rsidRDefault="00A610BD">
      <w:pPr>
        <w:jc w:val="both"/>
      </w:pPr>
    </w:p>
    <w:p w:rsidR="00A610BD" w:rsidRDefault="00A610BD">
      <w:pPr>
        <w:ind w:firstLine="720"/>
        <w:jc w:val="both"/>
      </w:pPr>
      <w:r>
        <w:rPr>
          <w:u w:val="single"/>
        </w:rPr>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rsidR="00A610BD" w:rsidRDefault="00A610BD">
      <w:pPr>
        <w:jc w:val="both"/>
      </w:pPr>
    </w:p>
    <w:p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w:t>
      </w:r>
      <w:r>
        <w:lastRenderedPageBreak/>
        <w:t xml:space="preserve">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 xml:space="preserve">s involvement </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3"/>
      </w:r>
      <w:r>
        <w:t xml:space="preserve"> it apparently is still open to the defendant to argue that </w:t>
      </w:r>
      <w:r w:rsidR="00090421">
        <w:t>“the</w:t>
      </w:r>
      <w:r>
        <w:t xml:space="preserve"> prosecution for the additional charges for which there might not have been probable cause in no way resulted in additional restrictions on [the plaintiff</w:t>
      </w:r>
      <w:r w:rsidR="000D09A4">
        <w:t>’</w:t>
      </w:r>
      <w:r>
        <w:t xml:space="preserve">s] liberty </w:t>
      </w:r>
      <w:r>
        <w:lastRenderedPageBreak/>
        <w:t>beyond those attributable to the prosecution on the ... charges for which there was probable cause.</w:t>
      </w:r>
      <w:r w:rsidR="00FD4B4D">
        <w:t>”</w:t>
      </w:r>
      <w:r>
        <w:t xml:space="preserve">  </w:t>
      </w:r>
      <w:r>
        <w:rPr>
          <w:i/>
          <w:iCs/>
        </w:rPr>
        <w:t>Id.</w:t>
      </w:r>
      <w:r>
        <w:t xml:space="preserve"> at 86.</w:t>
      </w:r>
    </w:p>
    <w:p w:rsidR="00A610BD" w:rsidRDefault="00A610BD">
      <w:pPr>
        <w:jc w:val="both"/>
      </w:pPr>
    </w:p>
    <w:p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rsidR="00A610BD" w:rsidRDefault="00A610BD">
      <w:pPr>
        <w:jc w:val="both"/>
      </w:pPr>
    </w:p>
    <w:p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rsidR="00A610BD" w:rsidRDefault="00A610BD">
      <w:pPr>
        <w:jc w:val="both"/>
      </w:pPr>
    </w:p>
    <w:p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4"/>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rsidR="00A610BD" w:rsidRDefault="00A610BD">
      <w:pPr>
        <w:jc w:val="both"/>
      </w:pPr>
    </w:p>
    <w:p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rsidR="00A610BD" w:rsidRDefault="00A610BD">
      <w:pPr>
        <w:jc w:val="both"/>
      </w:pPr>
    </w:p>
    <w:p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w:t>
      </w:r>
      <w:r>
        <w:lastRenderedPageBreak/>
        <w:t>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5"/>
      </w:r>
    </w:p>
    <w:p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rsidR="00A610BD" w:rsidRDefault="00A610BD">
      <w:pPr>
        <w:jc w:val="both"/>
      </w:pPr>
    </w:p>
    <w:p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6"/>
      </w:r>
      <w:r>
        <w:t xml:space="preserve">  </w:t>
      </w:r>
      <w:r>
        <w:rPr>
          <w:i/>
          <w:iCs/>
        </w:rPr>
        <w:t>See</w:t>
      </w:r>
      <w:r>
        <w:t xml:space="preserve"> </w:t>
      </w:r>
      <w:r>
        <w:rPr>
          <w:i/>
          <w:iCs/>
        </w:rPr>
        <w:t>Heck v. Humphrey</w:t>
      </w:r>
      <w:r>
        <w:t>, 512 U.S. 477, 486-87 (1994).</w:t>
      </w:r>
      <w:r>
        <w:rPr>
          <w:rStyle w:val="FootnoteReference"/>
          <w:vertAlign w:val="superscript"/>
        </w:rPr>
        <w:footnoteReference w:id="257"/>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8"/>
      </w:r>
      <w:r>
        <w:t xml:space="preserve">  The Court of Appeals, however, has indicated that it is not at liberty to follow the suggestion made by those Justices.</w:t>
      </w:r>
      <w:r>
        <w:rPr>
          <w:rStyle w:val="FootnoteReference"/>
          <w:vertAlign w:val="superscript"/>
        </w:rPr>
        <w:footnoteReference w:id="259"/>
      </w:r>
    </w:p>
    <w:p w:rsidR="00EF672B" w:rsidRDefault="00EF672B">
      <w:pPr>
        <w:ind w:firstLine="720"/>
        <w:jc w:val="both"/>
        <w:rPr>
          <w:u w:val="single"/>
        </w:rPr>
      </w:pPr>
    </w:p>
    <w:p w:rsidR="00A610BD" w:rsidRDefault="00A610BD">
      <w:pPr>
        <w:ind w:firstLine="720"/>
        <w:jc w:val="both"/>
      </w:pPr>
      <w:r>
        <w:rPr>
          <w:u w:val="single"/>
        </w:rPr>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vertAlign w:val="superscript"/>
        </w:rPr>
        <w:footnoteReference w:id="260"/>
      </w:r>
    </w:p>
    <w:p w:rsidR="00A610BD" w:rsidRDefault="00A610BD">
      <w:pPr>
        <w:jc w:val="both"/>
      </w:pPr>
    </w:p>
    <w:p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rsidR="00A610BD" w:rsidRDefault="00A610BD">
      <w:pPr>
        <w:jc w:val="both"/>
      </w:pPr>
    </w:p>
    <w:p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w:t>
      </w:r>
      <w:r>
        <w:lastRenderedPageBreak/>
        <w:t xml:space="preserve">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rsidR="00A610BD" w:rsidRDefault="00A610BD">
      <w:pPr>
        <w:jc w:val="both"/>
      </w:pPr>
    </w:p>
    <w:p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1"/>
      </w:r>
      <w:r>
        <w:t xml:space="preserve"> </w:t>
      </w:r>
      <w:r>
        <w:rPr>
          <w:i/>
          <w:iCs/>
        </w:rPr>
        <w:t>Godshalk</w:t>
      </w:r>
      <w:r>
        <w:t>, 2004 WL 999546, at *13 (accepting argument that abuse of process can constitute denial of procedural due process).</w:t>
      </w:r>
    </w:p>
    <w:p w:rsidR="00A610BD" w:rsidRDefault="00A610BD">
      <w:pPr>
        <w:jc w:val="both"/>
      </w:pPr>
    </w:p>
    <w:p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rsidR="00DC19C7" w:rsidRPr="00DC19C7" w:rsidRDefault="00DC19C7" w:rsidP="00DC19C7">
      <w:pPr>
        <w:tabs>
          <w:tab w:val="left" w:pos="4382"/>
        </w:tabs>
        <w:ind w:firstLine="720"/>
        <w:jc w:val="both"/>
      </w:pPr>
      <w:r>
        <w:tab/>
      </w:r>
    </w:p>
    <w:p w:rsidR="00A610BD" w:rsidRPr="00DC19C7" w:rsidRDefault="00DC19C7">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p>
    <w:p w:rsidR="00F95913" w:rsidRDefault="00F95913">
      <w:pPr>
        <w:tabs>
          <w:tab w:val="center" w:pos="4680"/>
        </w:tabs>
        <w:jc w:val="both"/>
        <w:rPr>
          <w:b/>
          <w:bCs/>
          <w:sz w:val="28"/>
          <w:szCs w:val="28"/>
        </w:rPr>
      </w:pPr>
    </w:p>
    <w:p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rsidR="00A610BD" w:rsidRDefault="00A610BD">
      <w:pPr>
        <w:jc w:val="both"/>
      </w:pPr>
      <w:r>
        <w:rPr>
          <w:b/>
          <w:bCs/>
          <w:sz w:val="28"/>
          <w:szCs w:val="28"/>
        </w:rPr>
        <w:lastRenderedPageBreak/>
        <w:t>Model</w:t>
      </w:r>
    </w:p>
    <w:p w:rsidR="00A610BD" w:rsidRDefault="00A610BD">
      <w:pPr>
        <w:ind w:firstLine="720"/>
        <w:jc w:val="both"/>
      </w:pPr>
    </w:p>
    <w:p w:rsidR="00A610BD" w:rsidRDefault="00A610BD">
      <w:pPr>
        <w:ind w:firstLine="720"/>
        <w:jc w:val="both"/>
      </w:pPr>
      <w:r>
        <w:t>As you know, [plaintiff</w:t>
      </w:r>
      <w:r w:rsidR="000D09A4">
        <w:t>’</w:t>
      </w:r>
      <w:r>
        <w:t>s] claims in this case relate to [his/her] [arrest] [prosecution] for the crime of [describe crime].</w:t>
      </w:r>
    </w:p>
    <w:p w:rsidR="00A610BD" w:rsidRDefault="00A610BD">
      <w:pPr>
        <w:jc w:val="both"/>
      </w:pPr>
    </w:p>
    <w:p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rsidR="00A610BD" w:rsidRDefault="00A610BD">
      <w:pPr>
        <w:jc w:val="both"/>
      </w:pPr>
    </w:p>
    <w:p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rsidR="00A610BD" w:rsidRDefault="00A610BD">
      <w:pPr>
        <w:jc w:val="both"/>
      </w:pPr>
    </w:p>
    <w:p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rsidR="00A610BD" w:rsidRDefault="00A610BD">
      <w:pPr>
        <w:jc w:val="both"/>
      </w:pPr>
    </w:p>
    <w:p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rsidR="00A610BD" w:rsidRDefault="00A610BD">
      <w:pPr>
        <w:jc w:val="both"/>
      </w:pPr>
    </w:p>
    <w:p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rsidR="00A610BD" w:rsidRDefault="00A610BD">
      <w:pPr>
        <w:jc w:val="both"/>
      </w:pPr>
    </w:p>
    <w:p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rsidR="00A610BD" w:rsidRDefault="00A610BD">
      <w:pPr>
        <w:jc w:val="both"/>
      </w:pPr>
    </w:p>
    <w:p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When this instruction is given, the last sentence of General Instruction 1.10 should be omitted.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rPr>
          <w:sz w:val="28"/>
          <w:szCs w:val="28"/>
        </w:rPr>
      </w:pPr>
    </w:p>
    <w:p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2"/>
      </w:r>
      <w:r>
        <w:t xml:space="preserve"> [that the government did not cause]</w:t>
      </w:r>
      <w:r>
        <w:rPr>
          <w:rStyle w:val="FootnoteReference"/>
          <w:vertAlign w:val="superscript"/>
        </w:rPr>
        <w:footnoteReference w:id="263"/>
      </w:r>
      <w:r>
        <w:t>.  However, the Due Process Clause does prohibit state officials from engaging in conduct that renders an individual more vulnerable to such harms.</w:t>
      </w:r>
    </w:p>
    <w:p w:rsidR="00A610BD" w:rsidRDefault="00A610BD">
      <w:pPr>
        <w:jc w:val="both"/>
      </w:pPr>
    </w:p>
    <w:p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rsidR="00A610BD" w:rsidRDefault="00A610BD">
      <w:pPr>
        <w:jc w:val="both"/>
      </w:pPr>
    </w:p>
    <w:p w:rsidR="00A610BD" w:rsidRDefault="00A610BD">
      <w:pPr>
        <w:ind w:left="720"/>
        <w:jc w:val="both"/>
      </w:pPr>
      <w:r>
        <w:t>First: [The harm to [plaintiff]] [describe harm to plaintiff] was a foreseeable and fairly direct result of [defendant</w:t>
      </w:r>
      <w:r w:rsidR="000D09A4">
        <w:t>’</w:t>
      </w:r>
      <w:r>
        <w:t>s] conduct.</w:t>
      </w:r>
    </w:p>
    <w:p w:rsidR="00A610BD" w:rsidRDefault="00A610BD">
      <w:pPr>
        <w:jc w:val="both"/>
      </w:pPr>
    </w:p>
    <w:p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4"/>
      </w:r>
    </w:p>
    <w:p w:rsidR="00A610BD" w:rsidRDefault="00A610BD">
      <w:pPr>
        <w:jc w:val="both"/>
      </w:pPr>
    </w:p>
    <w:p w:rsidR="00A610BD" w:rsidRDefault="00A610BD">
      <w:pPr>
        <w:ind w:left="720"/>
        <w:jc w:val="both"/>
      </w:pPr>
      <w:r>
        <w:t>Third: There was some type of relationship between [defendant] and [plaintiff] that distinguished [plaintiff] from the public at large.</w:t>
      </w:r>
    </w:p>
    <w:p w:rsidR="00A610BD" w:rsidRDefault="00A610BD">
      <w:pPr>
        <w:jc w:val="both"/>
      </w:pPr>
    </w:p>
    <w:p w:rsidR="00A610BD" w:rsidRDefault="00A610BD">
      <w:pPr>
        <w:ind w:left="720"/>
        <w:jc w:val="both"/>
      </w:pPr>
      <w:r>
        <w:t>Fourth:  [Defendant</w:t>
      </w:r>
      <w:r w:rsidR="000D09A4">
        <w:t>’</w:t>
      </w:r>
      <w:r>
        <w:t>s] action made [plaintiff] more vulnerable to [describe the harm].</w:t>
      </w:r>
    </w:p>
    <w:p w:rsidR="00A610BD" w:rsidRDefault="00A610BD">
      <w:pPr>
        <w:jc w:val="both"/>
      </w:pPr>
    </w:p>
    <w:p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whether [defendant] should have foreseen [the harm at issue] [that [describe harm]].  Directness </w:t>
      </w:r>
      <w:r>
        <w:lastRenderedPageBreak/>
        <w:t>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rsidR="00A610BD" w:rsidRDefault="00A610BD">
      <w:pPr>
        <w:jc w:val="both"/>
      </w:pPr>
    </w:p>
    <w:p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5"/>
      </w:r>
      <w:r>
        <w:t xml:space="preserve">  The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6"/>
      </w:r>
      <w:r>
        <w:t xml:space="preserve"> then you must find that [he/she] was not deliberately indifferent.]]</w:t>
      </w:r>
    </w:p>
    <w:p w:rsidR="00A610BD" w:rsidRDefault="00A610BD">
      <w:pPr>
        <w:jc w:val="both"/>
      </w:pPr>
    </w:p>
    <w:p w:rsidR="00A610BD" w:rsidRDefault="00A610BD">
      <w:pPr>
        <w:ind w:firstLine="720"/>
        <w:jc w:val="both"/>
      </w:pPr>
      <w:r>
        <w:rPr>
          <w:b/>
          <w:bCs/>
        </w:rPr>
        <w:t>[For cases in which the requisite level of culpability is objective deliberate indifference, see Comment for discussion of the second element.]</w:t>
      </w:r>
    </w:p>
    <w:p w:rsidR="00A610BD" w:rsidRDefault="00A610BD">
      <w:pPr>
        <w:jc w:val="both"/>
      </w:pPr>
    </w:p>
    <w:p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7"/>
      </w:r>
      <w:r>
        <w:t xml:space="preserve">  The second of these four elements requires [plaintiff] to show that [defendant] acted with conscious disregard of a great risk of serious harm.  It is not enough to show that [defendant] was careless or reckless.  On the other hand, [plaintiff] </w:t>
      </w:r>
      <w:r>
        <w:lastRenderedPageBreak/>
        <w:t>need not show that [defendant] acted with the purpose of causing harm.  Rather, [plaintiff] must show that [defendant] knew there was a great risk of serious harm, and that [defendant] consciously disregarded that risk.]</w:t>
      </w:r>
    </w:p>
    <w:p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8"/>
      </w:r>
      <w:r>
        <w:t>.</w:t>
      </w:r>
    </w:p>
    <w:p w:rsidR="00A610BD" w:rsidRDefault="00A610BD">
      <w:pPr>
        <w:jc w:val="both"/>
        <w:rPr>
          <w:sz w:val="28"/>
          <w:szCs w:val="28"/>
        </w:rPr>
      </w:pPr>
    </w:p>
    <w:p w:rsidR="00A610BD" w:rsidRDefault="00A610BD">
      <w:pPr>
        <w:jc w:val="both"/>
        <w:rPr>
          <w:sz w:val="28"/>
          <w:szCs w:val="28"/>
        </w:rPr>
      </w:pPr>
      <w:r>
        <w:rPr>
          <w:b/>
          <w:bCs/>
          <w:sz w:val="28"/>
          <w:szCs w:val="28"/>
        </w:rPr>
        <w:t>Comment</w:t>
      </w:r>
    </w:p>
    <w:p w:rsidR="00A610BD" w:rsidRDefault="00A610BD">
      <w:pPr>
        <w:jc w:val="both"/>
      </w:pPr>
    </w:p>
    <w:p w:rsidR="00A610BD" w:rsidRDefault="00A610BD">
      <w:pPr>
        <w:ind w:firstLine="720"/>
        <w:jc w:val="both"/>
      </w:pPr>
      <w:r>
        <w:t>To recover on a theory of state-created danger,</w:t>
      </w:r>
      <w:r>
        <w:rPr>
          <w:rStyle w:val="FootnoteReference"/>
          <w:vertAlign w:val="superscript"/>
        </w:rPr>
        <w:footnoteReference w:id="26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rsidR="00A610BD" w:rsidRDefault="00A610BD">
      <w:pPr>
        <w:jc w:val="both"/>
      </w:pPr>
    </w:p>
    <w:p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the Court of Appeals has indicated that each of the four elements adds something important to the analysis.  The model therefore enumerates each element and attempts to explain its significance in </w:t>
      </w:r>
      <w:r>
        <w:lastRenderedPageBreak/>
        <w:t>terms that distinguish it from the others.</w:t>
      </w:r>
    </w:p>
    <w:p w:rsidR="00A610BD" w:rsidRDefault="00A610BD">
      <w:pPr>
        <w:jc w:val="both"/>
      </w:pPr>
    </w:p>
    <w:p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rsidR="00EF672B" w:rsidRDefault="00EF672B">
      <w:pPr>
        <w:ind w:firstLine="720"/>
        <w:jc w:val="both"/>
      </w:pPr>
    </w:p>
    <w:p w:rsidR="00A610BD"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p>
    <w:p w:rsidR="00A610BD" w:rsidRDefault="00A610BD">
      <w:pPr>
        <w:jc w:val="both"/>
      </w:pPr>
    </w:p>
    <w:p w:rsidR="00A610BD" w:rsidRDefault="00A610BD">
      <w:pPr>
        <w:ind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t>”</w:t>
      </w:r>
      <w:r>
        <w:t>).</w:t>
      </w:r>
    </w:p>
    <w:p w:rsidR="00A610BD" w:rsidRDefault="00A610BD">
      <w:pPr>
        <w:jc w:val="both"/>
      </w:pPr>
    </w:p>
    <w:p w:rsidR="00A610BD" w:rsidRPr="00601AF0" w:rsidRDefault="00A610BD">
      <w:pPr>
        <w:ind w:firstLine="720"/>
        <w:jc w:val="both"/>
      </w:pPr>
      <w:r>
        <w:rPr>
          <w:u w:val="single"/>
        </w:rPr>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w:t>
      </w:r>
      <w:r>
        <w:lastRenderedPageBreak/>
        <w:t>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70"/>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 xml:space="preserve">(3d Cir. 2013) (en banc) (stating the second element as “a state actor acted with a degree of culpability that shocks the conscience”). </w:t>
      </w:r>
    </w:p>
    <w:p w:rsidR="00A610BD" w:rsidRDefault="00A610BD">
      <w:pPr>
        <w:jc w:val="both"/>
      </w:pPr>
    </w:p>
    <w:p w:rsidR="00A610BD"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xml:space="preserve">, 544 F.3d 182, 192-93 (3d Cir. 2008). </w:t>
      </w:r>
      <w:r w:rsidR="00F02197">
        <w:t xml:space="preserve"> “</w:t>
      </w:r>
      <w:r>
        <w:t xml:space="preserve">For example, in the custodial situation of a prison, where forethought about an inmate's welfare is possible, deliberate indifference to a prisoner's medical needs may be sufficiently shocking, while </w:t>
      </w:r>
      <w:r w:rsidR="009510BB">
        <w:t>‘</w:t>
      </w:r>
      <w:r>
        <w:t>[a] much higher fault standard is proper when a government official is acting instantaneously and making pressured decisions without the ability to fully consider the risks.</w:t>
      </w:r>
      <w:r w:rsidR="00773F35">
        <w:t>’”</w:t>
      </w:r>
      <w:r>
        <w:t xml:space="preserve"> </w:t>
      </w:r>
      <w:r>
        <w:rPr>
          <w:i/>
          <w:iCs/>
        </w:rPr>
        <w:t>Marasco</w:t>
      </w:r>
      <w:r>
        <w:t xml:space="preserve">, 318 F.3d at 508 (quoting </w:t>
      </w:r>
      <w:r>
        <w:rPr>
          <w:i/>
          <w:iCs/>
        </w:rPr>
        <w:t>Miller</w:t>
      </w:r>
      <w:r>
        <w:t>, 174 F.3d at 375).  Between the deliberate indifference standard (appropriate to controlled environments where deliberation is practicable)</w:t>
      </w:r>
      <w:r>
        <w:rPr>
          <w:rStyle w:val="FootnoteReference"/>
          <w:vertAlign w:val="superscript"/>
        </w:rPr>
        <w:footnoteReference w:id="271"/>
      </w:r>
      <w:r>
        <w:t xml:space="preserve"> and the purpose to cause harm standard (applied to high-speed </w:t>
      </w:r>
      <w:r>
        <w:lastRenderedPageBreak/>
        <w:t xml:space="preserve">chases) is an intermediate </w:t>
      </w:r>
      <w:r w:rsidR="00B76862">
        <w:t>standard – “</w:t>
      </w:r>
      <w:r>
        <w:t>arbitrariness</w:t>
      </w:r>
      <w:r w:rsidR="00FD4B4D">
        <w:t>”</w:t>
      </w:r>
      <w:r w:rsidR="00B76862">
        <w:t xml:space="preserve"> – </w:t>
      </w:r>
      <w:r>
        <w:t>that governs in instances that present neither the urgency of a high-speed chase nor a full opportunity for deliberate response.</w:t>
      </w:r>
      <w:r>
        <w:rPr>
          <w:rStyle w:val="FootnoteReference"/>
          <w:vertAlign w:val="superscript"/>
        </w:rPr>
        <w:footnoteReference w:id="272"/>
      </w:r>
      <w:r>
        <w:t xml:space="preserve">  </w:t>
      </w:r>
      <w:r>
        <w:rPr>
          <w:i/>
          <w:iCs/>
        </w:rPr>
        <w:t>See</w:t>
      </w:r>
      <w:r>
        <w:t xml:space="preserve"> </w:t>
      </w:r>
      <w:r>
        <w:rPr>
          <w:i/>
          <w:iCs/>
        </w:rPr>
        <w:t>Miller</w:t>
      </w:r>
      <w:r>
        <w:t xml:space="preserve">, 174 F.3d at 375-77 &amp; n.7 (where </w:t>
      </w:r>
      <w:r w:rsidR="00955670">
        <w:t>“a</w:t>
      </w:r>
      <w:r>
        <w:t xml:space="preserve"> social worker act[ed] to separate parent and child,</w:t>
      </w:r>
      <w:r w:rsidR="00FD4B4D">
        <w:t>”</w:t>
      </w:r>
      <w:r>
        <w:t xml:space="preserve"> requiring</w:t>
      </w:r>
      <w:r w:rsidR="00F02197">
        <w:t xml:space="preserve"> “</w:t>
      </w:r>
      <w:r>
        <w:t>evidence of acts . . . that rose to a level of arbitrariness that shocks the conscience</w:t>
      </w:r>
      <w:r w:rsidR="00FD4B4D">
        <w:t>”</w:t>
      </w:r>
      <w:r>
        <w:t xml:space="preserve">); </w:t>
      </w:r>
      <w:r>
        <w:rPr>
          <w:i/>
          <w:iCs/>
        </w:rPr>
        <w:t xml:space="preserve">see id. </w:t>
      </w:r>
      <w:r>
        <w:t>at 375-76 (stating the applicable standard as</w:t>
      </w:r>
      <w:r w:rsidR="00F02197">
        <w:t xml:space="preserve"> “</w:t>
      </w:r>
      <w:r>
        <w:t xml:space="preserve">exceed[ing] both negligence and deliberate indifference, and reach[ing] a level of gross negligence or arbitrariness that indeed </w:t>
      </w:r>
      <w:r w:rsidR="009510BB">
        <w:t>‘</w:t>
      </w:r>
      <w:r>
        <w:t>shocks the conscience</w:t>
      </w:r>
      <w:r w:rsidR="00773F35">
        <w:t>’”</w:t>
      </w:r>
      <w:r>
        <w:t>).</w:t>
      </w:r>
      <w:r>
        <w:rPr>
          <w:rStyle w:val="FootnoteReference"/>
          <w:vertAlign w:val="superscript"/>
        </w:rPr>
        <w:footnoteReference w:id="273"/>
      </w:r>
    </w:p>
    <w:p w:rsidR="00A610BD" w:rsidRDefault="00A610BD">
      <w:pPr>
        <w:jc w:val="both"/>
      </w:pPr>
    </w:p>
    <w:p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4"/>
      </w:r>
      <w:r>
        <w:t xml:space="preserve">  In </w:t>
      </w:r>
      <w:r>
        <w:rPr>
          <w:i/>
          <w:iCs/>
        </w:rPr>
        <w:t xml:space="preserve">Ziccardi v. City of </w:t>
      </w:r>
      <w:r>
        <w:rPr>
          <w:i/>
          <w:iCs/>
        </w:rPr>
        <w:lastRenderedPageBreak/>
        <w:t>Philadelphia</w:t>
      </w:r>
      <w:r>
        <w:t>, 288 F.3d 57, 66 (3d Cir. 2002), the Court of Appeals provided some detail on the nature of this standard.</w:t>
      </w:r>
      <w:r>
        <w:rPr>
          <w:rStyle w:val="FootnoteReference"/>
          <w:vertAlign w:val="superscript"/>
        </w:rPr>
        <w:footnoteReference w:id="275"/>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6"/>
      </w:r>
    </w:p>
    <w:p w:rsidR="00A610BD" w:rsidRDefault="00A610BD">
      <w:pPr>
        <w:jc w:val="both"/>
      </w:pPr>
    </w:p>
    <w:p w:rsidR="00A610BD" w:rsidRDefault="00A610BD">
      <w:pPr>
        <w:ind w:firstLine="720"/>
        <w:jc w:val="both"/>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at 428 n.5.</w:t>
      </w:r>
      <w:r>
        <w:rPr>
          <w:rStyle w:val="FootnoteReference"/>
          <w:vertAlign w:val="superscript"/>
        </w:rPr>
        <w:footnoteReference w:id="277"/>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8"/>
      </w:r>
    </w:p>
    <w:p w:rsidR="00A610BD" w:rsidRDefault="00A610BD">
      <w:pPr>
        <w:ind w:firstLine="720"/>
        <w:jc w:val="both"/>
      </w:pPr>
      <w:r>
        <w:lastRenderedPageBreak/>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rsidR="00A610BD" w:rsidRDefault="00A610BD">
      <w:pPr>
        <w:jc w:val="both"/>
      </w:pPr>
    </w:p>
    <w:p w:rsidR="00A610BD" w:rsidRDefault="00A610BD">
      <w:pPr>
        <w:ind w:firstLine="720"/>
        <w:jc w:val="both"/>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9"/>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 xml:space="preserve">When the alleged </w:t>
      </w:r>
      <w:r>
        <w:lastRenderedPageBreak/>
        <w:t>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80"/>
      </w:r>
      <w:r>
        <w:t xml:space="preserve">  </w:t>
      </w:r>
      <w:r w:rsidR="00474DE6">
        <w:t>“</w:t>
      </w:r>
      <w:r>
        <w:t>The primary focus when making this determination is foreseeability.</w:t>
      </w:r>
      <w:r w:rsidR="00FD4B4D">
        <w:t>”</w:t>
      </w:r>
      <w:r>
        <w:t xml:space="preserve">  </w:t>
      </w:r>
      <w:r>
        <w:rPr>
          <w:i/>
          <w:iCs/>
        </w:rPr>
        <w:t>Id.</w:t>
      </w:r>
    </w:p>
    <w:p w:rsidR="00A610BD" w:rsidRDefault="00A610BD">
      <w:pPr>
        <w:jc w:val="both"/>
      </w:pPr>
    </w:p>
    <w:p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1"/>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2"/>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3"/>
      </w:r>
      <w:r>
        <w:t xml:space="preserve">  The panel majority </w:t>
      </w:r>
      <w:r>
        <w:lastRenderedPageBreak/>
        <w:t xml:space="preserve">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4"/>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5"/>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w:t>
      </w:r>
      <w:r w:rsidR="00601AF0" w:rsidRPr="00601AF0">
        <w:lastRenderedPageBreak/>
        <w:t xml:space="preserve">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p>
    <w:p w:rsidR="00EF672B" w:rsidRDefault="00EF672B">
      <w:pPr>
        <w:ind w:firstLine="720"/>
        <w:jc w:val="both"/>
      </w:pPr>
    </w:p>
    <w:p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created danger claim are that: (1) a state actor exercised his or her authority,</w:t>
      </w:r>
      <w:r>
        <w:rPr>
          <w:rStyle w:val="FootnoteReference"/>
          <w:vertAlign w:val="superscript"/>
        </w:rPr>
        <w:footnoteReference w:id="286"/>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rsidR="00A610BD" w:rsidRDefault="00A610BD">
      <w:pPr>
        <w:jc w:val="both"/>
      </w:pPr>
    </w:p>
    <w:p w:rsidR="00A610BD"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w:t>
      </w:r>
      <w:r>
        <w:lastRenderedPageBreak/>
        <w:t xml:space="preserve">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[Plaintiff] claims that [defendant] violated [plaintiff</w:t>
      </w:r>
      <w:r w:rsidR="000D09A4">
        <w:t>’</w:t>
      </w:r>
      <w:r>
        <w:t>s] Fourteenth Amendment rights by [describe the high-speed chase].</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[describe [plaintiff</w:t>
      </w:r>
      <w:r w:rsidR="000D09A4">
        <w:t>’</w:t>
      </w:r>
      <w:r>
        <w:t>s] allegations concerning the high-speed chase].</w:t>
      </w:r>
    </w:p>
    <w:p w:rsidR="00A610BD" w:rsidRDefault="00A610BD">
      <w:pPr>
        <w:jc w:val="both"/>
      </w:pPr>
    </w:p>
    <w:p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rsidR="00A610BD" w:rsidRDefault="00A610BD">
      <w:pPr>
        <w:jc w:val="both"/>
      </w:pPr>
    </w:p>
    <w:p w:rsidR="00A610BD" w:rsidRDefault="00A610BD">
      <w:pPr>
        <w:jc w:val="both"/>
      </w:pPr>
    </w:p>
    <w:p w:rsidR="00A610BD" w:rsidRDefault="00A610BD">
      <w:pPr>
        <w:jc w:val="both"/>
      </w:pPr>
      <w:r>
        <w:rPr>
          <w:b/>
          <w:bCs/>
          <w:sz w:val="28"/>
          <w:szCs w:val="28"/>
        </w:rPr>
        <w:t>Comment</w:t>
      </w:r>
    </w:p>
    <w:p w:rsidR="00A610BD" w:rsidRDefault="00A610BD">
      <w:pPr>
        <w:jc w:val="both"/>
      </w:pPr>
    </w:p>
    <w:p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7"/>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rsidR="00A610BD" w:rsidRDefault="00A610BD">
      <w:pPr>
        <w:jc w:val="both"/>
      </w:pPr>
    </w:p>
    <w:p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8"/>
      </w:r>
    </w:p>
    <w:p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rsidR="00A610BD" w:rsidRDefault="00A610BD">
      <w:pPr>
        <w:jc w:val="both"/>
        <w:rPr>
          <w:b/>
          <w:bCs/>
          <w:sz w:val="28"/>
          <w:szCs w:val="28"/>
        </w:rPr>
      </w:pPr>
    </w:p>
    <w:p w:rsidR="002E3699" w:rsidRDefault="002E3699">
      <w:pPr>
        <w:jc w:val="both"/>
        <w:rPr>
          <w:b/>
          <w:bCs/>
          <w:sz w:val="28"/>
          <w:szCs w:val="28"/>
        </w:rPr>
        <w:sectPr w:rsidR="002E3699" w:rsidSect="00D413BD">
          <w:headerReference w:type="default" r:id="rId46"/>
          <w:pgSz w:w="12240" w:h="15840"/>
          <w:pgMar w:top="1440" w:right="1440" w:bottom="1440" w:left="1440" w:header="1440" w:footer="1440" w:gutter="0"/>
          <w:lnNumType w:countBy="1"/>
          <w:cols w:space="720"/>
          <w:noEndnote/>
        </w:sectPr>
      </w:pPr>
    </w:p>
    <w:p w:rsidR="00A610BD" w:rsidRDefault="00A610BD">
      <w:pPr>
        <w:jc w:val="both"/>
        <w:rPr>
          <w:sz w:val="28"/>
          <w:szCs w:val="28"/>
        </w:rPr>
      </w:pPr>
      <w:r>
        <w:rPr>
          <w:b/>
          <w:bCs/>
          <w:sz w:val="28"/>
          <w:szCs w:val="28"/>
        </w:rPr>
        <w:lastRenderedPageBreak/>
        <w:t>Model</w:t>
      </w:r>
    </w:p>
    <w:p w:rsidR="00A610BD" w:rsidRDefault="00A610BD">
      <w:pPr>
        <w:jc w:val="both"/>
      </w:pPr>
    </w:p>
    <w:p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9"/>
      </w:r>
      <w:r>
        <w:t xml:space="preserve"> in foster care with John and Jane Doe. [The parties agree that] [Plaintiff claims that] </w:t>
      </w:r>
      <w:r>
        <w:rPr>
          <w:i/>
          <w:iCs/>
        </w:rPr>
        <w:t>[describe abuse of plaintiff while in foster care]</w:t>
      </w:r>
      <w:r>
        <w:t>.</w:t>
      </w:r>
    </w:p>
    <w:p w:rsidR="00A610BD" w:rsidRDefault="00A610BD">
      <w:pPr>
        <w:jc w:val="both"/>
      </w:pPr>
    </w:p>
    <w:p w:rsidR="00A610BD" w:rsidRDefault="00A610BD">
      <w:pPr>
        <w:ind w:firstLine="720"/>
        <w:jc w:val="both"/>
      </w:pPr>
      <w:r>
        <w:t>To establish this claim, [plaintiff] must prove both of the following things by a preponderance of the evidence:</w:t>
      </w:r>
    </w:p>
    <w:p w:rsidR="00A610BD" w:rsidRDefault="00A610BD">
      <w:pPr>
        <w:jc w:val="both"/>
      </w:pPr>
    </w:p>
    <w:p w:rsidR="00A610BD" w:rsidRDefault="00A610BD">
      <w:pPr>
        <w:ind w:left="720"/>
        <w:jc w:val="both"/>
      </w:pPr>
      <w:r>
        <w:t>First: [Defendant] acted with deliberate indifference when [he/she] placed [plaintiff] in the Does</w:t>
      </w:r>
      <w:r w:rsidR="000D09A4">
        <w:t>’</w:t>
      </w:r>
      <w:r>
        <w:t xml:space="preserve"> foster home.</w:t>
      </w:r>
    </w:p>
    <w:p w:rsidR="00A610BD" w:rsidRDefault="00A610BD">
      <w:pPr>
        <w:jc w:val="both"/>
      </w:pPr>
    </w:p>
    <w:p w:rsidR="00A610BD" w:rsidRDefault="00A610BD">
      <w:pPr>
        <w:ind w:left="720"/>
        <w:jc w:val="both"/>
      </w:pPr>
      <w:r>
        <w:t>Second:  [Plaintiff] was harmed by that placement.</w:t>
      </w:r>
    </w:p>
    <w:p w:rsidR="00A610BD" w:rsidRDefault="00A610BD">
      <w:pPr>
        <w:jc w:val="both"/>
      </w:pPr>
    </w:p>
    <w:p w:rsidR="00A610BD" w:rsidRDefault="00A610BD">
      <w:pPr>
        <w:ind w:firstLine="720"/>
        <w:jc w:val="both"/>
      </w:pPr>
      <w:r>
        <w:t>I will now proceed to give you more details on the first of these two requirements.</w:t>
      </w:r>
    </w:p>
    <w:p w:rsidR="00A610BD" w:rsidRDefault="00A610BD">
      <w:pPr>
        <w:jc w:val="both"/>
      </w:pPr>
    </w:p>
    <w:p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90"/>
      </w:r>
      <w:r>
        <w:t xml:space="preserve"> then you must find that [he/she] was not deliberately indifferent.]]</w:t>
      </w:r>
      <w:r>
        <w:rPr>
          <w:rStyle w:val="FootnoteReference"/>
          <w:vertAlign w:val="superscript"/>
        </w:rPr>
        <w:footnoteReference w:id="291"/>
      </w:r>
    </w:p>
    <w:p w:rsidR="00A610BD" w:rsidRDefault="00A610BD">
      <w:pPr>
        <w:jc w:val="both"/>
        <w:rPr>
          <w:sz w:val="28"/>
          <w:szCs w:val="28"/>
        </w:rPr>
      </w:pPr>
      <w:r>
        <w:rPr>
          <w:b/>
          <w:bCs/>
          <w:sz w:val="28"/>
          <w:szCs w:val="28"/>
        </w:rPr>
        <w:lastRenderedPageBreak/>
        <w:t>Comment</w:t>
      </w:r>
    </w:p>
    <w:p w:rsidR="00A610BD" w:rsidRDefault="00A610BD">
      <w:pPr>
        <w:jc w:val="both"/>
      </w:pPr>
    </w:p>
    <w:p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rsidR="00A610BD" w:rsidRDefault="00A610BD">
      <w:pPr>
        <w:jc w:val="both"/>
      </w:pPr>
    </w:p>
    <w:p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2"/>
      </w:r>
      <w:r>
        <w:t xml:space="preserve">  Under that framework, the plaintiff must show that the defendant</w:t>
      </w:r>
      <w:r w:rsidR="000D09A4">
        <w:t>’</w:t>
      </w:r>
      <w:r>
        <w:t>s conduct</w:t>
      </w:r>
      <w:r w:rsidR="00CD69C6">
        <w:t xml:space="preserve"> “</w:t>
      </w:r>
      <w:r>
        <w:t>shocked 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3"/>
      </w:r>
      <w:r>
        <w:t xml:space="preserve">  The </w:t>
      </w:r>
      <w:r>
        <w:rPr>
          <w:i/>
          <w:iCs/>
        </w:rPr>
        <w:t>Nicini</w:t>
      </w:r>
      <w:r>
        <w:t xml:space="preserve"> court did not, </w:t>
      </w:r>
      <w:r>
        <w:lastRenderedPageBreak/>
        <w:t>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4"/>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60" w:rsidRDefault="00721160" w:rsidP="00A610BD">
      <w:r>
        <w:separator/>
      </w:r>
    </w:p>
  </w:endnote>
  <w:endnote w:type="continuationSeparator" w:id="0">
    <w:p w:rsidR="00721160" w:rsidRDefault="00721160" w:rsidP="00A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85254"/>
      <w:docPartObj>
        <w:docPartGallery w:val="Page Numbers (Bottom of Page)"/>
        <w:docPartUnique/>
      </w:docPartObj>
    </w:sdtPr>
    <w:sdtEndPr>
      <w:rPr>
        <w:noProof/>
      </w:rPr>
    </w:sdtEndPr>
    <w:sdtContent>
      <w:p w:rsidR="00721160" w:rsidRDefault="00721160">
        <w:pPr>
          <w:pStyle w:val="Footer"/>
          <w:jc w:val="center"/>
          <w:rPr>
            <w:noProof/>
          </w:rPr>
        </w:pPr>
        <w:r>
          <w:fldChar w:fldCharType="begin"/>
        </w:r>
        <w:r>
          <w:instrText xml:space="preserve"> PAGE   \* MERGEFORMAT </w:instrText>
        </w:r>
        <w:r>
          <w:fldChar w:fldCharType="separate"/>
        </w:r>
        <w:r w:rsidR="00765475">
          <w:rPr>
            <w:noProof/>
          </w:rPr>
          <w:t>203</w:t>
        </w:r>
        <w:r>
          <w:rPr>
            <w:noProof/>
          </w:rPr>
          <w:fldChar w:fldCharType="end"/>
        </w:r>
        <w:r>
          <w:rPr>
            <w:noProof/>
          </w:rPr>
          <w:t xml:space="preserve"> </w:t>
        </w:r>
      </w:p>
      <w:p w:rsidR="00721160" w:rsidRPr="0063630C" w:rsidRDefault="00721160" w:rsidP="004576EA">
        <w:pPr>
          <w:jc w:val="right"/>
          <w:rPr>
            <w:i/>
          </w:rPr>
        </w:pPr>
        <w:r>
          <w:rPr>
            <w:i/>
            <w:noProof/>
          </w:rPr>
          <w:t>Last updated October 2014</w:t>
        </w:r>
      </w:p>
      <w:p w:rsidR="00721160" w:rsidRDefault="00765475">
        <w:pPr>
          <w:pStyle w:val="Footer"/>
          <w:jc w:val="center"/>
        </w:pPr>
      </w:p>
    </w:sdtContent>
  </w:sdt>
  <w:p w:rsidR="00721160" w:rsidRPr="001A0FA9" w:rsidRDefault="00721160" w:rsidP="007E6D0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60" w:rsidRDefault="00721160" w:rsidP="00A610BD">
      <w:r>
        <w:separator/>
      </w:r>
    </w:p>
  </w:footnote>
  <w:footnote w:type="continuationSeparator" w:id="0">
    <w:p w:rsidR="00721160" w:rsidRDefault="00721160" w:rsidP="00A610BD">
      <w:r>
        <w:continuationSeparator/>
      </w:r>
    </w:p>
  </w:footnote>
  <w:footnote w:id="1">
    <w:p w:rsidR="00721160" w:rsidRDefault="00721160">
      <w:pPr>
        <w:spacing w:after="240"/>
        <w:ind w:firstLine="720"/>
      </w:pPr>
      <w:r>
        <w:rPr>
          <w:rStyle w:val="FootnoteReference"/>
          <w:vertAlign w:val="superscript"/>
        </w:rPr>
        <w:footnoteRef/>
      </w:r>
      <w:r>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2">
    <w:p w:rsidR="00721160" w:rsidRDefault="00721160">
      <w:pPr>
        <w:spacing w:after="240"/>
        <w:ind w:firstLine="720"/>
      </w:pPr>
      <w:r>
        <w:rPr>
          <w:rStyle w:val="FootnoteReference"/>
          <w:vertAlign w:val="superscript"/>
        </w:rPr>
        <w:footnoteRef/>
      </w:r>
      <w:r>
        <w:t xml:space="preserve">  In these instructions, references to action under color of state law are meant to include action under color of territorial law.  </w:t>
      </w:r>
      <w:r>
        <w:rPr>
          <w:i/>
          <w:iCs/>
        </w:rPr>
        <w:t>See, e.g.</w:t>
      </w:r>
      <w:r>
        <w:t xml:space="preserve">, </w:t>
      </w:r>
      <w:r>
        <w:rPr>
          <w:i/>
          <w:iCs/>
        </w:rPr>
        <w:t>Eddy v. Virgin Islands Water &amp; Power Auth.</w:t>
      </w:r>
      <w:r>
        <w:t xml:space="preserve">, 955 F. Supp. 468, 476 (D.V.I. 1997) (“The net effect of the Supreme Court decisions interpreting 42 U.S.C. § 1983, including </w:t>
      </w:r>
      <w:r>
        <w:rPr>
          <w:i/>
          <w:iCs/>
        </w:rPr>
        <w:t>Will</w:t>
      </w:r>
      <w:r>
        <w:t xml:space="preserve"> [</w:t>
      </w:r>
      <w:r>
        <w:rPr>
          <w:i/>
          <w:iCs/>
        </w:rPr>
        <w:t>v. Michigan Department of State Police</w:t>
      </w:r>
      <w:r>
        <w:t xml:space="preserve">, 491 U.S. 58 (1989),] and </w:t>
      </w:r>
      <w:r>
        <w:rPr>
          <w:i/>
          <w:iCs/>
        </w:rPr>
        <w:t>Ngiraingas</w:t>
      </w:r>
      <w:r>
        <w:t xml:space="preserve"> [</w:t>
      </w:r>
      <w:r>
        <w:rPr>
          <w:i/>
          <w:iCs/>
        </w:rPr>
        <w:t>v. Sanchez</w:t>
      </w:r>
      <w:r>
        <w:t xml:space="preserve">, 495 U.S. 182 (1990)], is to treat the territories and their officials and employees the same as states and their officials and employees.”), </w:t>
      </w:r>
      <w:r>
        <w:rPr>
          <w:i/>
          <w:iCs/>
        </w:rPr>
        <w:t>reconsidered on other grounds</w:t>
      </w:r>
      <w:r>
        <w:t xml:space="preserve">, 961 F. Supp. 113 (D.V.I. 1997); </w:t>
      </w:r>
      <w:r>
        <w:rPr>
          <w:i/>
          <w:iCs/>
        </w:rPr>
        <w:t>see also Iles v. de Jongh</w:t>
      </w:r>
      <w:r>
        <w:t xml:space="preserve">, 638 F.3d 169, 177-78 (3d Cir. 2011) (analyzing official-capacity claims against Governor of Virgin Islands under, inter alia, </w:t>
      </w:r>
      <w:r>
        <w:rPr>
          <w:i/>
          <w:iCs/>
        </w:rPr>
        <w:t>Will</w:t>
      </w:r>
      <w:r>
        <w:t>).</w:t>
      </w:r>
    </w:p>
  </w:footnote>
  <w:footnote w:id="3">
    <w:p w:rsidR="00721160" w:rsidRDefault="00721160" w:rsidP="0096466E">
      <w:pPr>
        <w:pStyle w:val="FootnoteText"/>
        <w:spacing w:after="240"/>
        <w:ind w:firstLine="720"/>
      </w:pPr>
      <w:r w:rsidRPr="0096466E">
        <w:rPr>
          <w:rStyle w:val="FootnoteReference"/>
          <w:vertAlign w:val="superscript"/>
        </w:rPr>
        <w:footnoteRef/>
      </w:r>
      <w:r>
        <w:t xml:space="preserve"> </w:t>
      </w:r>
      <w:r w:rsidRPr="00BB35A4">
        <w:rPr>
          <w:i/>
          <w:sz w:val="24"/>
          <w:szCs w:val="24"/>
        </w:rPr>
        <w:t>See Sharp v. Johnson</w:t>
      </w:r>
      <w:r w:rsidRPr="00BB35A4">
        <w:rPr>
          <w:sz w:val="24"/>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4">
    <w:p w:rsidR="00721160" w:rsidRDefault="00721160">
      <w:pPr>
        <w:spacing w:after="240"/>
        <w:ind w:firstLine="720"/>
      </w:pPr>
      <w:r>
        <w:rPr>
          <w:rStyle w:val="FootnoteReference"/>
          <w:vertAlign w:val="superscript"/>
        </w:rPr>
        <w:footnoteRef/>
      </w:r>
      <w:r>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5">
    <w:p w:rsidR="00721160" w:rsidRDefault="00721160">
      <w:pPr>
        <w:spacing w:after="240"/>
        <w:ind w:firstLine="720"/>
      </w:pPr>
      <w:r>
        <w:rPr>
          <w:rStyle w:val="FootnoteReference"/>
          <w:vertAlign w:val="superscript"/>
        </w:rPr>
        <w:footnoteRef/>
      </w:r>
      <w:r>
        <w:t xml:space="preserve">  There is language in </w:t>
      </w:r>
      <w:r>
        <w:rPr>
          <w:i/>
          <w:iCs/>
        </w:rPr>
        <w:t>Estate of Smith v. Marasco</w:t>
      </w:r>
      <w:r>
        <w:t xml:space="preserve">, 430 F.3d 140 (3d Cir. 2005), which may be perceived as being in tension with </w:t>
      </w:r>
      <w:r>
        <w:rPr>
          <w:i/>
          <w:iCs/>
        </w:rPr>
        <w:t>Kopec</w:t>
      </w:r>
      <w:r>
        <w:t xml:space="preserve">’s statement that the defendant has the burden of proof on qualified immunity.  In </w:t>
      </w:r>
      <w:r>
        <w:rPr>
          <w:i/>
          <w:iCs/>
        </w:rPr>
        <w:t>Marasco</w:t>
      </w:r>
      <w:r>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noBreakHyphen/>
        <w:t xml:space="preserve">shocking.’” </w:t>
      </w:r>
      <w:r>
        <w:rPr>
          <w:i/>
          <w:iCs/>
        </w:rPr>
        <w:t>Id.</w:t>
      </w:r>
      <w:r>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Pr>
          <w:i/>
          <w:iCs/>
        </w:rPr>
        <w:t xml:space="preserve">See id. </w:t>
      </w:r>
      <w:r>
        <w:t xml:space="preserve">at 154 (stressing that the relevant question was “whether the law, as it existed in 1999, gave the troopers ‘fair warning’ that their actions were unconstitutional”) (quoting </w:t>
      </w:r>
      <w:r>
        <w:rPr>
          <w:i/>
          <w:iCs/>
        </w:rPr>
        <w:t>Hope v. Pelzer</w:t>
      </w:r>
      <w:r>
        <w:t>, 536 U.S. 730, 741 (2002)).</w:t>
      </w:r>
    </w:p>
  </w:footnote>
  <w:footnote w:id="6">
    <w:p w:rsidR="00721160" w:rsidRDefault="00721160">
      <w:pPr>
        <w:spacing w:after="240"/>
        <w:ind w:firstLine="720"/>
      </w:pPr>
      <w:r>
        <w:rPr>
          <w:rStyle w:val="FootnoteReference"/>
          <w:vertAlign w:val="superscript"/>
        </w:rPr>
        <w:footnoteRef/>
      </w:r>
      <w:r>
        <w:t xml:space="preserve">  Such a claim should be distinguished from the use of evidence of a conspiracy in order to establish that a private individual acted under color of state law.  </w:t>
      </w:r>
      <w:r>
        <w:rPr>
          <w:i/>
          <w:iCs/>
        </w:rPr>
        <w:t>See infra</w:t>
      </w:r>
      <w:r>
        <w:t xml:space="preserve"> Instruction 4.4.3.</w:t>
      </w:r>
    </w:p>
  </w:footnote>
  <w:footnote w:id="7">
    <w:p w:rsidR="00721160" w:rsidRDefault="00721160">
      <w:pPr>
        <w:spacing w:after="240"/>
        <w:ind w:firstLine="720"/>
      </w:pPr>
      <w:r>
        <w:rPr>
          <w:rStyle w:val="FootnoteReference"/>
          <w:vertAlign w:val="superscript"/>
        </w:rPr>
        <w:footnoteRef/>
      </w:r>
      <w:r>
        <w:t xml:space="preserve">  </w:t>
      </w:r>
      <w:r>
        <w:rPr>
          <w:smallCaps/>
        </w:rPr>
        <w:t>Michael Avery, David Rudovsky &amp; Karen Blum, Police Misconduct: Law and Litigation</w:t>
      </w:r>
      <w:r>
        <w:t xml:space="preserve"> §§ 12:31, 12:32, 12:33, &amp; 12:43 (updated Oct. 2005) (available on Westlaw in the POLICEMISC database).</w:t>
      </w:r>
    </w:p>
  </w:footnote>
  <w:footnote w:id="8">
    <w:p w:rsidR="00721160" w:rsidRDefault="00721160">
      <w:pPr>
        <w:spacing w:after="240"/>
        <w:ind w:firstLine="720"/>
      </w:pPr>
      <w:r>
        <w:rPr>
          <w:rStyle w:val="FootnoteReference"/>
          <w:vertAlign w:val="superscript"/>
        </w:rPr>
        <w:footnoteRef/>
      </w:r>
      <w:r>
        <w:t xml:space="preserve">  </w:t>
      </w:r>
      <w:r>
        <w:rPr>
          <w:i/>
          <w:iCs/>
        </w:rPr>
        <w:t>See also</w:t>
      </w:r>
      <w:r>
        <w:t xml:space="preserve"> </w:t>
      </w:r>
      <w:r>
        <w:rPr>
          <w:i/>
          <w:iCs/>
        </w:rPr>
        <w:t>Brentwood Acad. v. Tennessee Secondary Sch. Athletic Ass’n</w:t>
      </w:r>
      <w:r>
        <w:t>, 531 U.S. 288, 295 n.2 (2001) (“If a defendant's conduct satisfies the state</w:t>
      </w:r>
      <w:r>
        <w:noBreakHyphen/>
        <w:t>action requirement of the Fourteenth Amendment, the conduct also constitutes action ‘under color of state law’ for § 1983 purposes.”).</w:t>
      </w:r>
    </w:p>
  </w:footnote>
  <w:footnote w:id="9">
    <w:p w:rsidR="00721160" w:rsidRDefault="00721160">
      <w:pPr>
        <w:spacing w:after="240"/>
        <w:ind w:firstLine="720"/>
      </w:pPr>
      <w:r>
        <w:rPr>
          <w:rStyle w:val="FootnoteReference"/>
          <w:vertAlign w:val="superscript"/>
        </w:rPr>
        <w:footnoteRef/>
      </w:r>
      <w:r>
        <w:t xml:space="preserve">  </w:t>
      </w:r>
      <w:r>
        <w:rPr>
          <w:i/>
          <w:iCs/>
        </w:rPr>
        <w:t>Compare</w:t>
      </w:r>
      <w:r>
        <w:t xml:space="preserve"> </w:t>
      </w:r>
      <w:r>
        <w:rPr>
          <w:i/>
          <w:iCs/>
        </w:rPr>
        <w:t>Citizens for Health v. Leavitt</w:t>
      </w:r>
      <w:r>
        <w:t>, 428 F.3d 167, 182 (3d Cir. 2005) (holding that a federal regulation that “authoriz[ed] conduct that was already legally permissible” – and that did not preempt state laws regulating such conduct more strictly – did not meet the “state action requirement”).</w:t>
      </w:r>
    </w:p>
  </w:footnote>
  <w:footnote w:id="10">
    <w:p w:rsidR="00721160" w:rsidRDefault="00721160">
      <w:pPr>
        <w:spacing w:after="240"/>
        <w:ind w:firstLine="720"/>
      </w:pPr>
      <w:r>
        <w:rPr>
          <w:rStyle w:val="FootnoteReference"/>
          <w:vertAlign w:val="superscript"/>
        </w:rPr>
        <w:footnoteRef/>
      </w:r>
      <w:r>
        <w:t xml:space="preserve">  </w:t>
      </w:r>
      <w:r>
        <w:rPr>
          <w:i/>
          <w:iCs/>
        </w:rPr>
        <w:t>McKeesport Hosp. v. Accreditation Council for Graduate Med. Educ.</w:t>
      </w:r>
      <w:r>
        <w:t xml:space="preserve">, 24 F.3d 519, 524 (3d Cir. 1994) (quoting </w:t>
      </w:r>
      <w:r>
        <w:rPr>
          <w:i/>
          <w:iCs/>
        </w:rPr>
        <w:t>Jackson v. Metropolitan Edison Co.</w:t>
      </w:r>
      <w:r>
        <w:t>, 419 U.S. 345, 351 (1974)).</w:t>
      </w:r>
    </w:p>
  </w:footnote>
  <w:footnote w:id="11">
    <w:p w:rsidR="00721160" w:rsidRDefault="00721160">
      <w:pPr>
        <w:spacing w:after="240"/>
        <w:ind w:firstLine="720"/>
      </w:pPr>
      <w:r>
        <w:rPr>
          <w:rStyle w:val="FootnoteReference"/>
          <w:vertAlign w:val="superscript"/>
        </w:rPr>
        <w:footnoteRef/>
      </w:r>
      <w:r>
        <w:t xml:space="preserve">  </w:t>
      </w:r>
      <w:r>
        <w:rPr>
          <w:i/>
          <w:iCs/>
        </w:rPr>
        <w:t>Tarkanian</w:t>
      </w:r>
      <w:r>
        <w:t xml:space="preserve">, 488 U.S. at 192 (citing </w:t>
      </w:r>
      <w:r>
        <w:rPr>
          <w:i/>
          <w:iCs/>
        </w:rPr>
        <w:t>North Ga. Finishing, Inc. v. Di</w:t>
      </w:r>
      <w:r>
        <w:rPr>
          <w:i/>
          <w:iCs/>
        </w:rPr>
        <w:noBreakHyphen/>
        <w:t>Chem, Inc.</w:t>
      </w:r>
      <w:r>
        <w:t>, 419 U.S. 601 (1975)).</w:t>
      </w:r>
    </w:p>
  </w:footnote>
  <w:footnote w:id="12">
    <w:p w:rsidR="00721160" w:rsidRDefault="00721160">
      <w:pPr>
        <w:spacing w:after="240"/>
        <w:ind w:firstLine="720"/>
      </w:pPr>
      <w:r>
        <w:rPr>
          <w:rStyle w:val="FootnoteReference"/>
          <w:vertAlign w:val="superscript"/>
        </w:rPr>
        <w:footnoteRef/>
      </w:r>
      <w:r>
        <w:t xml:space="preserve">  </w:t>
      </w:r>
      <w:r>
        <w:rPr>
          <w:i/>
          <w:iCs/>
        </w:rPr>
        <w:t>Id.</w:t>
      </w:r>
      <w:r>
        <w:t xml:space="preserve"> (citing </w:t>
      </w:r>
      <w:r>
        <w:rPr>
          <w:i/>
          <w:iCs/>
        </w:rPr>
        <w:t>West v. Atkins</w:t>
      </w:r>
      <w:r>
        <w:t xml:space="preserve">, 487 U.S. 42 (1988)); </w:t>
      </w:r>
      <w:r>
        <w:rPr>
          <w:i/>
          <w:iCs/>
        </w:rPr>
        <w:t>see also Reichley v. Pennsylvania Dept. of Agriculture</w:t>
      </w:r>
      <w:r>
        <w:t>, 427 F.3d 236, 245 (3d Cir. 2005) (holding that trade association’s “involvement and cooperation with the Commonwealth's efforts to contain and combat” avian influenza did not show requisite delegation of authority to the trade association).</w:t>
      </w:r>
    </w:p>
  </w:footnote>
  <w:footnote w:id="13">
    <w:p w:rsidR="00721160" w:rsidRDefault="00721160">
      <w:pPr>
        <w:spacing w:after="240"/>
        <w:ind w:firstLine="720"/>
      </w:pPr>
      <w:r>
        <w:rPr>
          <w:rStyle w:val="FootnoteReference"/>
          <w:vertAlign w:val="superscript"/>
        </w:rPr>
        <w:footnoteRef/>
      </w:r>
      <w:r>
        <w:t xml:space="preserve"> </w:t>
      </w:r>
      <w:r>
        <w:rPr>
          <w:i/>
          <w:iCs/>
        </w:rPr>
        <w:t xml:space="preserve"> Tarkanian</w:t>
      </w:r>
      <w:r>
        <w:t xml:space="preserve">, 488 U.S. at 192 (citing </w:t>
      </w:r>
      <w:r>
        <w:rPr>
          <w:i/>
          <w:iCs/>
        </w:rPr>
        <w:t>Burton v. Wilmington Parking Auth.</w:t>
      </w:r>
      <w:r>
        <w:t>, 365 U.S. 715 (1961)).</w:t>
      </w:r>
    </w:p>
  </w:footnote>
  <w:footnote w:id="14">
    <w:p w:rsidR="00721160" w:rsidRDefault="00721160">
      <w:pPr>
        <w:spacing w:after="240"/>
        <w:ind w:firstLine="720"/>
      </w:pPr>
      <w:r>
        <w:rPr>
          <w:rStyle w:val="FootnoteReference"/>
          <w:vertAlign w:val="superscript"/>
        </w:rPr>
        <w:footnoteRef/>
      </w:r>
      <w:r>
        <w:t xml:space="preserve">  </w:t>
      </w:r>
      <w:r>
        <w:rPr>
          <w:i/>
          <w:iCs/>
        </w:rPr>
        <w:t>McKeesport Hosp.</w:t>
      </w:r>
      <w:r>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noBreakHyphen/>
        <w:t xml:space="preserve">interest in taking the action.... [W]illful participation ... means voluntary, uncoerced participation.”  </w:t>
      </w:r>
      <w:r>
        <w:rPr>
          <w:i/>
          <w:iCs/>
        </w:rPr>
        <w:t>Harvey v. Plains Twp. Police Dept.</w:t>
      </w:r>
      <w:r>
        <w:t>, 421 F.3d 185, 195-96 (3d Cir. 2005).</w:t>
      </w:r>
    </w:p>
  </w:footnote>
  <w:footnote w:id="15">
    <w:p w:rsidR="00721160" w:rsidRDefault="00721160">
      <w:pPr>
        <w:spacing w:after="240"/>
        <w:ind w:firstLine="720"/>
      </w:pPr>
      <w:r>
        <w:rPr>
          <w:rStyle w:val="FootnoteReference"/>
          <w:vertAlign w:val="superscript"/>
        </w:rPr>
        <w:footnoteRef/>
      </w:r>
      <w:r>
        <w:t xml:space="preserve">  </w:t>
      </w:r>
      <w:r>
        <w:rPr>
          <w:i/>
          <w:iCs/>
        </w:rPr>
        <w:t>Benn v. Universal Health System, Inc.</w:t>
      </w:r>
      <w:r>
        <w:t xml:space="preserve">, 371 F.3d 165, 171 (3d Cir. 2004) (quoting </w:t>
      </w:r>
      <w:r>
        <w:rPr>
          <w:i/>
          <w:iCs/>
        </w:rPr>
        <w:t>Brentwood Acad. v. Tennessee Secondary Sch. Athletic Ass'n</w:t>
      </w:r>
      <w:r>
        <w:t xml:space="preserve">, 531 U.S. 288, 296 (2001) (quoting </w:t>
      </w:r>
      <w:r>
        <w:rPr>
          <w:i/>
          <w:iCs/>
        </w:rPr>
        <w:t>Blum v. Yaretsky</w:t>
      </w:r>
      <w:r>
        <w:t>, 457 U.S. 991, 1004 (1982))).</w:t>
      </w:r>
    </w:p>
  </w:footnote>
  <w:footnote w:id="16">
    <w:p w:rsidR="00721160" w:rsidRDefault="00721160">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Blum</w:t>
      </w:r>
      <w:r>
        <w:t>, 457 U.S. at 1004)).</w:t>
      </w:r>
    </w:p>
  </w:footnote>
  <w:footnote w:id="17">
    <w:p w:rsidR="00721160" w:rsidRDefault="00721160">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Pennsylvania v. Bd. of Dir. of City Trusts of Philadelphia</w:t>
      </w:r>
      <w:r>
        <w:t>, 353 U.S. 230, 231 (1957) (per curiam))).</w:t>
      </w:r>
    </w:p>
  </w:footnote>
  <w:footnote w:id="18">
    <w:p w:rsidR="00721160" w:rsidRDefault="00721160">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w:t>
      </w:r>
      <w:r>
        <w:rPr>
          <w:i/>
          <w:iCs/>
        </w:rPr>
        <w:t>compare Leshko v. Servis</w:t>
      </w:r>
      <w:r>
        <w:t xml:space="preserve">, 423 F.3d 337, 347 (3d Cir. 2005) (holding “that foster parents in Pennsylvania are not state actors for purposes of liability under § 1983"); </w:t>
      </w:r>
      <w:r>
        <w:rPr>
          <w:i/>
          <w:iCs/>
        </w:rPr>
        <w:t>Max v. Republican Committee of Lancaster County</w:t>
      </w:r>
      <w:r>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19">
    <w:p w:rsidR="00721160" w:rsidRDefault="00721160">
      <w:pPr>
        <w:spacing w:after="240"/>
        <w:ind w:firstLine="720"/>
      </w:pPr>
      <w:r>
        <w:rPr>
          <w:rStyle w:val="FootnoteReference"/>
          <w:vertAlign w:val="superscript"/>
        </w:rPr>
        <w:footnoteRef/>
      </w:r>
      <w:r>
        <w:t xml:space="preserve">  </w:t>
      </w:r>
      <w:r>
        <w:rPr>
          <w:i/>
          <w:iCs/>
        </w:rPr>
        <w:t>Benn</w:t>
      </w:r>
      <w:r>
        <w:t xml:space="preserve">, 371 F.3d at 171 (quoting </w:t>
      </w:r>
      <w:r>
        <w:rPr>
          <w:i/>
          <w:iCs/>
        </w:rPr>
        <w:t>Brentwood</w:t>
      </w:r>
      <w:r>
        <w:t xml:space="preserve">, 531 U.S. at 296 (quoting </w:t>
      </w:r>
      <w:r>
        <w:rPr>
          <w:i/>
          <w:iCs/>
        </w:rPr>
        <w:t>Evans v. Newton</w:t>
      </w:r>
      <w:r>
        <w:t>, 382 U.S. 296, 299, 301 (1966))).</w:t>
      </w:r>
    </w:p>
  </w:footnote>
  <w:footnote w:id="20">
    <w:p w:rsidR="00721160" w:rsidRDefault="00721160">
      <w:pPr>
        <w:spacing w:after="240"/>
        <w:ind w:firstLine="720"/>
      </w:pPr>
      <w:r>
        <w:rPr>
          <w:rStyle w:val="FootnoteReference"/>
          <w:vertAlign w:val="superscript"/>
        </w:rPr>
        <w:footnoteRef/>
      </w:r>
      <w:r>
        <w:t xml:space="preserve">  Special problems may arise if the public employee in question has a professional obligation to someone other than the government.  </w:t>
      </w:r>
      <w:r>
        <w:rPr>
          <w:i/>
          <w:iCs/>
        </w:rPr>
        <w:t>Compare, e.g.</w:t>
      </w:r>
      <w:r>
        <w:t xml:space="preserve">, </w:t>
      </w:r>
      <w:r>
        <w:rPr>
          <w:i/>
          <w:iCs/>
        </w:rPr>
        <w:t>West v. Atkins</w:t>
      </w:r>
      <w:r>
        <w:t>, 487 U.S. 42, 43, 54 (1988) (holding that “a physician who is under contract with the State to provide medical services to inmates at a state</w:t>
      </w:r>
      <w:r>
        <w:noBreakHyphen/>
        <w:t>prison hospital on a part</w:t>
      </w:r>
      <w:r>
        <w:noBreakHyphen/>
        <w:t xml:space="preserve">time basis acts ‘under color of state law,’ within the meaning of 42 U.S.C. § 1983, when he treats an inmate”) </w:t>
      </w:r>
      <w:r>
        <w:rPr>
          <w:i/>
          <w:iCs/>
        </w:rPr>
        <w:t>with Polk County v. Dodson</w:t>
      </w:r>
      <w:r>
        <w:t>, 454 U.S. 312, 317 n.4 (1981) (“[A] public defender does not act under color of state law when performing the traditional functions of counsel to a criminal defendant.”).</w:t>
      </w:r>
    </w:p>
  </w:footnote>
  <w:footnote w:id="21">
    <w:p w:rsidR="00721160" w:rsidRDefault="00721160">
      <w:pPr>
        <w:spacing w:after="240"/>
        <w:ind w:firstLine="720"/>
      </w:pPr>
      <w:r>
        <w:rPr>
          <w:rStyle w:val="FootnoteReference"/>
          <w:vertAlign w:val="superscript"/>
        </w:rPr>
        <w:footnoteRef/>
      </w:r>
      <w:r>
        <w:t xml:space="preserve">  The court should take care not to narrow the jury’s focus; the jury should be instructed to consider all relevant circumstances.  </w:t>
      </w:r>
      <w:r>
        <w:rPr>
          <w:i/>
          <w:iCs/>
        </w:rPr>
        <w:t>See Harvey v. Plains Twp. Police Dep’t</w:t>
      </w:r>
      <w:r>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2">
    <w:p w:rsidR="00721160" w:rsidRDefault="00721160">
      <w:pPr>
        <w:spacing w:after="240"/>
        <w:ind w:firstLine="720"/>
      </w:pPr>
      <w:r>
        <w:rPr>
          <w:rStyle w:val="FootnoteReference"/>
          <w:vertAlign w:val="superscript"/>
        </w:rPr>
        <w:footnoteRef/>
      </w:r>
      <w:r>
        <w:t xml:space="preserve">  For an instruction concerning the contention that a private defendant acted under color of state law by conspiring with a state official, see Instruction 4.4.3.</w:t>
      </w:r>
    </w:p>
  </w:footnote>
  <w:footnote w:id="23">
    <w:p w:rsidR="00721160" w:rsidRDefault="00721160">
      <w:pPr>
        <w:spacing w:after="240"/>
        <w:ind w:firstLine="720"/>
      </w:pPr>
      <w:r>
        <w:rPr>
          <w:rStyle w:val="FootnoteReference"/>
          <w:vertAlign w:val="superscript"/>
        </w:rPr>
        <w:footnoteRef/>
      </w:r>
      <w:r>
        <w:t xml:space="preserve">  </w:t>
      </w:r>
      <w:r>
        <w:rPr>
          <w:i/>
          <w:iCs/>
        </w:rPr>
        <w:t>Compare, e.g.</w:t>
      </w:r>
      <w:r>
        <w:t xml:space="preserve">, </w:t>
      </w:r>
      <w:r>
        <w:rPr>
          <w:i/>
          <w:iCs/>
        </w:rPr>
        <w:t>Barna v. City of Perth Amboy</w:t>
      </w:r>
      <w:r>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Pr>
          <w:i/>
          <w:iCs/>
        </w:rPr>
        <w:t>with Black v. Stephens</w:t>
      </w:r>
      <w:r>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Pr>
          <w:i/>
          <w:iCs/>
        </w:rPr>
        <w:t>see also Paul v. Davis</w:t>
      </w:r>
      <w:r>
        <w:t>, 424 U.S. 693, 717 (1976) (Brennan, J., joined by Marshall, J., and in relevant part by White, J., dissenting) (“[A]n off</w:t>
      </w:r>
      <w:r>
        <w:noBreakHyphen/>
        <w:t>duty policeman's discipline of his own children, for example, would not constitute conduct ‘under color of’ law.”).</w:t>
      </w:r>
    </w:p>
  </w:footnote>
  <w:footnote w:id="24">
    <w:p w:rsidR="00721160" w:rsidRDefault="00721160">
      <w:pPr>
        <w:spacing w:after="240"/>
        <w:ind w:firstLine="720"/>
      </w:pPr>
      <w:r>
        <w:rPr>
          <w:rStyle w:val="FootnoteReference"/>
          <w:vertAlign w:val="superscript"/>
        </w:rPr>
        <w:footnoteRef/>
      </w:r>
      <w:r>
        <w:t xml:space="preserve">  “[G]enerally, a public employee acts under color of state law while acting in his official capacity or while exercising his responsibilities pursuant to state law.”  </w:t>
      </w:r>
      <w:r>
        <w:rPr>
          <w:i/>
          <w:iCs/>
        </w:rPr>
        <w:t>West</w:t>
      </w:r>
      <w:r>
        <w:t>, 487 U.S. at 50.</w:t>
      </w:r>
    </w:p>
  </w:footnote>
  <w:footnote w:id="25">
    <w:p w:rsidR="00721160" w:rsidRDefault="00721160">
      <w:pPr>
        <w:spacing w:after="240"/>
        <w:ind w:firstLine="720"/>
      </w:pPr>
      <w:r>
        <w:rPr>
          <w:rStyle w:val="FootnoteReference"/>
          <w:vertAlign w:val="superscript"/>
        </w:rPr>
        <w:footnoteRef/>
      </w:r>
      <w:r>
        <w:t xml:space="preserve">  “[O]ff</w:t>
      </w:r>
      <w:r>
        <w:noBreakHyphen/>
        <w:t xml:space="preserve">duty police officers who flash a badge or otherwise purport to exercise official authority generally act under color of law.”  </w:t>
      </w:r>
      <w:r>
        <w:rPr>
          <w:i/>
          <w:iCs/>
        </w:rPr>
        <w:t>Bonenberger v. Plymouth Tp.</w:t>
      </w:r>
      <w:r>
        <w:t>, 132 F.3d 20, 24 (3d Cir. 1997).</w:t>
      </w:r>
    </w:p>
  </w:footnote>
  <w:footnote w:id="26">
    <w:p w:rsidR="00721160" w:rsidRDefault="00721160">
      <w:pPr>
        <w:spacing w:after="240"/>
        <w:ind w:firstLine="720"/>
      </w:pPr>
      <w:r>
        <w:rPr>
          <w:rStyle w:val="FootnoteReference"/>
          <w:vertAlign w:val="superscript"/>
        </w:rPr>
        <w:footnoteRef/>
      </w:r>
      <w:r>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Pr>
          <w:i/>
          <w:iCs/>
        </w:rPr>
        <w:t>Bonenberger</w:t>
      </w:r>
      <w:r>
        <w:t>, 132 F.3d at 24.</w:t>
      </w:r>
    </w:p>
  </w:footnote>
  <w:footnote w:id="27">
    <w:p w:rsidR="00721160" w:rsidRDefault="00721160">
      <w:pPr>
        <w:spacing w:after="240"/>
        <w:ind w:firstLine="720"/>
      </w:pPr>
      <w:r>
        <w:rPr>
          <w:rStyle w:val="FootnoteReference"/>
          <w:vertAlign w:val="superscript"/>
        </w:rPr>
        <w:footnoteRef/>
      </w:r>
      <w:r>
        <w:t xml:space="preserve"> </w:t>
      </w:r>
      <w:r>
        <w:rPr>
          <w:i/>
          <w:iCs/>
        </w:rPr>
        <w:t>See</w:t>
      </w:r>
      <w:r>
        <w:t xml:space="preserve"> </w:t>
      </w:r>
      <w:r>
        <w:rPr>
          <w:i/>
          <w:iCs/>
        </w:rPr>
        <w:t>Torres v. Cruz</w:t>
      </w:r>
      <w:r>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8">
    <w:p w:rsidR="00721160" w:rsidRDefault="00721160">
      <w:pPr>
        <w:spacing w:after="240"/>
        <w:ind w:firstLine="720"/>
      </w:pPr>
      <w:r>
        <w:rPr>
          <w:rStyle w:val="FootnoteReference"/>
          <w:vertAlign w:val="superscript"/>
        </w:rPr>
        <w:footnoteRef/>
      </w:r>
      <w:r>
        <w:t xml:space="preserve">  </w:t>
      </w:r>
      <w:r>
        <w:rPr>
          <w:i/>
          <w:iCs/>
        </w:rPr>
        <w:t>See</w:t>
      </w:r>
      <w:r>
        <w:t xml:space="preserve"> </w:t>
      </w:r>
      <w:r>
        <w:rPr>
          <w:i/>
          <w:iCs/>
        </w:rPr>
        <w:t>Basista v. Weir</w:t>
      </w:r>
      <w:r>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29">
    <w:p w:rsidR="00721160" w:rsidRDefault="00721160">
      <w:pPr>
        <w:spacing w:after="240"/>
        <w:ind w:firstLine="720"/>
      </w:pPr>
      <w:r>
        <w:rPr>
          <w:rStyle w:val="FootnoteReference"/>
          <w:vertAlign w:val="superscript"/>
        </w:rPr>
        <w:footnoteRef/>
      </w:r>
      <w:r>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Pr>
          <w:i/>
          <w:iCs/>
        </w:rPr>
        <w:t>Barna v. City of Perth Amboy</w:t>
      </w:r>
      <w:r>
        <w:t>, 42 F.3d 809, 816 (3d Cir. 1994).</w:t>
      </w:r>
    </w:p>
  </w:footnote>
  <w:footnote w:id="30">
    <w:p w:rsidR="00721160" w:rsidRDefault="00721160">
      <w:pPr>
        <w:spacing w:after="240"/>
        <w:ind w:firstLine="720"/>
      </w:pPr>
      <w:r>
        <w:rPr>
          <w:rStyle w:val="FootnoteReference"/>
          <w:vertAlign w:val="superscript"/>
        </w:rPr>
        <w:footnoteRef/>
      </w:r>
      <w:r>
        <w:t xml:space="preserve">  </w:t>
      </w:r>
      <w:r>
        <w:rPr>
          <w:i/>
          <w:iCs/>
        </w:rPr>
        <w:t>See id.</w:t>
      </w:r>
      <w:r>
        <w:t xml:space="preserve"> at 816-17.</w:t>
      </w:r>
    </w:p>
  </w:footnote>
  <w:footnote w:id="31">
    <w:p w:rsidR="00721160" w:rsidRDefault="00721160">
      <w:pPr>
        <w:spacing w:after="240"/>
        <w:ind w:firstLine="720"/>
      </w:pPr>
      <w:r>
        <w:rPr>
          <w:rStyle w:val="FootnoteReference"/>
          <w:vertAlign w:val="superscript"/>
        </w:rPr>
        <w:footnoteRef/>
      </w:r>
      <w:r>
        <w:t xml:space="preserve">  </w:t>
      </w:r>
      <w:r>
        <w:rPr>
          <w:i/>
          <w:iCs/>
        </w:rPr>
        <w:t>See</w:t>
      </w:r>
      <w:r>
        <w:t xml:space="preserve"> </w:t>
      </w:r>
      <w:r>
        <w:rPr>
          <w:i/>
          <w:iCs/>
        </w:rPr>
        <w:t>Griffin v. Maryland</w:t>
      </w:r>
      <w:r>
        <w:t>, 378 U.S. 130, 135 (1964).</w:t>
      </w:r>
    </w:p>
  </w:footnote>
  <w:footnote w:id="32">
    <w:p w:rsidR="00721160" w:rsidRDefault="00721160">
      <w:pPr>
        <w:spacing w:after="240"/>
        <w:ind w:firstLine="720"/>
      </w:pPr>
      <w:r>
        <w:rPr>
          <w:rStyle w:val="FootnoteReference"/>
          <w:vertAlign w:val="superscript"/>
        </w:rPr>
        <w:footnoteRef/>
      </w:r>
      <w:r>
        <w:t xml:space="preserve">  </w:t>
      </w:r>
      <w:r>
        <w:rPr>
          <w:i/>
          <w:iCs/>
        </w:rPr>
        <w:t>See</w:t>
      </w:r>
      <w:r>
        <w:t xml:space="preserve"> </w:t>
      </w:r>
      <w:r>
        <w:rPr>
          <w:i/>
          <w:iCs/>
        </w:rPr>
        <w:t>Abraham v. Raso</w:t>
      </w:r>
      <w:r>
        <w:t>, 183 F.3d 279, 287 (3d Cir. 1999).</w:t>
      </w:r>
    </w:p>
  </w:footnote>
  <w:footnote w:id="33">
    <w:p w:rsidR="00721160" w:rsidRDefault="00721160">
      <w:pPr>
        <w:spacing w:after="240"/>
        <w:ind w:firstLine="720"/>
      </w:pPr>
      <w:r>
        <w:rPr>
          <w:rStyle w:val="FootnoteReference"/>
          <w:vertAlign w:val="superscript"/>
        </w:rPr>
        <w:footnoteRef/>
      </w:r>
      <w:r>
        <w:t xml:space="preserve">  </w:t>
      </w:r>
      <w:r>
        <w:rPr>
          <w:i/>
          <w:iCs/>
        </w:rPr>
        <w:t>See Bonenberger</w:t>
      </w:r>
      <w:r>
        <w:t>, 132 F.3d at 24.</w:t>
      </w:r>
    </w:p>
  </w:footnote>
  <w:footnote w:id="34">
    <w:p w:rsidR="00721160" w:rsidRDefault="00721160">
      <w:pPr>
        <w:spacing w:after="240"/>
        <w:ind w:firstLine="720"/>
      </w:pPr>
      <w:r>
        <w:rPr>
          <w:rStyle w:val="FootnoteReference"/>
          <w:vertAlign w:val="superscript"/>
        </w:rPr>
        <w:footnoteRef/>
      </w:r>
      <w:r>
        <w:t xml:space="preserve">  “While a police</w:t>
      </w:r>
      <w:r>
        <w:noBreakHyphen/>
        <w:t>officer's use of a state</w:t>
      </w:r>
      <w:r>
        <w:noBreakHyphen/>
        <w:t xml:space="preserve">issue weapon in the pursuit of private activities will have ‘furthered’ the § 1983 violation in a literal sense, courts generally require additional indicia of state authority to conclude that the officer acted under color of state law.”  </w:t>
      </w:r>
      <w:r>
        <w:rPr>
          <w:i/>
          <w:iCs/>
        </w:rPr>
        <w:t>Barna</w:t>
      </w:r>
      <w:r>
        <w:t xml:space="preserve">, 42 F.3d at 817; </w:t>
      </w:r>
      <w:r>
        <w:rPr>
          <w:i/>
          <w:iCs/>
        </w:rPr>
        <w:t xml:space="preserve">see also id. </w:t>
      </w:r>
      <w:r>
        <w:t>at 818 (holding that “the unauthorized use of a police</w:t>
      </w:r>
      <w:r>
        <w:noBreakHyphen/>
        <w:t>issue nightstick is simply not enough to color this clearly personal family dispute with the imprimatur of state authority”).</w:t>
      </w:r>
    </w:p>
  </w:footnote>
  <w:footnote w:id="35">
    <w:p w:rsidR="00721160" w:rsidRDefault="00721160">
      <w:pPr>
        <w:spacing w:after="240"/>
        <w:ind w:firstLine="720"/>
      </w:pPr>
      <w:r>
        <w:rPr>
          <w:rStyle w:val="FootnoteReference"/>
          <w:vertAlign w:val="superscript"/>
        </w:rPr>
        <w:footnoteRef/>
      </w:r>
      <w:r>
        <w:t xml:space="preserve">  </w:t>
      </w:r>
      <w:r>
        <w:rPr>
          <w:i/>
          <w:iCs/>
        </w:rPr>
        <w:t>Rodriguez v. City of Paterson</w:t>
      </w:r>
      <w:r>
        <w:t>, 1995 WL 363710, at *3 (D.N.J. June 13, 1995) (fact that defendant was equipped with police radio was relevant to question of action under color of state law).</w:t>
      </w:r>
    </w:p>
  </w:footnote>
  <w:footnote w:id="36">
    <w:p w:rsidR="00721160" w:rsidRDefault="00721160">
      <w:pPr>
        <w:spacing w:after="240"/>
        <w:ind w:firstLine="720"/>
      </w:pPr>
      <w:r>
        <w:rPr>
          <w:rStyle w:val="FootnoteReference"/>
          <w:vertAlign w:val="superscript"/>
        </w:rPr>
        <w:footnoteRef/>
      </w:r>
      <w:r>
        <w:t xml:space="preserve">  </w:t>
      </w:r>
      <w:r>
        <w:rPr>
          <w:i/>
          <w:iCs/>
        </w:rPr>
        <w:t>See Griffin</w:t>
      </w:r>
      <w:r>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Pr>
          <w:i/>
          <w:iCs/>
        </w:rPr>
        <w:t>Abraham</w:t>
      </w:r>
      <w:r>
        <w:t>, 183 F.3d at 287 (“[E]ven though Raso was working off duty as a security guard, she was acting under color of state law: she was wearing a police uniform, ordered Abraham repeatedly to stop, and sought to arrest him.”).</w:t>
      </w:r>
    </w:p>
  </w:footnote>
  <w:footnote w:id="37">
    <w:p w:rsidR="00721160" w:rsidRDefault="00721160">
      <w:pPr>
        <w:spacing w:after="240"/>
        <w:ind w:firstLine="720"/>
      </w:pPr>
      <w:r>
        <w:rPr>
          <w:rStyle w:val="FootnoteReference"/>
          <w:vertAlign w:val="superscript"/>
        </w:rPr>
        <w:footnoteRef/>
      </w:r>
      <w:r>
        <w:rPr>
          <w:i/>
          <w:iCs/>
        </w:rPr>
        <w:t xml:space="preserve">  West</w:t>
      </w:r>
      <w:r>
        <w:t>, 487 U.S. at 50.</w:t>
      </w:r>
    </w:p>
  </w:footnote>
  <w:footnote w:id="38">
    <w:p w:rsidR="00721160" w:rsidRDefault="00721160">
      <w:pPr>
        <w:spacing w:after="240"/>
        <w:ind w:firstLine="720"/>
      </w:pPr>
      <w:r>
        <w:rPr>
          <w:rStyle w:val="FootnoteReference"/>
          <w:vertAlign w:val="superscript"/>
        </w:rPr>
        <w:footnoteRef/>
      </w:r>
      <w:r>
        <w:t xml:space="preserve">  </w:t>
      </w:r>
      <w:r>
        <w:rPr>
          <w:i/>
          <w:iCs/>
        </w:rPr>
        <w:t>Bonenberger</w:t>
      </w:r>
      <w:r>
        <w:t>, 132 F.3d at 24.</w:t>
      </w:r>
    </w:p>
  </w:footnote>
  <w:footnote w:id="39">
    <w:p w:rsidR="00721160" w:rsidRDefault="00721160">
      <w:pPr>
        <w:spacing w:after="240"/>
        <w:ind w:firstLine="720"/>
      </w:pPr>
      <w:r>
        <w:rPr>
          <w:rStyle w:val="FootnoteReference"/>
          <w:vertAlign w:val="superscript"/>
        </w:rPr>
        <w:footnoteRef/>
      </w:r>
      <w:r>
        <w:rPr>
          <w:i/>
          <w:iCs/>
        </w:rPr>
        <w:t xml:space="preserve">  Bonenberger</w:t>
      </w:r>
      <w:r>
        <w:t>, 132 F.3d at 24.</w:t>
      </w:r>
    </w:p>
  </w:footnote>
  <w:footnote w:id="40">
    <w:p w:rsidR="00721160" w:rsidRDefault="00721160">
      <w:pPr>
        <w:spacing w:after="240"/>
        <w:ind w:firstLine="720"/>
      </w:pPr>
      <w:r>
        <w:rPr>
          <w:rStyle w:val="FootnoteReference"/>
          <w:vertAlign w:val="superscript"/>
        </w:rPr>
        <w:footnoteRef/>
      </w:r>
      <w:r>
        <w:rPr>
          <w:i/>
          <w:iCs/>
        </w:rPr>
        <w:t xml:space="preserve">  Basista</w:t>
      </w:r>
      <w:r>
        <w:t>, 340 F.2d at 80-81.</w:t>
      </w:r>
    </w:p>
  </w:footnote>
  <w:footnote w:id="41">
    <w:p w:rsidR="00721160" w:rsidRDefault="00721160">
      <w:pPr>
        <w:spacing w:after="240"/>
        <w:ind w:firstLine="720"/>
      </w:pPr>
      <w:r>
        <w:rPr>
          <w:rStyle w:val="FootnoteReference"/>
          <w:vertAlign w:val="superscript"/>
        </w:rPr>
        <w:footnoteRef/>
      </w:r>
      <w:r>
        <w:t xml:space="preserve">  </w:t>
      </w:r>
      <w:r>
        <w:rPr>
          <w:i/>
          <w:iCs/>
        </w:rPr>
        <w:t>Barna v. City of Perth Amboy</w:t>
      </w:r>
      <w:r>
        <w:t xml:space="preserve">, 42 F.3d 809, 816 (3d Cir. 1994).  </w:t>
      </w:r>
      <w:r>
        <w:rPr>
          <w:i/>
          <w:iCs/>
        </w:rPr>
        <w:t>See also Galena v. Leone</w:t>
      </w:r>
      <w:r>
        <w:t xml:space="preserve">, 638 F.3d 186, 197 (3d Cir. 2011) (citing </w:t>
      </w:r>
      <w:r>
        <w:rPr>
          <w:i/>
          <w:iCs/>
        </w:rPr>
        <w:t>Barna</w:t>
      </w:r>
      <w:r>
        <w:t> and stating that “there is no doubt that Leone was acting under color of state law when, in his official capacity as chairperson of the Council, he ordered the deputy sheriff to escort Galena from the Council meeting”).</w:t>
      </w:r>
    </w:p>
  </w:footnote>
  <w:footnote w:id="42">
    <w:p w:rsidR="00721160" w:rsidRDefault="00721160">
      <w:pPr>
        <w:spacing w:after="240"/>
        <w:ind w:firstLine="720"/>
      </w:pPr>
      <w:r>
        <w:rPr>
          <w:rStyle w:val="FootnoteReference"/>
          <w:vertAlign w:val="superscript"/>
        </w:rPr>
        <w:footnoteRef/>
      </w:r>
      <w:r>
        <w:t xml:space="preserve">  </w:t>
      </w:r>
      <w:r>
        <w:rPr>
          <w:i/>
          <w:iCs/>
        </w:rPr>
        <w:t>See id.</w:t>
      </w:r>
      <w:r>
        <w:t xml:space="preserve"> at 816-17.</w:t>
      </w:r>
    </w:p>
  </w:footnote>
  <w:footnote w:id="43">
    <w:p w:rsidR="00721160" w:rsidRDefault="00721160">
      <w:pPr>
        <w:spacing w:after="240"/>
        <w:ind w:firstLine="720"/>
      </w:pPr>
      <w:r>
        <w:rPr>
          <w:rStyle w:val="FootnoteReference"/>
          <w:vertAlign w:val="superscript"/>
        </w:rPr>
        <w:footnoteRef/>
      </w:r>
      <w:r>
        <w:t xml:space="preserve">  </w:t>
      </w:r>
      <w:r>
        <w:rPr>
          <w:i/>
          <w:iCs/>
        </w:rPr>
        <w:t>See Griffin</w:t>
      </w:r>
      <w:r>
        <w:t>, 378 U.S. at 135.</w:t>
      </w:r>
    </w:p>
  </w:footnote>
  <w:footnote w:id="44">
    <w:p w:rsidR="00721160" w:rsidRDefault="00721160">
      <w:pPr>
        <w:spacing w:after="240"/>
        <w:ind w:firstLine="720"/>
      </w:pPr>
      <w:r>
        <w:rPr>
          <w:rStyle w:val="FootnoteReference"/>
          <w:vertAlign w:val="superscript"/>
        </w:rPr>
        <w:footnoteRef/>
      </w:r>
      <w:r>
        <w:t xml:space="preserve">  </w:t>
      </w:r>
      <w:r>
        <w:rPr>
          <w:i/>
          <w:iCs/>
        </w:rPr>
        <w:t>See Abraham</w:t>
      </w:r>
      <w:r>
        <w:t>, 183 F.3d at 287.</w:t>
      </w:r>
    </w:p>
  </w:footnote>
  <w:footnote w:id="45">
    <w:p w:rsidR="00721160" w:rsidRDefault="00721160">
      <w:pPr>
        <w:spacing w:after="240"/>
        <w:ind w:firstLine="720"/>
      </w:pPr>
      <w:r>
        <w:rPr>
          <w:rStyle w:val="FootnoteReference"/>
          <w:vertAlign w:val="superscript"/>
        </w:rPr>
        <w:footnoteRef/>
      </w:r>
      <w:r>
        <w:t xml:space="preserve">  </w:t>
      </w:r>
      <w:r>
        <w:rPr>
          <w:i/>
          <w:iCs/>
        </w:rPr>
        <w:t>See Bonenberger</w:t>
      </w:r>
      <w:r>
        <w:t>, 132 F.3d at 24.</w:t>
      </w:r>
    </w:p>
  </w:footnote>
  <w:footnote w:id="46">
    <w:p w:rsidR="00721160" w:rsidRDefault="00721160">
      <w:pPr>
        <w:spacing w:after="240"/>
        <w:ind w:firstLine="720"/>
      </w:pPr>
      <w:r>
        <w:rPr>
          <w:rStyle w:val="FootnoteReference"/>
          <w:vertAlign w:val="superscript"/>
        </w:rPr>
        <w:footnoteRef/>
      </w:r>
      <w:r>
        <w:t xml:space="preserve">  If the private person hires the state official to do the act that constitutes the violation, and the state official agrees to be hired for that purpose, then this constitutes action under color of state law under the conspiracy theory.  </w:t>
      </w:r>
      <w:r>
        <w:rPr>
          <w:i/>
          <w:iCs/>
        </w:rPr>
        <w:t>See</w:t>
      </w:r>
      <w:r>
        <w:t xml:space="preserve"> </w:t>
      </w:r>
      <w:r>
        <w:rPr>
          <w:i/>
          <w:iCs/>
        </w:rPr>
        <w:t>Abbott v. Latshaw</w:t>
      </w:r>
      <w:r>
        <w:t xml:space="preserve">, 164 F.3d 141, 147-48 (3d Cir. 1998). </w:t>
      </w:r>
    </w:p>
  </w:footnote>
  <w:footnote w:id="47">
    <w:p w:rsidR="00721160" w:rsidRDefault="00721160">
      <w:pPr>
        <w:spacing w:after="240"/>
        <w:ind w:firstLine="720"/>
      </w:pPr>
      <w:r>
        <w:rPr>
          <w:rStyle w:val="FootnoteReference"/>
          <w:vertAlign w:val="superscript"/>
        </w:rPr>
        <w:footnoteRef/>
      </w:r>
      <w:r>
        <w:t xml:space="preserve">  </w:t>
      </w:r>
      <w:r>
        <w:rPr>
          <w:i/>
          <w:iCs/>
        </w:rPr>
        <w:t>See, e.g.</w:t>
      </w:r>
      <w:r>
        <w:t xml:space="preserve">, </w:t>
      </w:r>
      <w:r>
        <w:rPr>
          <w:i/>
          <w:iCs/>
        </w:rPr>
        <w:t>Victory Outreach Center v. Melso</w:t>
      </w:r>
      <w:r>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Pr>
          <w:i/>
          <w:iCs/>
        </w:rPr>
        <w:t>Taylor v. Plousis</w:t>
      </w:r>
      <w:r>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Pr>
          <w:i/>
          <w:iCs/>
        </w:rPr>
        <w:t>Miller v. City of Philadelphia</w:t>
      </w:r>
      <w:r>
        <w:t>, 1996 WL 683827, at *3 (E.D.Pa. Nov. 25, 1996) (holding respondeat superior liability unavailable, and stating that “most courts that have addressed the issue have concluded that private corporations cannot be vicariously liable under § 1983").</w:t>
      </w:r>
    </w:p>
  </w:footnote>
  <w:footnote w:id="48">
    <w:p w:rsidR="00721160" w:rsidRDefault="00721160">
      <w:pPr>
        <w:spacing w:after="240"/>
        <w:ind w:firstLine="720"/>
      </w:pPr>
      <w:r>
        <w:rPr>
          <w:rStyle w:val="FootnoteReference"/>
          <w:vertAlign w:val="superscript"/>
        </w:rPr>
        <w:footnoteRef/>
      </w:r>
      <w:r>
        <w:t xml:space="preserve">  </w:t>
      </w:r>
      <w:r>
        <w:rPr>
          <w:i/>
          <w:iCs/>
        </w:rPr>
        <w:t>Cf. Thomas v. Zinkel</w:t>
      </w:r>
      <w:r>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49">
    <w:p w:rsidR="00721160" w:rsidRDefault="00721160">
      <w:pPr>
        <w:spacing w:after="240"/>
        <w:ind w:firstLine="720"/>
      </w:pPr>
      <w:r>
        <w:rPr>
          <w:rStyle w:val="FootnoteReference"/>
          <w:vertAlign w:val="superscript"/>
        </w:rPr>
        <w:footnoteRef/>
      </w:r>
      <w:r>
        <w:t xml:space="preserve">  This discussion assumes that the state official acts under color of state law when he commits the violation.</w:t>
      </w:r>
    </w:p>
  </w:footnote>
  <w:footnote w:id="50">
    <w:p w:rsidR="00721160" w:rsidRDefault="00721160">
      <w:pPr>
        <w:spacing w:after="240"/>
        <w:ind w:firstLine="720"/>
      </w:pPr>
      <w:r>
        <w:rPr>
          <w:rStyle w:val="FootnoteReference"/>
          <w:vertAlign w:val="superscript"/>
        </w:rPr>
        <w:footnoteRef/>
      </w:r>
      <w:r>
        <w:t xml:space="preserve">  The </w:t>
      </w:r>
      <w:r>
        <w:rPr>
          <w:i/>
          <w:iCs/>
        </w:rPr>
        <w:t>Tarkanian</w:t>
      </w:r>
      <w:r>
        <w:t xml:space="preserve"> majority indicated that the NCAA’s directive to UNLV, and the fact that UNLV decided to follow that directive, did not establish that the NCAA and UNLV conspired (for purposes of showing that the NCAA acted under color of state law).  </w:t>
      </w:r>
      <w:r>
        <w:rPr>
          <w:i/>
          <w:iCs/>
        </w:rPr>
        <w:t>See Tarkanian</w:t>
      </w:r>
      <w:r>
        <w:t>, 488 U.S. at 197 n.17.</w:t>
      </w:r>
    </w:p>
  </w:footnote>
  <w:footnote w:id="51">
    <w:p w:rsidR="00721160" w:rsidRDefault="00721160">
      <w:pPr>
        <w:spacing w:after="240"/>
        <w:ind w:firstLine="720"/>
      </w:pPr>
      <w:r>
        <w:rPr>
          <w:rStyle w:val="FootnoteReference"/>
          <w:vertAlign w:val="superscript"/>
        </w:rPr>
        <w:footnoteRef/>
      </w:r>
      <w:r>
        <w:t xml:space="preserve">  In </w:t>
      </w:r>
      <w:r>
        <w:rPr>
          <w:i/>
          <w:iCs/>
        </w:rPr>
        <w:t>Cruz v. Donnelly</w:t>
      </w:r>
      <w:r>
        <w:t xml:space="preserve">, 727 F.2d 79 (3d Cir. 1984), “two police officers, acting at the request of [a private] company's employee, stripped and searched the plaintiff for stolen goods,”  </w:t>
      </w:r>
      <w:r>
        <w:rPr>
          <w:i/>
          <w:iCs/>
        </w:rPr>
        <w:t>id.</w:t>
      </w:r>
      <w:r>
        <w:t xml:space="preserve"> at 79.  Because the court in </w:t>
      </w:r>
      <w:r>
        <w:rPr>
          <w:i/>
          <w:iCs/>
        </w:rPr>
        <w:t>Cruz</w:t>
      </w:r>
      <w:r>
        <w:t xml:space="preserve"> found no indication that the store employee exercised control over the officers, </w:t>
      </w:r>
      <w:r>
        <w:rPr>
          <w:i/>
          <w:iCs/>
        </w:rPr>
        <w:t>Cruz</w:t>
      </w:r>
      <w:r>
        <w:t xml:space="preserve"> does not address the issue discussed in the text.  </w:t>
      </w:r>
      <w:r>
        <w:rPr>
          <w:i/>
          <w:iCs/>
        </w:rPr>
        <w:t xml:space="preserve">See id. </w:t>
      </w:r>
      <w:r>
        <w:t>at 81 (“Cruz' allegations depict only a police investigation that happens to follow the course suggested by comments from a complainant.”).</w:t>
      </w:r>
    </w:p>
  </w:footnote>
  <w:footnote w:id="52">
    <w:p w:rsidR="00721160" w:rsidRDefault="00721160">
      <w:pPr>
        <w:spacing w:after="240"/>
        <w:ind w:firstLine="720"/>
      </w:pPr>
      <w:r>
        <w:rPr>
          <w:rStyle w:val="FootnoteReference"/>
          <w:vertAlign w:val="superscript"/>
        </w:rPr>
        <w:footnoteRef/>
      </w:r>
      <w:r>
        <w:rPr>
          <w:i/>
          <w:iCs/>
        </w:rPr>
        <w:t xml:space="preserve">  See also Cruz</w:t>
      </w:r>
      <w:r>
        <w:t>, 727 F.2d at 81 (“[A] store and its employees cannot be held liable under § 1983 unless: (1) the police have a pre</w:t>
      </w:r>
      <w:r>
        <w:noBreakHyphen/>
        <w:t xml:space="preserve">arranged plan with the store; and (2) under the plan, the police will arrest anyone identified as a shoplifter by the store without independently evaluating the presence of probable cause.”); </w:t>
      </w:r>
      <w:r>
        <w:rPr>
          <w:i/>
          <w:iCs/>
        </w:rPr>
        <w:t>Max v. Republican Committee of Lancaster County</w:t>
      </w:r>
      <w:r>
        <w:t>, 587 F.3d 198, 203 (3d Cir. 2009) (“Even if we accept the premise that poll</w:t>
      </w:r>
      <w:r>
        <w:noBreakHyphen/>
        <w:t>workers are state actors while guarding the integrity of an election, the defendants here ... are not the poll</w:t>
      </w:r>
      <w:r>
        <w:noBreakHyphen/>
        <w:t>watchers. Defendants here are private parties.... At most, defendants used the poll</w:t>
      </w:r>
      <w:r>
        <w:noBreakHyphen/>
        <w:t>workers to obtain information. This is not the same as conspiring to violate Max's First Amendment rights.”).</w:t>
      </w:r>
    </w:p>
  </w:footnote>
  <w:footnote w:id="53">
    <w:p w:rsidR="00721160" w:rsidRDefault="00721160" w:rsidP="00514F00">
      <w:pPr>
        <w:ind w:firstLine="720"/>
      </w:pPr>
      <w:r>
        <w:rPr>
          <w:rStyle w:val="FootnoteReference"/>
          <w:vertAlign w:val="superscript"/>
        </w:rPr>
        <w:footnoteRef/>
      </w:r>
      <w:r>
        <w:t xml:space="preserve">  In </w:t>
      </w:r>
      <w:r>
        <w:rPr>
          <w:i/>
          <w:iCs/>
        </w:rPr>
        <w:t>Startzell v. City of Philadelphia</w:t>
      </w:r>
      <w:r>
        <w:t xml:space="preserve">, 533 F.3d 183 (3d Cir. 2008), the Court of Appeals upheld the grant of summary judgment dismissing conspiracy claims under 42 U.S.C. §§ 1983 and 1985 because the plaintiffs failed to show the required “meeting of the minds.”  </w:t>
      </w:r>
      <w:r>
        <w:rPr>
          <w:i/>
          <w:iCs/>
        </w:rPr>
        <w:t>See Startzell</w:t>
      </w:r>
      <w:r>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Pr>
          <w:i/>
          <w:iCs/>
        </w:rPr>
        <w:t>See also</w:t>
      </w:r>
      <w:r>
        <w:t> </w:t>
      </w:r>
      <w:r>
        <w:rPr>
          <w:i/>
          <w:iCs/>
        </w:rPr>
        <w:t>Great Western Mining &amp; Mineral Co. v. Fox Rothschild LLP</w:t>
      </w:r>
      <w:r>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4">
    <w:p w:rsidR="00721160" w:rsidRDefault="00721160" w:rsidP="00514F00">
      <w:pPr>
        <w:ind w:firstLine="720"/>
      </w:pPr>
      <w:r>
        <w:rPr>
          <w:rStyle w:val="FootnoteReference"/>
          <w:vertAlign w:val="superscript"/>
        </w:rPr>
        <w:footnoteRef/>
      </w:r>
      <w:r>
        <w:t xml:space="preserve">  For cases indicating that some or all of the Third Circuit’s supervisory-liability standards survive </w:t>
      </w:r>
      <w:r>
        <w:rPr>
          <w:i/>
          <w:iCs/>
        </w:rPr>
        <w:t>Iqbal</w:t>
      </w:r>
      <w:r>
        <w:t xml:space="preserve">, </w:t>
      </w:r>
      <w:r>
        <w:rPr>
          <w:i/>
          <w:iCs/>
        </w:rPr>
        <w:t>see, e.g.</w:t>
      </w:r>
      <w:r>
        <w:t xml:space="preserve">, </w:t>
      </w:r>
      <w:r>
        <w:rPr>
          <w:i/>
          <w:iCs/>
        </w:rPr>
        <w:t>McKenna v. City of Philadelphia</w:t>
      </w:r>
      <w:r>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Pr>
          <w:i/>
          <w:iCs/>
        </w:rPr>
        <w:t>Reedy v. Evanson</w:t>
      </w:r>
      <w:r>
        <w:t xml:space="preserve">, 615 F.3d 197, 231 (3d Cir. 2010) (applying the framework set by </w:t>
      </w:r>
      <w:r>
        <w:rPr>
          <w:i/>
          <w:iCs/>
        </w:rPr>
        <w:t>Baker v. Monroe Tp.</w:t>
      </w:r>
      <w:r>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Pr>
          <w:i/>
          <w:iCs/>
        </w:rPr>
        <w:t>Marrakush Soc. v. New Jersey State Police</w:t>
      </w:r>
      <w:r>
        <w:t>, 2009 WL 2366132, at *31 (D.N.J. July 30, 2009) (“Personal involvement can be asserted through allegations of facts showing that a defendant directed, had actual knowledge of, or acquiesced in, the deprivation of a plaintiff's constitutional rights.”).</w:t>
      </w:r>
    </w:p>
    <w:p w:rsidR="00721160" w:rsidRDefault="00721160"/>
    <w:p w:rsidR="00721160" w:rsidRDefault="00721160">
      <w:pPr>
        <w:spacing w:after="240"/>
        <w:ind w:firstLine="720"/>
      </w:pPr>
      <w:r>
        <w:t xml:space="preserve">For decisions that noted the question whether those standards survive </w:t>
      </w:r>
      <w:r>
        <w:rPr>
          <w:i/>
          <w:iCs/>
        </w:rPr>
        <w:t>Iqbal</w:t>
      </w:r>
      <w:r>
        <w:t xml:space="preserve">, see </w:t>
      </w:r>
      <w:r>
        <w:rPr>
          <w:i/>
          <w:iCs/>
        </w:rPr>
        <w:t>Santiago v. Warminster Twp.</w:t>
      </w:r>
      <w:r>
        <w:t xml:space="preserve">, 629 F.3d 121, 130 n.8 (3d Cir. 2010) (“Numerous courts, including this one, have expressed uncertainty as to the viability and scope of supervisory liability after </w:t>
      </w:r>
      <w:r>
        <w:rPr>
          <w:i/>
          <w:iCs/>
        </w:rPr>
        <w:t>Iqbal</w:t>
      </w:r>
      <w:r>
        <w:t xml:space="preserve">.... Because we hold that Santiago's pleadings fail even under our existing supervisory liability test, we need not decide whether </w:t>
      </w:r>
      <w:r>
        <w:rPr>
          <w:i/>
          <w:iCs/>
        </w:rPr>
        <w:t xml:space="preserve">Iqbal </w:t>
      </w:r>
      <w:r>
        <w:t xml:space="preserve">requires us to narrow the scope of that test.”); </w:t>
      </w:r>
      <w:r>
        <w:rPr>
          <w:i/>
          <w:iCs/>
        </w:rPr>
        <w:t>Argueta v. U.S. Immigration &amp; Customs Enforcement</w:t>
      </w:r>
      <w:r>
        <w:t xml:space="preserve">, 643 F.3d 60, 70 (3d Cir. 2011) (“To date, we have refrained from answering the question of whether </w:t>
      </w:r>
      <w:r>
        <w:rPr>
          <w:i/>
          <w:iCs/>
        </w:rPr>
        <w:t xml:space="preserve">Iqbal </w:t>
      </w:r>
      <w:r>
        <w:t>eliminated – or at least narrowed the scope of – supervisory liability because it was ultimately unnecessary to do so in order to dispose of the appeal then before us.... We likewise make the same choice here....”).</w:t>
      </w:r>
    </w:p>
  </w:footnote>
  <w:footnote w:id="55">
    <w:p w:rsidR="00721160" w:rsidRDefault="00721160">
      <w:pPr>
        <w:spacing w:after="240"/>
        <w:ind w:firstLine="720"/>
      </w:pPr>
      <w:r>
        <w:rPr>
          <w:rStyle w:val="FootnoteReference"/>
          <w:vertAlign w:val="superscript"/>
        </w:rPr>
        <w:footnoteRef/>
      </w:r>
      <w:r>
        <w:t xml:space="preserve">  </w:t>
      </w:r>
      <w:r>
        <w:rPr>
          <w:i/>
          <w:iCs/>
        </w:rPr>
        <w:t>Cf. Bayer v. Monroe County Children and Youth Services</w:t>
      </w:r>
      <w:r>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Pr>
          <w:i/>
          <w:iCs/>
        </w:rPr>
        <w:t>Iqbal</w:t>
      </w:r>
      <w:r>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6">
    <w:p w:rsidR="00721160" w:rsidRDefault="00721160">
      <w:pPr>
        <w:spacing w:after="240"/>
        <w:ind w:firstLine="720"/>
      </w:pPr>
      <w:r>
        <w:rPr>
          <w:rStyle w:val="FootnoteReference"/>
          <w:vertAlign w:val="superscript"/>
        </w:rPr>
        <w:footnoteRef/>
      </w:r>
      <w:r>
        <w:rPr>
          <w:i/>
          <w:iCs/>
        </w:rPr>
        <w:t xml:space="preserve">  Cf., e.g.</w:t>
      </w:r>
      <w:r>
        <w:t xml:space="preserve">, </w:t>
      </w:r>
      <w:r>
        <w:rPr>
          <w:i/>
          <w:iCs/>
        </w:rPr>
        <w:t>Horton v. City of Harrisburg</w:t>
      </w:r>
      <w:r>
        <w:t xml:space="preserve">, 2009 WL 2225386, at *5 (M.D.Pa. July 23, 2009) (“Supervisory liability under § 1983 utilizes the same standard as municipal liability. </w:t>
      </w:r>
      <w:r>
        <w:rPr>
          <w:i/>
          <w:iCs/>
        </w:rPr>
        <w:t xml:space="preserve">See Iqbal </w:t>
      </w:r>
      <w:r>
        <w:t>.... Therefore, a supervisor will only be liable for the acts of a subordinate if he fosters a policy or custom that amounts to deliberate indifference towards an individual's constitutional rights.”).</w:t>
      </w:r>
    </w:p>
  </w:footnote>
  <w:footnote w:id="57">
    <w:p w:rsidR="00721160" w:rsidRDefault="00721160">
      <w:pPr>
        <w:spacing w:after="240"/>
        <w:ind w:firstLine="720"/>
      </w:pPr>
      <w:r>
        <w:rPr>
          <w:rStyle w:val="FootnoteReference"/>
          <w:vertAlign w:val="superscript"/>
        </w:rPr>
        <w:footnoteRef/>
      </w:r>
      <w:r>
        <w:t xml:space="preserve">  In cases where the underlying constitutional violation requires a showing of purposeful discrimination, </w:t>
      </w:r>
      <w:r>
        <w:rPr>
          <w:i/>
          <w:iCs/>
        </w:rPr>
        <w:t>Iqbal</w:t>
      </w:r>
      <w:r>
        <w:t xml:space="preserve"> thus appears to heighten the standard for supervisors’ liability even under the first of the three theories described in Instruction 4.6.1.</w:t>
      </w:r>
    </w:p>
  </w:footnote>
  <w:footnote w:id="58">
    <w:p w:rsidR="00721160" w:rsidRDefault="00721160">
      <w:pPr>
        <w:spacing w:after="240"/>
        <w:ind w:firstLine="720"/>
      </w:pPr>
      <w:r>
        <w:rPr>
          <w:rStyle w:val="FootnoteReference"/>
          <w:vertAlign w:val="superscript"/>
        </w:rPr>
        <w:footnoteRef/>
      </w:r>
      <w:r>
        <w:t xml:space="preserve">  </w:t>
      </w:r>
      <w:r>
        <w:rPr>
          <w:i/>
          <w:iCs/>
        </w:rPr>
        <w:t>See Baker v. Monroe Tp.</w:t>
      </w:r>
      <w:r>
        <w:t>, 50 F.3d 1186, 1194 n.5 (3d Cir. 1995) (noting that “other circuits have developed broader standards for supervisory liability under section 1983”).</w:t>
      </w:r>
    </w:p>
  </w:footnote>
  <w:footnote w:id="59">
    <w:p w:rsidR="00721160" w:rsidRDefault="00721160">
      <w:pPr>
        <w:spacing w:after="240"/>
        <w:ind w:firstLine="720"/>
      </w:pPr>
      <w:r>
        <w:rPr>
          <w:rStyle w:val="FootnoteReference"/>
          <w:vertAlign w:val="superscript"/>
        </w:rPr>
        <w:footnoteRef/>
      </w:r>
      <w:r>
        <w:t xml:space="preserve">  When a supervisor with policymaking authority is sued on a failure-to-train theory, the standard appears to be the same as for municipal liability.  </w:t>
      </w:r>
      <w:r>
        <w:rPr>
          <w:i/>
          <w:iCs/>
        </w:rPr>
        <w:t>See</w:t>
      </w:r>
      <w:r>
        <w:t xml:space="preserve"> </w:t>
      </w:r>
      <w:r>
        <w:rPr>
          <w:i/>
          <w:iCs/>
        </w:rPr>
        <w:t>Gilles v. Davis</w:t>
      </w:r>
      <w:r>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Pr>
          <w:i/>
          <w:iCs/>
        </w:rPr>
        <w:t xml:space="preserve">see also infra </w:t>
      </w:r>
      <w:r>
        <w:t>Comment 4.6.7 (discussing municipal liability for failure to train).</w:t>
      </w:r>
    </w:p>
  </w:footnote>
  <w:footnote w:id="60">
    <w:p w:rsidR="00721160" w:rsidRDefault="00721160">
      <w:pPr>
        <w:spacing w:after="240"/>
        <w:ind w:firstLine="720"/>
      </w:pPr>
      <w:r>
        <w:rPr>
          <w:rStyle w:val="FootnoteReference"/>
          <w:vertAlign w:val="superscript"/>
        </w:rPr>
        <w:footnoteRef/>
      </w:r>
      <w:r>
        <w:t xml:space="preserve">  A suit against a municipal policymaking official in her official capacity is treated as a suit against the municipality.  </w:t>
      </w:r>
      <w:r>
        <w:rPr>
          <w:i/>
          <w:iCs/>
        </w:rPr>
        <w:t>See A.M. ex rel. J.M.K. v. Luzerne County Juvenile Detention Center</w:t>
      </w:r>
      <w:r>
        <w:t>, 372 F.3d 572, 580 (3d Cir. 2004).</w:t>
      </w:r>
    </w:p>
  </w:footnote>
  <w:footnote w:id="61">
    <w:p w:rsidR="00721160" w:rsidRDefault="00721160">
      <w:pPr>
        <w:spacing w:after="240"/>
        <w:ind w:firstLine="720"/>
      </w:pPr>
      <w:r>
        <w:rPr>
          <w:rStyle w:val="FootnoteReference"/>
          <w:vertAlign w:val="superscript"/>
        </w:rPr>
        <w:footnoteRef/>
      </w:r>
      <w:r>
        <w:t xml:space="preserve">    “</w:t>
      </w:r>
      <w:r>
        <w:rPr>
          <w:i/>
          <w:iCs/>
        </w:rPr>
        <w:t>Monell</w:t>
      </w:r>
      <w:r>
        <w:t xml:space="preserve">'s ‘policy or custom’ requirement applies in § 1983 cases irrespective of whether the relief sought is monetary or prospective.”  </w:t>
      </w:r>
      <w:r>
        <w:rPr>
          <w:i/>
          <w:iCs/>
        </w:rPr>
        <w:t>Los Angeles County v. Humphries</w:t>
      </w:r>
      <w:r>
        <w:t>, 131 S. Ct. 447, 453-54 (2010).</w:t>
      </w:r>
    </w:p>
  </w:footnote>
  <w:footnote w:id="62">
    <w:p w:rsidR="00721160" w:rsidRDefault="00721160">
      <w:pPr>
        <w:ind w:firstLine="720"/>
      </w:pPr>
      <w:r>
        <w:rPr>
          <w:rStyle w:val="FootnoteReference"/>
          <w:vertAlign w:val="superscript"/>
        </w:rPr>
        <w:footnoteRef/>
      </w:r>
      <w:r>
        <w:t xml:space="preserve">  </w:t>
      </w:r>
      <w:r>
        <w:rPr>
          <w:i/>
          <w:iCs/>
        </w:rPr>
        <w:t>See, e.g.</w:t>
      </w:r>
      <w:r>
        <w:t xml:space="preserve">, </w:t>
      </w:r>
      <w:r>
        <w:rPr>
          <w:i/>
          <w:iCs/>
        </w:rPr>
        <w:t>Startzell v. City of Philadelphia</w:t>
      </w:r>
      <w:r>
        <w:t>, 533 F.3d 183, 204 (3d Cir. 2008) (“Because</w:t>
      </w:r>
    </w:p>
    <w:p w:rsidR="00721160" w:rsidRDefault="00721160">
      <w:r>
        <w:t>we have found that there was no violation of Appellants' constitutional rights, we need not reach</w:t>
      </w:r>
    </w:p>
    <w:p w:rsidR="00721160" w:rsidRDefault="00721160">
      <w:pPr>
        <w:spacing w:after="240"/>
      </w:pPr>
      <w:r>
        <w:t>the claim against the City under Monell.”);</w:t>
      </w:r>
      <w:r w:rsidRPr="00C94BBF">
        <w:t xml:space="preserve"> </w:t>
      </w:r>
      <w:r w:rsidRPr="00C94BBF">
        <w:rPr>
          <w:i/>
        </w:rPr>
        <w:t>Mulholland v. Government County of Berks</w:t>
      </w:r>
      <w:r w:rsidRPr="00C94BBF">
        <w:t>, 706 F.3d 227, 238 n.15 (3d Cir. 2013) (“It is well-settled that, if there is no violation in the first place, there can be no derivative municipal claim.”); id. at 244 n.24 (“Given our disposition of the underlying substantive due process claim … we need not address the Monell analysis ….”).</w:t>
      </w:r>
    </w:p>
  </w:footnote>
  <w:footnote w:id="63">
    <w:p w:rsidR="00721160" w:rsidRDefault="00721160">
      <w:pPr>
        <w:spacing w:after="240"/>
        <w:ind w:firstLine="720"/>
      </w:pPr>
      <w:r>
        <w:rPr>
          <w:rStyle w:val="FootnoteReference"/>
          <w:vertAlign w:val="superscript"/>
        </w:rPr>
        <w:footnoteRef/>
      </w:r>
      <w:r>
        <w:t xml:space="preserve">  </w:t>
      </w:r>
      <w:r>
        <w:rPr>
          <w:i/>
          <w:iCs/>
        </w:rPr>
        <w:t>See McGreevy v. Stroup</w:t>
      </w:r>
      <w:r>
        <w:t>, 413 F.3d 359, 369 (3d Cir. 2005) (analyzing Pennsylvania law and concluding that “[b]ecause the school superintendent is a final policymaker with regard to ratings, his ratings and/or those of the school principal constitute official government policy”).</w:t>
      </w:r>
    </w:p>
  </w:footnote>
  <w:footnote w:id="64">
    <w:p w:rsidR="00721160" w:rsidRDefault="00721160">
      <w:pPr>
        <w:spacing w:after="240"/>
        <w:ind w:firstLine="720"/>
      </w:pPr>
      <w:r>
        <w:rPr>
          <w:rStyle w:val="FootnoteReference"/>
          <w:vertAlign w:val="superscript"/>
        </w:rPr>
        <w:footnoteRef/>
      </w:r>
      <w:r>
        <w:t xml:space="preserve">  In cases where the plaintiff must show deliberate indifference on the part of a policymaking official, this language should be modified accordingly.  See Comment.</w:t>
      </w:r>
    </w:p>
  </w:footnote>
  <w:footnote w:id="65">
    <w:p w:rsidR="00721160" w:rsidRDefault="00721160">
      <w:pPr>
        <w:spacing w:after="240"/>
        <w:ind w:firstLine="720"/>
      </w:pPr>
      <w:r>
        <w:rPr>
          <w:rStyle w:val="FootnoteReference"/>
          <w:vertAlign w:val="superscript"/>
        </w:rPr>
        <w:footnoteRef/>
      </w:r>
      <w:r>
        <w:t xml:space="preserve">  This language can be used if the plaintiff introduces evidence concerning a specific policymaking official.  For a discussion of whether the plaintiff must introduce such evidence, see Comment.</w:t>
      </w:r>
    </w:p>
  </w:footnote>
  <w:footnote w:id="66">
    <w:p w:rsidR="00721160" w:rsidRDefault="00721160">
      <w:pPr>
        <w:spacing w:after="240"/>
        <w:ind w:firstLine="720"/>
      </w:pPr>
      <w:r>
        <w:rPr>
          <w:rStyle w:val="FootnoteReference"/>
          <w:vertAlign w:val="superscript"/>
        </w:rPr>
        <w:footnoteRef/>
      </w:r>
      <w:r>
        <w:t xml:space="preserve">  “A § 1983 plaintiff . . . may be able to recover from a municipality without adducing evidence of an affirmative decision by policymakers if able to prove that the challenged action was pursuant to a state ‘custom or usage.’”  </w:t>
      </w:r>
      <w:r>
        <w:rPr>
          <w:i/>
          <w:iCs/>
        </w:rPr>
        <w:t>Pembaur v. City of Cincinnati</w:t>
      </w:r>
      <w:r>
        <w:t xml:space="preserve">, 475 U.S. 469, 481 n.10 (1986) (plurality opinion); </w:t>
      </w:r>
      <w:r>
        <w:rPr>
          <w:i/>
          <w:iCs/>
        </w:rPr>
        <w:t>see also Anela v. City of Wildwood</w:t>
      </w:r>
      <w:r>
        <w:t>, 790 F.2d 1063, 1069 (3d Cir. 1986) (“Even if the practices with respect to jail conditions also were followed without formal city action, it appears that they were the norm. The description of the cells revealed a long</w:t>
      </w:r>
      <w:r>
        <w:noBreakHyphen/>
        <w:t xml:space="preserve">standing condition that had become an acceptable standard and practice for the City.”). </w:t>
      </w:r>
    </w:p>
  </w:footnote>
  <w:footnote w:id="67">
    <w:p w:rsidR="00721160" w:rsidRPr="0033112A" w:rsidRDefault="00721160" w:rsidP="0033112A">
      <w:pPr>
        <w:pStyle w:val="FootnoteText"/>
        <w:ind w:firstLine="720"/>
        <w:rPr>
          <w:sz w:val="24"/>
          <w:szCs w:val="24"/>
        </w:rPr>
      </w:pPr>
      <w:r w:rsidRPr="0033112A">
        <w:rPr>
          <w:rStyle w:val="FootnoteReference"/>
          <w:sz w:val="24"/>
          <w:szCs w:val="24"/>
          <w:vertAlign w:val="superscript"/>
        </w:rPr>
        <w:footnoteRef/>
      </w:r>
      <w:r>
        <w:t xml:space="preserve"> </w:t>
      </w:r>
      <w:r w:rsidRPr="0033112A">
        <w:rPr>
          <w:sz w:val="24"/>
          <w:szCs w:val="24"/>
        </w:rPr>
        <w:t xml:space="preserve">In </w:t>
      </w:r>
      <w:r w:rsidRPr="0033112A">
        <w:rPr>
          <w:i/>
          <w:sz w:val="24"/>
          <w:szCs w:val="24"/>
        </w:rPr>
        <w:t>B.S. v. Somerset County</w:t>
      </w:r>
      <w:r w:rsidRPr="0033112A">
        <w:rPr>
          <w:sz w:val="24"/>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33112A">
        <w:rPr>
          <w:i/>
          <w:sz w:val="24"/>
          <w:szCs w:val="24"/>
        </w:rPr>
        <w:t>id</w:t>
      </w:r>
      <w:r w:rsidRPr="0033112A">
        <w:rPr>
          <w:sz w:val="24"/>
          <w:szCs w:val="24"/>
        </w:rPr>
        <w:t xml:space="preserve">. at 275.  The court of appeals held that there was no need to resolve “who the relevant policymaker was” because of the County’s “effective admission of a custom.”  </w:t>
      </w:r>
      <w:r w:rsidRPr="0033112A">
        <w:rPr>
          <w:i/>
          <w:sz w:val="24"/>
          <w:szCs w:val="24"/>
        </w:rPr>
        <w:t>Id</w:t>
      </w:r>
      <w:r w:rsidRPr="0033112A">
        <w:rPr>
          <w:sz w:val="24"/>
          <w:szCs w:val="24"/>
        </w:rPr>
        <w:t>. at 275 n.36.</w:t>
      </w:r>
    </w:p>
  </w:footnote>
  <w:footnote w:id="68">
    <w:p w:rsidR="00721160" w:rsidRDefault="00721160">
      <w:pPr>
        <w:ind w:firstLine="720"/>
      </w:pPr>
      <w:r>
        <w:rPr>
          <w:rStyle w:val="FootnoteReference"/>
          <w:vertAlign w:val="superscript"/>
        </w:rPr>
        <w:footnoteRef/>
      </w:r>
      <w:r>
        <w:t xml:space="preserve">  In </w:t>
      </w:r>
      <w:r>
        <w:rPr>
          <w:i/>
          <w:iCs/>
        </w:rPr>
        <w:t>Jett</w:t>
      </w:r>
      <w:r>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Pr>
          <w:i/>
          <w:iCs/>
        </w:rPr>
        <w:t>See id.</w:t>
      </w:r>
      <w:r>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Pr>
          <w:i/>
          <w:iCs/>
        </w:rPr>
        <w:t>Id.</w:t>
      </w:r>
      <w:r>
        <w:t xml:space="preserve"> at 737 (quoting </w:t>
      </w:r>
      <w:r>
        <w:rPr>
          <w:i/>
          <w:iCs/>
        </w:rPr>
        <w:t>Pembaur v. Cincinnati</w:t>
      </w:r>
      <w:r>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Pr>
          <w:i/>
          <w:iCs/>
        </w:rPr>
        <w:t>Jett</w:t>
      </w:r>
      <w:r>
        <w:t xml:space="preserve">.  Moreover, the </w:t>
      </w:r>
      <w:r>
        <w:rPr>
          <w:i/>
          <w:iCs/>
        </w:rPr>
        <w:t>Jett</w:t>
      </w:r>
      <w:r>
        <w:t xml:space="preserve"> Court’s quotation from Justice White’s partial concurrence in </w:t>
      </w:r>
      <w:r>
        <w:rPr>
          <w:i/>
          <w:iCs/>
        </w:rPr>
        <w:t>Pembaur</w:t>
      </w:r>
      <w:r>
        <w:t xml:space="preserve"> is somewhat puzzling.  In </w:t>
      </w:r>
      <w:r>
        <w:rPr>
          <w:i/>
          <w:iCs/>
        </w:rPr>
        <w:t>Pembaur</w:t>
      </w:r>
      <w:r>
        <w:t xml:space="preserve"> the Court held “that municipal liability may be imposed for a single decision by municipal policymakers under appropriate circumstances.”  </w:t>
      </w:r>
      <w:r>
        <w:rPr>
          <w:i/>
          <w:iCs/>
        </w:rPr>
        <w:t>Pembaur</w:t>
      </w:r>
      <w:r>
        <w:t xml:space="preserve">, 475 U.S. at 480.  Because </w:t>
      </w:r>
      <w:r>
        <w:rPr>
          <w:i/>
          <w:iCs/>
        </w:rPr>
        <w:t>Pembaur</w:t>
      </w:r>
      <w:r>
        <w:t xml:space="preserve"> focused on instances where a policymaker directed the challenged activity, municipal liability under the “custom” theory was not at issue in the case.  </w:t>
      </w:r>
      <w:r>
        <w:rPr>
          <w:i/>
          <w:iCs/>
        </w:rPr>
        <w:t>See id.</w:t>
      </w:r>
      <w:r>
        <w:t xml:space="preserve"> at 481 n.10 (plurality opinion).  Justice White’s </w:t>
      </w:r>
      <w:r>
        <w:rPr>
          <w:i/>
          <w:iCs/>
        </w:rPr>
        <w:t>Pembaur</w:t>
      </w:r>
      <w:r>
        <w:t xml:space="preserve"> concurrence does not suggest otherwise; the language quoted by the </w:t>
      </w:r>
      <w:r>
        <w:rPr>
          <w:i/>
          <w:iCs/>
        </w:rPr>
        <w:t>Jett</w:t>
      </w:r>
      <w:r>
        <w:t xml:space="preserve"> Court constitutes Justice White’s explanation of his reasons for agreeing that the policymakers’ directives in </w:t>
      </w:r>
      <w:r>
        <w:rPr>
          <w:i/>
          <w:iCs/>
        </w:rPr>
        <w:t>Pembaur</w:t>
      </w:r>
      <w:r>
        <w:t xml:space="preserve"> could ground municipal liability.  Justice White explained:</w:t>
      </w:r>
    </w:p>
    <w:p w:rsidR="00721160" w:rsidRDefault="00721160"/>
    <w:p w:rsidR="00721160" w:rsidRDefault="00721160">
      <w:pPr>
        <w:ind w:left="720" w:right="720"/>
      </w:pPr>
      <w:r>
        <w:t>The city of Cincinnati frankly conceded that forcible entry of third</w:t>
      </w:r>
      <w:r>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rsidR="00721160" w:rsidRDefault="00721160"/>
    <w:p w:rsidR="00721160" w:rsidRDefault="00721160">
      <w:pPr>
        <w:spacing w:after="240"/>
      </w:pPr>
      <w:r>
        <w:rPr>
          <w:i/>
          <w:iCs/>
        </w:rPr>
        <w:t>Pembaur</w:t>
      </w:r>
      <w:r>
        <w:t xml:space="preserve">, 475 U.S. at 485 (White, J., concurring in part and in the judgment).  Thus, the </w:t>
      </w:r>
      <w:r>
        <w:rPr>
          <w:i/>
          <w:iCs/>
        </w:rPr>
        <w:t>Jett</w:t>
      </w:r>
      <w:r>
        <w:t xml:space="preserve"> Court’s quote from Justice White’s </w:t>
      </w:r>
      <w:r>
        <w:rPr>
          <w:i/>
          <w:iCs/>
        </w:rPr>
        <w:t>Pembaur</w:t>
      </w:r>
      <w:r>
        <w:t xml:space="preserve"> opinion further supports the inference that the </w:t>
      </w:r>
      <w:r>
        <w:rPr>
          <w:i/>
          <w:iCs/>
        </w:rPr>
        <w:t>Jett</w:t>
      </w:r>
      <w:r>
        <w:t xml:space="preserve"> Court did not give sustained attention to the contours of the custom branch of the municipal-liability doctrine.</w:t>
      </w:r>
    </w:p>
  </w:footnote>
  <w:footnote w:id="69">
    <w:p w:rsidR="00721160" w:rsidRDefault="00721160">
      <w:pPr>
        <w:spacing w:after="240"/>
        <w:ind w:firstLine="720"/>
      </w:pPr>
      <w:r>
        <w:rPr>
          <w:rStyle w:val="FootnoteReference"/>
          <w:vertAlign w:val="superscript"/>
        </w:rPr>
        <w:footnoteRef/>
      </w:r>
      <w:r>
        <w:t xml:space="preserve">  The </w:t>
      </w:r>
      <w:r>
        <w:rPr>
          <w:i/>
          <w:iCs/>
        </w:rPr>
        <w:t>Baker</w:t>
      </w:r>
      <w:r>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Pr>
          <w:i/>
          <w:iCs/>
        </w:rPr>
        <w:t xml:space="preserve">See id. </w:t>
      </w:r>
      <w:r>
        <w:t xml:space="preserve">at 1194; </w:t>
      </w:r>
      <w:r>
        <w:rPr>
          <w:i/>
          <w:iCs/>
        </w:rPr>
        <w:t xml:space="preserve">see also id. </w:t>
      </w:r>
      <w:r>
        <w:t>at 1195 (upholding dismissal of illegal search claims against city due to lack of evidence “that Monroe Township expressly or tacitly authorized either of the searches”).</w:t>
      </w:r>
    </w:p>
  </w:footnote>
  <w:footnote w:id="70">
    <w:p w:rsidR="00721160" w:rsidRDefault="00721160">
      <w:pPr>
        <w:spacing w:after="240"/>
        <w:ind w:firstLine="720"/>
      </w:pPr>
      <w:r>
        <w:rPr>
          <w:rStyle w:val="FootnoteReference"/>
          <w:vertAlign w:val="superscript"/>
        </w:rPr>
        <w:footnoteRef/>
      </w:r>
      <w:r>
        <w:t xml:space="preserve">  In </w:t>
      </w:r>
      <w:r>
        <w:rPr>
          <w:i/>
          <w:iCs/>
        </w:rPr>
        <w:t>Andrews</w:t>
      </w:r>
      <w:r>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Pr>
          <w:i/>
          <w:iCs/>
        </w:rPr>
        <w:t xml:space="preserve"> id.</w:t>
      </w:r>
      <w:r>
        <w:t xml:space="preserve"> at 1482 – a caveat that suggests the possibility that in such a case constructive knowledge might play a role in the acquiescence analysis.</w:t>
      </w:r>
    </w:p>
  </w:footnote>
  <w:footnote w:id="71">
    <w:p w:rsidR="00721160" w:rsidRDefault="00721160">
      <w:pPr>
        <w:spacing w:after="240"/>
        <w:ind w:firstLine="720"/>
      </w:pPr>
      <w:r>
        <w:rPr>
          <w:rStyle w:val="FootnoteReference"/>
          <w:vertAlign w:val="superscript"/>
        </w:rPr>
        <w:footnoteRef/>
      </w:r>
      <w:r>
        <w:t xml:space="preserve">  </w:t>
      </w:r>
      <w:r>
        <w:rPr>
          <w:i/>
          <w:iCs/>
        </w:rPr>
        <w:t>See also Watson v. Abington Tp.</w:t>
      </w:r>
      <w:r>
        <w:t xml:space="preserve">, 478 F.3d 144, 156 (3d Cir. 2007) (citing </w:t>
      </w:r>
      <w:r>
        <w:rPr>
          <w:i/>
          <w:iCs/>
        </w:rPr>
        <w:t>Bielevicz</w:t>
      </w:r>
      <w:r>
        <w:t xml:space="preserve"> with approval on this point).  The </w:t>
      </w:r>
      <w:r>
        <w:rPr>
          <w:i/>
          <w:iCs/>
        </w:rPr>
        <w:t>Watson</w:t>
      </w:r>
      <w:r>
        <w:t xml:space="preserve"> court’s explanation of its rejection of the plaintiff’s municipal-liability claim seems compatible with a constructive-knowledge standard.  </w:t>
      </w:r>
      <w:r>
        <w:rPr>
          <w:i/>
          <w:iCs/>
        </w:rPr>
        <w:t>See Watson</w:t>
      </w:r>
      <w:r>
        <w:t xml:space="preserve">, 478 F.3d at 157 (rejecting a custom-based municipal liability claim because, inter alia, the plaintiffs failed to show “that what happened at the Scoreboard was so widespread that a decisionmaker must have known about it”). </w:t>
      </w:r>
    </w:p>
  </w:footnote>
  <w:footnote w:id="72">
    <w:p w:rsidR="00721160" w:rsidRDefault="00721160">
      <w:pPr>
        <w:spacing w:after="240"/>
        <w:ind w:firstLine="720"/>
      </w:pPr>
      <w:r>
        <w:rPr>
          <w:rStyle w:val="FootnoteReference"/>
          <w:vertAlign w:val="superscript"/>
        </w:rPr>
        <w:footnoteRef/>
      </w:r>
      <w:r>
        <w:t xml:space="preserve">  See also </w:t>
      </w:r>
      <w:r>
        <w:rPr>
          <w:i/>
          <w:iCs/>
        </w:rPr>
        <w:t>Kneipp v. Tedder</w:t>
      </w:r>
      <w:r>
        <w:t xml:space="preserve">, 95 F.3d 1199, 1213 (3d Cir. 1996) (quoting </w:t>
      </w:r>
      <w:r>
        <w:rPr>
          <w:i/>
          <w:iCs/>
        </w:rPr>
        <w:t>Bielevicz</w:t>
      </w:r>
      <w:r>
        <w:t xml:space="preserve"> on this point).  Similarly, in </w:t>
      </w:r>
      <w:r>
        <w:rPr>
          <w:i/>
          <w:iCs/>
        </w:rPr>
        <w:t>Natale v. Camden County Correctional Facility</w:t>
      </w:r>
      <w:r>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Pr>
          <w:i/>
          <w:iCs/>
        </w:rPr>
        <w:t>id.</w:t>
      </w:r>
      <w:r>
        <w:t xml:space="preserve"> at 584.</w:t>
      </w:r>
    </w:p>
  </w:footnote>
  <w:footnote w:id="73">
    <w:p w:rsidR="00721160" w:rsidRDefault="00721160">
      <w:pPr>
        <w:spacing w:after="240"/>
        <w:ind w:firstLine="720"/>
      </w:pPr>
      <w:r>
        <w:rPr>
          <w:rStyle w:val="FootnoteReference"/>
          <w:vertAlign w:val="superscript"/>
        </w:rPr>
        <w:footnoteRef/>
      </w:r>
      <w:r>
        <w:t xml:space="preserve">  This language might be read to suggest that knowledge and acquiescence are merely one option for establishing a municipal custom.  Likewise, in </w:t>
      </w:r>
      <w:r>
        <w:rPr>
          <w:i/>
          <w:iCs/>
        </w:rPr>
        <w:t>Fletcher v. O'Donnell</w:t>
      </w:r>
      <w:r>
        <w:t xml:space="preserve">, 867 F.2d 791 (3d Cir. 1989), the court, writing a few months before </w:t>
      </w:r>
      <w:r>
        <w:rPr>
          <w:i/>
          <w:iCs/>
        </w:rPr>
        <w:t>Jett</w:t>
      </w:r>
      <w:r>
        <w:t xml:space="preserve"> was decided, stated that “[c]ustom may be established by proof of knowledge and acquiescence,” </w:t>
      </w:r>
      <w:r>
        <w:rPr>
          <w:i/>
          <w:iCs/>
        </w:rPr>
        <w:t>Fletcher</w:t>
      </w:r>
      <w:r>
        <w:t xml:space="preserve">, 867 F.2d at 793-94 (citing </w:t>
      </w:r>
      <w:r>
        <w:rPr>
          <w:i/>
          <w:iCs/>
        </w:rPr>
        <w:t>Pembaur</w:t>
      </w:r>
      <w:r>
        <w:t>, 475 U.S. at 481</w:t>
      </w:r>
      <w:r>
        <w:noBreakHyphen/>
        <w:t xml:space="preserve">82 n.10 (plurality opinion)) – an observation that arguably suggests there may also exist other means of showing custom.  As discussed in the text, however, the </w:t>
      </w:r>
      <w:r>
        <w:rPr>
          <w:i/>
          <w:iCs/>
        </w:rPr>
        <w:t>Beck</w:t>
      </w:r>
      <w:r>
        <w:t xml:space="preserve"> court seemed to focus its analysis on the question of actual or constructive knowledge.</w:t>
      </w:r>
    </w:p>
  </w:footnote>
  <w:footnote w:id="74">
    <w:p w:rsidR="00721160" w:rsidRDefault="00721160">
      <w:pPr>
        <w:spacing w:after="240"/>
        <w:ind w:firstLine="720"/>
      </w:pPr>
      <w:r>
        <w:rPr>
          <w:rStyle w:val="FootnoteReference"/>
          <w:vertAlign w:val="superscript"/>
        </w:rPr>
        <w:footnoteRef/>
      </w:r>
      <w:r>
        <w:t xml:space="preserve">  Similarly, when he advocated a “scienter” requirement in </w:t>
      </w:r>
      <w:r>
        <w:rPr>
          <w:i/>
          <w:iCs/>
        </w:rPr>
        <w:t>Simmons</w:t>
      </w:r>
      <w:r>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Pr>
          <w:i/>
          <w:iCs/>
        </w:rPr>
        <w:t>Simmons</w:t>
      </w:r>
      <w:r>
        <w:t xml:space="preserve">, 947 F.2d at 1061 n.14 (quoting </w:t>
      </w:r>
      <w:r>
        <w:rPr>
          <w:i/>
          <w:iCs/>
        </w:rPr>
        <w:t>City of Canton v. Harris</w:t>
      </w:r>
      <w:r>
        <w:t xml:space="preserve">, 489 U.S. 378, 390 (1989)).  Judge Becker’s opinion did not provide details on the application of this standard to the </w:t>
      </w:r>
      <w:r>
        <w:rPr>
          <w:i/>
          <w:iCs/>
        </w:rPr>
        <w:t>Simmons</w:t>
      </w:r>
      <w:r>
        <w:t xml:space="preserve"> case, because he found that the City had waived “the argument that plaintiff failed to establish the essential ‘scienter’ element of her case.”  </w:t>
      </w:r>
      <w:r>
        <w:rPr>
          <w:i/>
          <w:iCs/>
        </w:rPr>
        <w:t>Id.</w:t>
      </w:r>
      <w:r>
        <w:t xml:space="preserve"> at 1066.  Chief Judge Sloviter wrote separately to explain, inter alia, her belief “that Judge Becker's emphasis on production by plaintiff of ‘scienter</w:t>
      </w:r>
      <w:r>
        <w:noBreakHyphen/>
        <w:t xml:space="preserve">like evidence’ when charging a municipality with deliberate indifference to deprivation of rights may impose on plaintiffs a heavier burden than mandated by the Supreme Court or prior decisions of this court.”  </w:t>
      </w:r>
      <w:r>
        <w:rPr>
          <w:i/>
          <w:iCs/>
        </w:rPr>
        <w:t>Id.</w:t>
      </w:r>
      <w:r>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Pr>
          <w:i/>
          <w:iCs/>
        </w:rPr>
        <w:t>id.</w:t>
      </w:r>
      <w:r>
        <w:t xml:space="preserve"> at 1090, and she pointed out that a standard requiring “actual knowledge of the conditions by a municipal policymaker ... would put a premium on blinders,” </w:t>
      </w:r>
      <w:r>
        <w:rPr>
          <w:i/>
          <w:iCs/>
        </w:rPr>
        <w:t>id.</w:t>
      </w:r>
      <w:r>
        <w:t xml:space="preserve"> at 1091.</w:t>
      </w:r>
    </w:p>
  </w:footnote>
  <w:footnote w:id="75">
    <w:p w:rsidR="00721160" w:rsidRDefault="00721160">
      <w:pPr>
        <w:spacing w:after="240"/>
        <w:ind w:firstLine="720"/>
      </w:pPr>
      <w:r>
        <w:rPr>
          <w:rStyle w:val="FootnoteReference"/>
          <w:vertAlign w:val="superscript"/>
        </w:rPr>
        <w:footnoteRef/>
      </w:r>
      <w:r>
        <w:t xml:space="preserve">  See the Comment for a discussion of the reasons why this aspect of Instruction 4.6.7 diverges from the second element of the three-part test for deliberate indifference approved in </w:t>
      </w:r>
      <w:r>
        <w:rPr>
          <w:i/>
          <w:iCs/>
        </w:rPr>
        <w:t>Carter v. City of Philadelphia</w:t>
      </w:r>
      <w:r>
        <w:t>, 181 F.3d 339, 357 (3d Cir. 1999).</w:t>
      </w:r>
    </w:p>
  </w:footnote>
  <w:footnote w:id="76">
    <w:p w:rsidR="00721160" w:rsidRDefault="00721160">
      <w:pPr>
        <w:spacing w:after="240"/>
        <w:ind w:firstLine="720"/>
      </w:pPr>
      <w:r>
        <w:rPr>
          <w:rStyle w:val="FootnoteReference"/>
          <w:vertAlign w:val="superscript"/>
        </w:rPr>
        <w:footnoteRef/>
      </w:r>
      <w:r>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Pr>
          <w:i/>
          <w:iCs/>
        </w:rPr>
        <w:t>Beck v. City of Pittsburgh</w:t>
      </w:r>
      <w:r>
        <w:t xml:space="preserve">, 89 F.3d 966, 974 (3d Cir. 1996) (quoting plaintiff’s reply brief, </w:t>
      </w:r>
      <w:r>
        <w:rPr>
          <w:i/>
          <w:iCs/>
        </w:rPr>
        <w:t>Beck v. City of Pittsburgh</w:t>
      </w:r>
      <w:r>
        <w:t>, No. 95</w:t>
      </w:r>
      <w:r>
        <w:noBreakHyphen/>
        <w:t>3328, 1995 WL 17147608, at *5).</w:t>
      </w:r>
    </w:p>
  </w:footnote>
  <w:footnote w:id="77">
    <w:p w:rsidR="00721160" w:rsidRDefault="00721160">
      <w:pPr>
        <w:ind w:firstLine="720"/>
      </w:pPr>
      <w:r>
        <w:rPr>
          <w:rStyle w:val="FootnoteReference"/>
          <w:vertAlign w:val="superscript"/>
        </w:rPr>
        <w:footnoteRef/>
      </w:r>
      <w:r>
        <w:t xml:space="preserve">  The Third Circuit has held that the failure to adopt a needed policy can result in municipal liability in an appropriate case, and has analyzed that question of municipal liability using the deliberate indifference test.  </w:t>
      </w:r>
      <w:r>
        <w:rPr>
          <w:i/>
          <w:iCs/>
        </w:rPr>
        <w:t>See Natale v. Camden County Correctional Facility</w:t>
      </w:r>
      <w:r>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rsidR="00721160" w:rsidRDefault="00721160">
      <w:pPr>
        <w:spacing w:after="240"/>
        <w:ind w:firstLine="720"/>
      </w:pPr>
      <w:r>
        <w:t>The Third Circuit has declined to “recognize[] municipal liability for a constitutional violation because of failure to equip police officers with non</w:t>
      </w:r>
      <w:r>
        <w:noBreakHyphen/>
        <w:t xml:space="preserve">lethal weapons.”  </w:t>
      </w:r>
      <w:r>
        <w:rPr>
          <w:i/>
          <w:iCs/>
        </w:rPr>
        <w:t>Carswell v. Borough of Homestead</w:t>
      </w:r>
      <w:r>
        <w:t>, 381 F.3d 235, 245 (3d Cir. 2004) (“We decline to [recognize such liability] on the record before us.”).</w:t>
      </w:r>
    </w:p>
  </w:footnote>
  <w:footnote w:id="78">
    <w:p w:rsidR="00721160" w:rsidRDefault="00721160">
      <w:pPr>
        <w:ind w:firstLine="720"/>
      </w:pPr>
      <w:r>
        <w:rPr>
          <w:rStyle w:val="FootnoteReference"/>
          <w:vertAlign w:val="superscript"/>
        </w:rPr>
        <w:footnoteRef/>
      </w:r>
      <w:r>
        <w:t xml:space="preserve">  “If . . . the policy or custom does not facially violate federal law, causation can be established only by ‘demonstrat[ing] that the municipal action was taken with “deliberate indifference” as to its known or obvious consequences.’”  </w:t>
      </w:r>
      <w:r>
        <w:rPr>
          <w:i/>
          <w:iCs/>
        </w:rPr>
        <w:t>Berg v. County of Allegheny</w:t>
      </w:r>
      <w:r>
        <w:t xml:space="preserve">, 219 F.3d 261, 276 (3d Cir. 2000) (quoting </w:t>
      </w:r>
      <w:r>
        <w:rPr>
          <w:i/>
          <w:iCs/>
        </w:rPr>
        <w:t>Board of County Com'rs of Bryan County, Okl. v. Brown</w:t>
      </w:r>
      <w:r>
        <w:t>, 520 U.S. 397, 407 (1997)).</w:t>
      </w:r>
    </w:p>
    <w:p w:rsidR="00721160" w:rsidRDefault="00721160">
      <w:pPr>
        <w:spacing w:after="240"/>
      </w:pPr>
    </w:p>
  </w:footnote>
  <w:footnote w:id="79">
    <w:p w:rsidR="00721160" w:rsidRDefault="00721160">
      <w:pPr>
        <w:spacing w:after="240"/>
        <w:ind w:firstLine="720"/>
      </w:pPr>
      <w:r>
        <w:rPr>
          <w:rStyle w:val="FootnoteReference"/>
          <w:vertAlign w:val="superscript"/>
        </w:rPr>
        <w:footnoteRef/>
      </w:r>
      <w:r>
        <w:t xml:space="preserve">  In </w:t>
      </w:r>
      <w:r>
        <w:rPr>
          <w:i/>
          <w:iCs/>
        </w:rPr>
        <w:t>Doe v. Luzerne County</w:t>
      </w:r>
      <w:r>
        <w:t>, 660 F.3d 169 (3d Cir. 2011) – a post</w:t>
      </w:r>
      <w:r>
        <w:noBreakHyphen/>
      </w:r>
      <w:r>
        <w:rPr>
          <w:i/>
          <w:iCs/>
        </w:rPr>
        <w:t>Connick</w:t>
      </w:r>
      <w:r>
        <w:t xml:space="preserve"> decision – the Court of Appeals quoted </w:t>
      </w:r>
      <w:r>
        <w:rPr>
          <w:i/>
          <w:iCs/>
        </w:rPr>
        <w:t>Carter</w:t>
      </w:r>
      <w:r>
        <w:t>’s three</w:t>
      </w:r>
      <w:r>
        <w:noBreakHyphen/>
        <w:t xml:space="preserve">part test and held that the evidence, taken in the light most favorable to the plaintiff, would not support a finding of municipal liability under that test.  </w:t>
      </w:r>
      <w:r>
        <w:rPr>
          <w:i/>
          <w:iCs/>
        </w:rPr>
        <w:t>See Doe</w:t>
      </w:r>
      <w:r>
        <w:t>, 660 F.3d at 179-80.</w:t>
      </w:r>
    </w:p>
  </w:footnote>
  <w:footnote w:id="80">
    <w:p w:rsidR="00721160" w:rsidRDefault="00721160">
      <w:pPr>
        <w:spacing w:after="240"/>
        <w:ind w:firstLine="720"/>
      </w:pPr>
      <w:r>
        <w:rPr>
          <w:rStyle w:val="FootnoteReference"/>
          <w:vertAlign w:val="superscript"/>
        </w:rPr>
        <w:footnoteRef/>
      </w:r>
      <w:r>
        <w:t xml:space="preserve">  The Court in </w:t>
      </w:r>
      <w:r>
        <w:rPr>
          <w:i/>
          <w:iCs/>
        </w:rPr>
        <w:t>Brown</w:t>
      </w:r>
      <w:r>
        <w:t xml:space="preserve"> argued that it was not imposing a heightened test for inadequate screening cases.  </w:t>
      </w:r>
      <w:r>
        <w:rPr>
          <w:i/>
          <w:iCs/>
        </w:rPr>
        <w:t>See Board of County Com'rs of Bryan County, Okl. v. Brown</w:t>
      </w:r>
      <w:r>
        <w:t xml:space="preserve">, 520 U.S. 397, 413 n.1 (1997) (“We do not suggest that a plaintiff in an inadequate screening case must show a higher degree of culpability than the ‘deliberate indifference’ required in </w:t>
      </w:r>
      <w:r>
        <w:rPr>
          <w:i/>
          <w:iCs/>
        </w:rPr>
        <w:t>Canton</w:t>
      </w:r>
      <w:r>
        <w:t xml:space="preserve"> . . . ; we need not do so, because, as discussed below, respondent has not made a showing of deliberate indifference here.”).  However, as discussed in the text of this Comment, the Court’s holding and reasoning in </w:t>
      </w:r>
      <w:r>
        <w:rPr>
          <w:i/>
          <w:iCs/>
        </w:rPr>
        <w:t>Brown</w:t>
      </w:r>
      <w:r>
        <w:t xml:space="preserve"> reflect a stringent application of the deliberate indifference test.</w:t>
      </w:r>
    </w:p>
  </w:footnote>
  <w:footnote w:id="81">
    <w:p w:rsidR="00721160" w:rsidRDefault="00721160">
      <w:pPr>
        <w:spacing w:after="240"/>
        <w:ind w:firstLine="720"/>
      </w:pPr>
      <w:r>
        <w:rPr>
          <w:rStyle w:val="FootnoteReference"/>
          <w:vertAlign w:val="superscript"/>
        </w:rPr>
        <w:footnoteRef/>
      </w:r>
      <w:r>
        <w:t xml:space="preserve">  </w:t>
      </w:r>
      <w:r>
        <w:rPr>
          <w:i/>
          <w:iCs/>
        </w:rPr>
        <w:t>See Light v. Haws</w:t>
      </w:r>
      <w:r>
        <w:t>, 472 F.3d 74, 78 (3d Cir. 2007) (holding that Assistant Counsel for the Pennsylvania Department of Environmental Protection, when “filing actions to enforce compliance with court orders. . . . [,] functions as a prosecutor”).</w:t>
      </w:r>
    </w:p>
  </w:footnote>
  <w:footnote w:id="82">
    <w:p w:rsidR="00721160" w:rsidRDefault="00721160">
      <w:pPr>
        <w:ind w:firstLine="720"/>
      </w:pPr>
      <w:r>
        <w:rPr>
          <w:rStyle w:val="FootnoteReference"/>
          <w:vertAlign w:val="superscript"/>
        </w:rPr>
        <w:footnoteRef/>
      </w:r>
      <w:r>
        <w:t xml:space="preserve">  </w:t>
      </w:r>
      <w:r>
        <w:rPr>
          <w:i/>
          <w:iCs/>
        </w:rPr>
        <w:t>See also Kalina v. Fletcher</w:t>
      </w:r>
      <w:r>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Pr>
          <w:i/>
          <w:iCs/>
        </w:rPr>
        <w:t>Reitz v. County of Bucks</w:t>
      </w:r>
      <w:r>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rsidR="00721160" w:rsidRDefault="00721160"/>
    <w:p w:rsidR="00721160" w:rsidRDefault="00721160">
      <w:pPr>
        <w:ind w:firstLine="720"/>
      </w:pPr>
      <w:r>
        <w:t xml:space="preserve">In </w:t>
      </w:r>
      <w:r>
        <w:rPr>
          <w:i/>
          <w:iCs/>
        </w:rPr>
        <w:t>Odd v. Malone</w:t>
      </w:r>
      <w:r>
        <w:t>, 538 F.3d 202 (3d Cir. 2008), “prosecuting attorneys obtained bench</w:t>
      </w:r>
    </w:p>
    <w:p w:rsidR="00721160" w:rsidRDefault="00721160">
      <w:r>
        <w:t>warrants to detain material witnesses whose testimony was vital to murder prosecutions.</w:t>
      </w:r>
    </w:p>
    <w:p w:rsidR="00721160" w:rsidRDefault="00721160">
      <w:r>
        <w:t>Although the attorneys diligently obtained the warrants, they neglected to keep the courts</w:t>
      </w:r>
    </w:p>
    <w:p w:rsidR="00721160" w:rsidRDefault="00721160">
      <w:r>
        <w:t xml:space="preserve">informed of the progress of the criminal proceedings and the custodial status of the witnesses.” </w:t>
      </w:r>
    </w:p>
    <w:p w:rsidR="00721160" w:rsidRDefault="00721160" w:rsidP="00BF76C1">
      <w:r>
        <w:rPr>
          <w:i/>
          <w:iCs/>
        </w:rPr>
        <w:t>Id</w:t>
      </w:r>
      <w:r>
        <w:t xml:space="preserve">. at 205.  The Court of Appeals held that a prosecutor sued “for failing to notify the relevant authorities that the proceedings in which the detained individual was to testify had been continued for nearly four months,” </w:t>
      </w:r>
      <w:r>
        <w:rPr>
          <w:i/>
          <w:iCs/>
        </w:rPr>
        <w:t>id</w:t>
      </w:r>
      <w:r>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Pr>
          <w:i/>
          <w:iCs/>
        </w:rPr>
        <w:t>Id</w:t>
      </w:r>
      <w:r>
        <w:t>. at 212</w:t>
      </w:r>
      <w:r>
        <w:noBreakHyphen/>
        <w:t xml:space="preserve">13.  The </w:t>
      </w:r>
      <w:r>
        <w:rPr>
          <w:i/>
          <w:iCs/>
        </w:rPr>
        <w:t xml:space="preserve">Odd </w:t>
      </w:r>
      <w:r>
        <w:t xml:space="preserve">court also held (a fortiori) that a different prosecutor sued “for failing to notify the relevant authorities that the material witness remained incarcerated after the case in which he was to testify had been dismissed,” </w:t>
      </w:r>
      <w:r>
        <w:rPr>
          <w:i/>
          <w:iCs/>
        </w:rPr>
        <w:t>id</w:t>
      </w:r>
      <w:r>
        <w:t xml:space="preserve">. at 205, lacked absolute prosecutorial immunity.  </w:t>
      </w:r>
      <w:r>
        <w:rPr>
          <w:i/>
          <w:iCs/>
        </w:rPr>
        <w:t xml:space="preserve">See id. </w:t>
      </w:r>
      <w:r>
        <w:t xml:space="preserve">at 215.  In </w:t>
      </w:r>
      <w:r>
        <w:rPr>
          <w:i/>
          <w:iCs/>
        </w:rPr>
        <w:t>Schneyder v. Smith</w:t>
      </w:r>
      <w:r>
        <w:t xml:space="preserve">, 653 F.3d 313 (3d Cir. 2011), the Court of Appeals on a subsequent appeal adhered to its ruling that the prosecutor who allegedly failed to inform the court of the trial continuance lacked absolute immunity, </w:t>
      </w:r>
      <w:r>
        <w:rPr>
          <w:i/>
          <w:iCs/>
        </w:rPr>
        <w:t xml:space="preserve">see id. </w:t>
      </w:r>
      <w:r>
        <w:t xml:space="preserve">at 333-34.  The </w:t>
      </w:r>
      <w:r>
        <w:rPr>
          <w:i/>
          <w:iCs/>
        </w:rPr>
        <w:t xml:space="preserve">Schneyder </w:t>
      </w:r>
      <w:r>
        <w:t xml:space="preserve">court reasoned that its ruling in </w:t>
      </w:r>
      <w:r>
        <w:rPr>
          <w:i/>
          <w:iCs/>
        </w:rPr>
        <w:t xml:space="preserve">Odd </w:t>
      </w:r>
      <w:r>
        <w:t xml:space="preserve">was consistent with the Supreme Court’s subsequent decision in </w:t>
      </w:r>
      <w:r>
        <w:rPr>
          <w:i/>
          <w:iCs/>
        </w:rPr>
        <w:t>Van de Kamp v. Goldstein</w:t>
      </w:r>
      <w:r>
        <w:t xml:space="preserve">, 129 S. Ct. 855 (2009).  Under </w:t>
      </w:r>
      <w:r>
        <w:rPr>
          <w:i/>
          <w:iCs/>
        </w:rPr>
        <w:t>Van de Kamp</w:t>
      </w:r>
      <w:r>
        <w:t xml:space="preserve">, “some administrative functions relate directly to the conduct of a criminal trial and are thus protected, while others ... are connected to trial only distantly (if at all) and are therefore not subject to immunity.”  </w:t>
      </w:r>
      <w:r>
        <w:rPr>
          <w:i/>
          <w:iCs/>
        </w:rPr>
        <w:t>Schneyder</w:t>
      </w:r>
      <w:r>
        <w:t xml:space="preserve">, 653 F.3d at 334.  The </w:t>
      </w:r>
      <w:r>
        <w:rPr>
          <w:i/>
          <w:iCs/>
        </w:rPr>
        <w:t xml:space="preserve">Schneyder </w:t>
      </w:r>
      <w:r>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Pr>
          <w:i/>
          <w:iCs/>
        </w:rPr>
        <w:t>Van de Kamp</w:t>
      </w:r>
      <w:r>
        <w:t xml:space="preserve">.”  </w:t>
      </w:r>
      <w:r>
        <w:rPr>
          <w:i/>
          <w:iCs/>
        </w:rPr>
        <w:t>Schneyder</w:t>
      </w:r>
      <w:r>
        <w:t>, 653 F.3d at 334.</w:t>
      </w:r>
    </w:p>
  </w:footnote>
  <w:footnote w:id="83">
    <w:p w:rsidR="00721160" w:rsidRDefault="00721160">
      <w:pPr>
        <w:spacing w:after="240"/>
        <w:ind w:firstLine="720"/>
      </w:pPr>
      <w:r>
        <w:rPr>
          <w:rStyle w:val="FootnoteReference"/>
          <w:vertAlign w:val="superscript"/>
        </w:rPr>
        <w:footnoteRef/>
      </w:r>
      <w:r>
        <w:t xml:space="preserve">  Judges also now possess a statutory immunity from claims for injunctive relief.  </w:t>
      </w:r>
      <w:r>
        <w:rPr>
          <w:i/>
          <w:iCs/>
        </w:rPr>
        <w:t>See</w:t>
      </w:r>
      <w:r>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4">
    <w:p w:rsidR="00721160" w:rsidRDefault="00721160">
      <w:pPr>
        <w:spacing w:after="240"/>
        <w:ind w:firstLine="720"/>
      </w:pPr>
      <w:r>
        <w:rPr>
          <w:rStyle w:val="FootnoteReference"/>
          <w:vertAlign w:val="superscript"/>
        </w:rPr>
        <w:footnoteRef/>
      </w:r>
      <w:r>
        <w:t xml:space="preserve">  Under the doctrine of “quasi-judicial” immunity, “government actors whose acts are relevantly similar to judging are immune from suit.”  </w:t>
      </w:r>
      <w:r>
        <w:rPr>
          <w:i/>
          <w:iCs/>
        </w:rPr>
        <w:t>Dotzel v. Ashbridge</w:t>
      </w:r>
      <w:r>
        <w:t xml:space="preserve">, 438 F.3d 320, 325 (3d Cir. 2006); </w:t>
      </w:r>
      <w:r>
        <w:rPr>
          <w:i/>
          <w:iCs/>
        </w:rPr>
        <w:t>see id.</w:t>
      </w:r>
      <w:r>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Pr>
          <w:i/>
          <w:iCs/>
        </w:rPr>
        <w:t>id.</w:t>
      </w:r>
      <w:r>
        <w:t xml:space="preserve"> at 327 (stressing the need to “closely and carefully examine the functions performed by the board in each case”); </w:t>
      </w:r>
      <w:r>
        <w:rPr>
          <w:i/>
          <w:iCs/>
        </w:rPr>
        <w:t>Capogrosso v. Supreme Court of New Jersey</w:t>
      </w:r>
      <w:r>
        <w:t xml:space="preserve">, 588 F.3d 180, 185 (3d Cir. 2009) (holding that individual-capacity claims against Director and Disciplinary Counsel for New Jersey Advisory Committee on Judicial Conduct were barred by quasi-judicial immunity); </w:t>
      </w:r>
      <w:r>
        <w:rPr>
          <w:i/>
          <w:iCs/>
        </w:rPr>
        <w:t>Keystone Redev. Partners, LLC v. Decker</w:t>
      </w:r>
      <w:r>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5">
    <w:p w:rsidR="00721160" w:rsidRDefault="00721160">
      <w:pPr>
        <w:spacing w:after="240"/>
        <w:ind w:firstLine="720"/>
      </w:pPr>
      <w:r>
        <w:rPr>
          <w:rStyle w:val="FootnoteReference"/>
          <w:vertAlign w:val="superscript"/>
        </w:rPr>
        <w:footnoteRef/>
      </w:r>
      <w:r>
        <w:t xml:space="preserve">  The </w:t>
      </w:r>
      <w:r>
        <w:rPr>
          <w:i/>
          <w:iCs/>
        </w:rPr>
        <w:t>Bogan</w:t>
      </w:r>
      <w:r>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Pr>
          <w:i/>
          <w:iCs/>
        </w:rPr>
        <w:t>substance</w:t>
      </w:r>
      <w:r>
        <w:t xml:space="preserve">. We need not determine whether the formally legislative character of petitioners' actions is alone sufficient to entitle petitioners to legislative immunity, because here the ordinance, in substance, bore all the hallmarks of traditional legislation.”  </w:t>
      </w:r>
      <w:r>
        <w:rPr>
          <w:i/>
          <w:iCs/>
        </w:rPr>
        <w:t>Bogan</w:t>
      </w:r>
      <w:r>
        <w:t xml:space="preserve">, 523 U.S. at 55. </w:t>
      </w:r>
    </w:p>
  </w:footnote>
  <w:footnote w:id="86">
    <w:p w:rsidR="00721160" w:rsidRDefault="00721160">
      <w:pPr>
        <w:ind w:firstLine="720"/>
      </w:pPr>
      <w:r>
        <w:rPr>
          <w:rStyle w:val="FootnoteReference"/>
          <w:vertAlign w:val="superscript"/>
        </w:rPr>
        <w:footnoteRef/>
      </w:r>
      <w:r>
        <w:t xml:space="preserve">  The Court of Appeals stated (in a case concerning claims against state legislators) that </w:t>
      </w:r>
      <w:r>
        <w:rPr>
          <w:i/>
          <w:iCs/>
        </w:rPr>
        <w:t>Bogan</w:t>
      </w:r>
    </w:p>
    <w:p w:rsidR="00721160" w:rsidRDefault="00721160"/>
    <w:p w:rsidR="00721160" w:rsidRDefault="00721160">
      <w:pPr>
        <w:ind w:left="720" w:right="720"/>
      </w:pPr>
      <w:r>
        <w:t>casts doubt on the propriety of using any separate test to examine municipal</w:t>
      </w:r>
      <w:r>
        <w:noBreakHyphen/>
        <w:t xml:space="preserve">level legislative immunity, </w:t>
      </w:r>
      <w:r>
        <w:rPr>
          <w:i/>
          <w:iCs/>
        </w:rPr>
        <w:t>see Bogan</w:t>
      </w:r>
      <w:r>
        <w:t>, 523 U.S. at 49 . . .  (holding that local legislators are ‘likewise’ absolutely immune from suit under § 1983), particularly a two</w:t>
      </w:r>
      <w:r>
        <w:noBreakHyphen/>
        <w:t xml:space="preserve">part, substance/procedure test, </w:t>
      </w:r>
      <w:r>
        <w:rPr>
          <w:i/>
          <w:iCs/>
        </w:rPr>
        <w:t xml:space="preserve">id. </w:t>
      </w:r>
      <w:r>
        <w:t>at 55 . . . (refusing to require that an act must be ‘legislative in substance’ as well as of ‘formally legislative character’ in order to be a legislative act).</w:t>
      </w:r>
    </w:p>
    <w:p w:rsidR="00721160" w:rsidRDefault="00721160"/>
    <w:p w:rsidR="00721160" w:rsidRDefault="00721160">
      <w:pPr>
        <w:spacing w:after="240"/>
      </w:pPr>
      <w:r>
        <w:rPr>
          <w:i/>
          <w:iCs/>
        </w:rPr>
        <w:t>Youngblood v. DeWeese</w:t>
      </w:r>
      <w:r>
        <w:t xml:space="preserve">, 352 F.3d 836, 841 n.4 (2004); </w:t>
      </w:r>
      <w:r>
        <w:rPr>
          <w:i/>
          <w:iCs/>
        </w:rPr>
        <w:t>see also Fowler</w:t>
      </w:r>
      <w:r>
        <w:rPr>
          <w:i/>
          <w:iCs/>
        </w:rPr>
        <w:noBreakHyphen/>
        <w:t>Nash v. Democratic Caucus of Pa. House of Representatives</w:t>
      </w:r>
      <w:r>
        <w:t xml:space="preserve">, 469 F.3d 328, 339 (3d Cir. 2006) (stating, in a suit against state officials, that the </w:t>
      </w:r>
      <w:r>
        <w:rPr>
          <w:i/>
          <w:iCs/>
        </w:rPr>
        <w:t>Bogan</w:t>
      </w:r>
      <w:r>
        <w:t xml:space="preserve"> Court “refused to insist that formally legislative acts, such as passing legislation, also be ‘legislative in </w:t>
      </w:r>
      <w:r>
        <w:rPr>
          <w:i/>
          <w:iCs/>
        </w:rPr>
        <w:t>substance</w:t>
      </w:r>
      <w:r>
        <w:t>’”).</w:t>
      </w:r>
    </w:p>
  </w:footnote>
  <w:footnote w:id="87">
    <w:p w:rsidR="00721160" w:rsidRDefault="00721160">
      <w:pPr>
        <w:spacing w:after="240"/>
        <w:ind w:firstLine="720"/>
      </w:pPr>
      <w:r>
        <w:rPr>
          <w:rStyle w:val="FootnoteReference"/>
          <w:vertAlign w:val="superscript"/>
        </w:rPr>
        <w:footnoteRef/>
      </w:r>
      <w:r>
        <w:t xml:space="preserve">  Prior to </w:t>
      </w:r>
      <w:r>
        <w:rPr>
          <w:i/>
          <w:iCs/>
        </w:rPr>
        <w:t>Baraka</w:t>
      </w:r>
      <w:r>
        <w:t xml:space="preserve">, the Court of Appeals had observed in </w:t>
      </w:r>
      <w:r>
        <w:rPr>
          <w:i/>
          <w:iCs/>
        </w:rPr>
        <w:t>Fowler</w:t>
      </w:r>
      <w:r>
        <w:rPr>
          <w:i/>
          <w:iCs/>
        </w:rPr>
        <w:noBreakHyphen/>
        <w:t>Nash v. Democratic Caucus of Pa. House of Representatives</w:t>
      </w:r>
      <w:r>
        <w:t xml:space="preserve">, 469 F.3d 328, 338 (3d Cir. 2006), that cases concerning local officials can be “instructive” in the court’s analysis of whether a state official’s actions were legislative in nature.  </w:t>
      </w:r>
      <w:r>
        <w:rPr>
          <w:i/>
          <w:iCs/>
        </w:rPr>
        <w:t xml:space="preserve">See also id. </w:t>
      </w:r>
      <w:r>
        <w:t xml:space="preserve">at 332 (describing the “functional” test for legislative immunity); </w:t>
      </w:r>
      <w:r>
        <w:rPr>
          <w:i/>
          <w:iCs/>
        </w:rPr>
        <w:t>id.</w:t>
      </w:r>
      <w:r>
        <w:t xml:space="preserve"> at 340 (holding that firing of state representative’s legislative assistant was administrative rather than legislative act).  And another post-</w:t>
      </w:r>
      <w:r>
        <w:rPr>
          <w:i/>
          <w:iCs/>
        </w:rPr>
        <w:t>Larsen</w:t>
      </w:r>
      <w:r>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Pr>
          <w:i/>
          <w:iCs/>
        </w:rPr>
        <w:t>See</w:t>
      </w:r>
      <w:r>
        <w:t xml:space="preserve"> </w:t>
      </w:r>
      <w:r>
        <w:rPr>
          <w:i/>
          <w:iCs/>
        </w:rPr>
        <w:t>Gallas v. Supreme Court of Pennsylvania</w:t>
      </w:r>
      <w:r>
        <w:t xml:space="preserve">, 211 F.3d 760, 776-77 (3d Cir. 2000).  </w:t>
      </w:r>
      <w:r>
        <w:rPr>
          <w:i/>
          <w:iCs/>
        </w:rPr>
        <w:t>Gallas</w:t>
      </w:r>
      <w:r>
        <w:t xml:space="preserve"> involved a question of legislative immunity because the plaintiff challenged a Pennsylvania Supreme Court order that eliminated the position of Executive Administrator of the First Judicial District of Pennsylvania.  </w:t>
      </w:r>
      <w:r>
        <w:rPr>
          <w:i/>
          <w:iCs/>
        </w:rPr>
        <w:t>See id.</w:t>
      </w:r>
      <w:r>
        <w:t xml:space="preserve"> at 766.</w:t>
      </w:r>
    </w:p>
  </w:footnote>
  <w:footnote w:id="88">
    <w:p w:rsidR="00721160" w:rsidRDefault="00721160">
      <w:pPr>
        <w:spacing w:after="240"/>
        <w:ind w:firstLine="720"/>
      </w:pPr>
      <w:r>
        <w:rPr>
          <w:rStyle w:val="FootnoteReference"/>
          <w:vertAlign w:val="superscript"/>
        </w:rPr>
        <w:footnoteRef/>
      </w:r>
      <w:r>
        <w:t xml:space="preserve">  </w:t>
      </w:r>
      <w:r>
        <w:rPr>
          <w:i/>
          <w:iCs/>
        </w:rPr>
        <w:t>Compare Malley v. Briggs</w:t>
      </w:r>
      <w:r>
        <w:t>, 475 U.S. 335, 344 (1986) (no absolute immunity for a police officer in connection with claim that his “request for a warrant allegedly caused an unconstitutional arrest”).</w:t>
      </w:r>
    </w:p>
  </w:footnote>
  <w:footnote w:id="89">
    <w:p w:rsidR="00721160" w:rsidRPr="00B10A08" w:rsidRDefault="00721160" w:rsidP="000A3E7C">
      <w:pPr>
        <w:spacing w:after="240"/>
        <w:ind w:firstLine="720"/>
      </w:pPr>
      <w:r w:rsidRPr="000A3E7C">
        <w:rPr>
          <w:rStyle w:val="FootnoteReference"/>
          <w:vertAlign w:val="superscript"/>
        </w:rPr>
        <w:footnoteRef/>
      </w:r>
      <w:r w:rsidRPr="000A3E7C">
        <w:rPr>
          <w:vertAlign w:val="superscript"/>
        </w:rPr>
        <w:t xml:space="preserve"> </w:t>
      </w:r>
      <w:r>
        <w:t xml:space="preserve"> Vi</w:t>
      </w:r>
      <w:r w:rsidRPr="00B10A08">
        <w:t>olat</w:t>
      </w:r>
      <w:r>
        <w:t xml:space="preserve">ion of </w:t>
      </w:r>
      <w:r w:rsidRPr="00B10A08">
        <w:t>a clearl</w:t>
      </w:r>
      <w:r>
        <w:t xml:space="preserve">y established </w:t>
      </w:r>
      <w:r w:rsidRPr="00DF5453">
        <w:rPr>
          <w:i/>
        </w:rPr>
        <w:t>state-law</w:t>
      </w:r>
      <w:r>
        <w:t xml:space="preserve"> right does </w:t>
      </w:r>
      <w:r w:rsidRPr="00B10A08">
        <w:t>not defeat qualified immunity regarding the violation of federal law.</w:t>
      </w:r>
      <w:r>
        <w:t xml:space="preserve"> </w:t>
      </w:r>
      <w:r w:rsidRPr="00B60E15">
        <w:rPr>
          <w:i/>
        </w:rPr>
        <w:t>Davis v. Scherer</w:t>
      </w:r>
      <w:r w:rsidRPr="00B10A08">
        <w:t>, 468 U.S. 183, 194 (1984)</w:t>
      </w:r>
      <w:r>
        <w:t>.</w:t>
      </w:r>
    </w:p>
  </w:footnote>
  <w:footnote w:id="90">
    <w:p w:rsidR="00721160" w:rsidRPr="0057793D" w:rsidRDefault="00721160" w:rsidP="000A3E7C">
      <w:pPr>
        <w:ind w:firstLine="720"/>
      </w:pPr>
      <w:r w:rsidRPr="000A3E7C">
        <w:rPr>
          <w:rStyle w:val="FootnoteReference"/>
          <w:vertAlign w:val="superscript"/>
        </w:rPr>
        <w:footnoteRef/>
      </w:r>
      <w:r>
        <w:t xml:space="preserve"> </w:t>
      </w:r>
      <w:r w:rsidRPr="0057793D">
        <w:t xml:space="preserve">“The contours of the right must be sufficiently clear that a reasonable official </w:t>
      </w:r>
      <w:r>
        <w:t>w</w:t>
      </w:r>
      <w:r w:rsidRPr="0057793D">
        <w:t xml:space="preserve">ould understand that what he is doing violates that right. </w:t>
      </w:r>
      <w:r>
        <w:t xml:space="preserve"> </w:t>
      </w:r>
      <w:r w:rsidRPr="0057793D">
        <w:t>This is not to say that an official action is protected by qualified immunity unless the very action in question has previously been held unlawful . . . ; but it is to say that in the light of pre</w:t>
      </w:r>
      <w:r w:rsidRPr="0057793D">
        <w:noBreakHyphen/>
        <w:t xml:space="preserve">existing law the unlawfulness must be apparent.”  </w:t>
      </w:r>
      <w:r w:rsidRPr="0057793D">
        <w:rPr>
          <w:i/>
          <w:iCs/>
        </w:rPr>
        <w:t>Anderson v. Creighton</w:t>
      </w:r>
      <w:r w:rsidRPr="0057793D">
        <w:t xml:space="preserve">, 483 U.S. 635, 640 (1987).  “[T]he salient question . . . is whether the state of the law [at the time of the conduct] gave respondents fair warning that their [conduct] was unconstitutional.”  </w:t>
      </w:r>
      <w:r w:rsidRPr="0057793D">
        <w:rPr>
          <w:i/>
          <w:iCs/>
        </w:rPr>
        <w:t>Hope v. Pelzer</w:t>
      </w:r>
      <w:r w:rsidRPr="0057793D">
        <w:t>, 536 U.S. 730, 741 (2002</w:t>
      </w:r>
      <w:r>
        <w:t xml:space="preserve">). See also </w:t>
      </w:r>
      <w:r w:rsidRPr="0057793D">
        <w:rPr>
          <w:i/>
          <w:iCs/>
        </w:rPr>
        <w:t>Brosseau v. Haugen</w:t>
      </w:r>
      <w:r w:rsidRPr="0057793D">
        <w:t>, 543 U.S. 194, 198 (2004) (per curiam) (emphasizing the need for attention to context in judging whether application of a general principle was clear under the circumstances</w:t>
      </w:r>
      <w:r>
        <w:t>). T</w:t>
      </w:r>
      <w:r w:rsidRPr="0057793D">
        <w:t xml:space="preserve">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57793D">
        <w:rPr>
          <w:i/>
          <w:iCs/>
        </w:rPr>
        <w:t>Burns v. PA Dep’t of Corrections</w:t>
      </w:r>
      <w:r w:rsidRPr="0057793D">
        <w:t xml:space="preserve">, 642 F.3d 163, 177 (3d Cir. 2011) (quoting </w:t>
      </w:r>
      <w:r w:rsidRPr="0057793D">
        <w:rPr>
          <w:i/>
          <w:iCs/>
        </w:rPr>
        <w:t>Hicks v. Feeney</w:t>
      </w:r>
      <w:r w:rsidRPr="0057793D">
        <w:t>, 770 F.2d 375, 380 (3d Cir. 1985)).</w:t>
      </w:r>
      <w:r>
        <w:t xml:space="preserve"> </w:t>
      </w:r>
    </w:p>
    <w:p w:rsidR="00721160" w:rsidRDefault="00721160" w:rsidP="000A3E7C">
      <w:pPr>
        <w:ind w:firstLine="720"/>
      </w:pPr>
    </w:p>
    <w:p w:rsidR="00721160" w:rsidRDefault="00721160" w:rsidP="000A3E7C">
      <w:pPr>
        <w:ind w:firstLine="720"/>
      </w:pPr>
      <w:r w:rsidRPr="0057793D">
        <w:t xml:space="preserve">Unlawfulness can be apparent “even in novel factual circumstances.”  </w:t>
      </w:r>
      <w:r w:rsidRPr="0057793D">
        <w:rPr>
          <w:i/>
          <w:iCs/>
        </w:rPr>
        <w:t>Hope v. Pelzer</w:t>
      </w:r>
      <w:r w:rsidRPr="0057793D">
        <w:t xml:space="preserve">, 536 U.S. 730, 741 (2002); </w:t>
      </w:r>
      <w:r w:rsidRPr="0057793D">
        <w:rPr>
          <w:i/>
          <w:iCs/>
        </w:rPr>
        <w:t>see also Groh v. Ramirez</w:t>
      </w:r>
      <w:r w:rsidRPr="0057793D">
        <w:t>, 540 U.S. 551, 564 (2004) (“No reasonable officer could claim to be unaware of the basic rule, well established by our cases, that, absent consent or exigency, a warrantless search of the home is presumptively unconstitutional.”);</w:t>
      </w:r>
      <w:r w:rsidRPr="000E30EB">
        <w:t xml:space="preserve"> </w:t>
      </w:r>
      <w:r w:rsidRPr="003941F6">
        <w:rPr>
          <w:i/>
        </w:rPr>
        <w:t>Halsey v. Pfeiffer</w:t>
      </w:r>
      <w:r w:rsidRPr="003941F6">
        <w:t>, 750 F.3d 273, 296 (</w:t>
      </w:r>
      <w:r>
        <w:t xml:space="preserve">3d Cir. </w:t>
      </w:r>
      <w:r w:rsidRPr="003941F6">
        <w:t>2014) (holding that even though it had not previously decided on the viability of a stand-alone claim for fabrication of evidence, reasonable officers should have known that “they certainly could not fabricate inculpatory evidence”);</w:t>
      </w:r>
      <w:r>
        <w:t xml:space="preserve"> </w:t>
      </w:r>
      <w:r w:rsidRPr="003941F6">
        <w:rPr>
          <w:i/>
        </w:rPr>
        <w:t>Carman v. Carroll</w:t>
      </w:r>
      <w:r w:rsidRPr="003941F6">
        <w:t>, 749 F.3d 192 (3d Cir. 2014) (holding that plaintiff was entitled to judgment as a matter of law because the court had made clear over a decade ago that the right to knock at the front door while conducting a “knock and talk” does not carry a concomitant right to enter other parts of the curtilage)</w:t>
      </w:r>
      <w:r>
        <w:t xml:space="preserve">; </w:t>
      </w:r>
      <w:r>
        <w:rPr>
          <w:i/>
          <w:iCs/>
        </w:rPr>
        <w:t>Sc</w:t>
      </w:r>
      <w:r w:rsidRPr="0057793D">
        <w:rPr>
          <w:i/>
          <w:iCs/>
        </w:rPr>
        <w:t>hneyder v. Smith</w:t>
      </w:r>
      <w:r w:rsidRPr="0057793D">
        <w:t>,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w:t>
      </w:r>
      <w:r>
        <w:t xml:space="preserve">; </w:t>
      </w:r>
      <w:r w:rsidRPr="00B60E15">
        <w:rPr>
          <w:i/>
          <w:iCs/>
        </w:rPr>
        <w:t>Abbott v. Latshaw</w:t>
      </w:r>
      <w:r w:rsidRPr="00B60E15">
        <w:t>, 164 F.3d 141, 148 (3d Cir. 1998)</w:t>
      </w:r>
      <w:r>
        <w:t xml:space="preserve"> (denying qualified immunity and noting that “</w:t>
      </w:r>
      <w:r w:rsidRPr="00B10A08">
        <w:t>it is the domain of the courts,</w:t>
      </w:r>
      <w:r>
        <w:t xml:space="preserve">” not law enforcement officers, </w:t>
      </w:r>
      <w:r w:rsidRPr="00B10A08">
        <w:t xml:space="preserve"> </w:t>
      </w:r>
      <w:r>
        <w:t>“</w:t>
      </w:r>
      <w:r w:rsidRPr="00B60E15">
        <w:t>to decide who is entitled to possession of property</w:t>
      </w:r>
      <w:r>
        <w:t>,” that “</w:t>
      </w:r>
      <w:r w:rsidRPr="00B10A08">
        <w:t>citizens are to have a meaningful opportunity to be heard as to their rights before they are finally deprived of possession of property</w:t>
      </w:r>
      <w:r>
        <w:t>,” and that the officer’s “</w:t>
      </w:r>
      <w:r w:rsidRPr="00B10A08">
        <w:t>curbside courtroom, in which he decided who was entitled to possession, is precisely the situation and deprivation of rights to be avoided</w:t>
      </w:r>
      <w:r>
        <w:t>”)</w:t>
      </w:r>
      <w:r w:rsidRPr="00B10A08">
        <w:t>.</w:t>
      </w:r>
    </w:p>
    <w:p w:rsidR="00721160" w:rsidRDefault="00721160" w:rsidP="000A3E7C">
      <w:pPr>
        <w:ind w:firstLine="720"/>
      </w:pPr>
      <w:r>
        <w:t xml:space="preserve">Courts </w:t>
      </w:r>
      <w:r w:rsidRPr="0057793D">
        <w:t>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w:t>
      </w:r>
      <w:r>
        <w:t xml:space="preserve">. </w:t>
      </w:r>
      <w:r w:rsidRPr="0057793D">
        <w:rPr>
          <w:i/>
          <w:iCs/>
        </w:rPr>
        <w:t>Ashcroft v. Al-Kidd</w:t>
      </w:r>
      <w:r w:rsidRPr="0057793D">
        <w:t>, 131 S. Ct. 2074, 2084-8</w:t>
      </w:r>
      <w:r>
        <w:t xml:space="preserve">5 (2011); </w:t>
      </w:r>
      <w:r w:rsidRPr="0057793D">
        <w:rPr>
          <w:i/>
          <w:iCs/>
        </w:rPr>
        <w:t>Safford Unified</w:t>
      </w:r>
      <w:r>
        <w:rPr>
          <w:i/>
          <w:iCs/>
        </w:rPr>
        <w:t xml:space="preserve"> </w:t>
      </w:r>
      <w:r w:rsidRPr="0057793D">
        <w:rPr>
          <w:i/>
          <w:iCs/>
        </w:rPr>
        <w:t>School Dist. No. 1 v. Redding</w:t>
      </w:r>
      <w:r w:rsidRPr="0057793D">
        <w:t>, 129 S. Ct. 2633, 2644 (2009) (“[T]he cases viewing</w:t>
      </w:r>
      <w:r>
        <w:t xml:space="preserve"> </w:t>
      </w:r>
      <w:r w:rsidRPr="0057793D">
        <w:t>school strip searches differently from the way we see them are numerous enough, with</w:t>
      </w:r>
      <w:r>
        <w:t xml:space="preserve"> </w:t>
      </w:r>
      <w:r w:rsidRPr="0057793D">
        <w:t>well</w:t>
      </w:r>
      <w:r w:rsidRPr="0057793D">
        <w:noBreakHyphen/>
        <w:t>reasoned majority and dissenting opinions, to counsel doubt that we were sufficiently clear</w:t>
      </w:r>
      <w:r>
        <w:t xml:space="preserve"> </w:t>
      </w:r>
      <w:r w:rsidRPr="0057793D">
        <w:t xml:space="preserve">in the prior statement of law.”); </w:t>
      </w:r>
      <w:r w:rsidRPr="002C481A">
        <w:rPr>
          <w:i/>
        </w:rPr>
        <w:t>Stanton v. Sims</w:t>
      </w:r>
      <w:r w:rsidRPr="002C481A">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w:t>
      </w:r>
      <w:r w:rsidRPr="002C481A">
        <w:t>;</w:t>
      </w:r>
      <w:r>
        <w:t xml:space="preserve"> </w:t>
      </w:r>
      <w:r w:rsidRPr="0057793D">
        <w:rPr>
          <w:i/>
          <w:iCs/>
        </w:rPr>
        <w:t>Ray v. Township of Warren</w:t>
      </w:r>
      <w:r w:rsidRPr="0057793D">
        <w:t>, 626 F.3d 170, 177 (3d Cir. 2010) (holding that the inapplicability of the community caretaking doctrine to warrantless entries into homes was not clearly established in light of, inter alia, “the conflicting precedents on this issue from other Circuits</w:t>
      </w:r>
      <w:r>
        <w:t>); M</w:t>
      </w:r>
      <w:r w:rsidRPr="0057793D">
        <w:rPr>
          <w:i/>
        </w:rPr>
        <w:t>arcavage v. National Park Serv.</w:t>
      </w:r>
      <w:r w:rsidRPr="0057793D">
        <w:t>, 666 F.3d 856, 857, 859-60 (3d Cir. 2012) (holding that plaintiff’s conviction for misdemeanors stemming from events at issue supported qualified immunity defense of arresting officer and his supervisor, even though conviction was later reversed).</w:t>
      </w:r>
    </w:p>
    <w:p w:rsidR="00721160" w:rsidRPr="00DF5453" w:rsidRDefault="00721160" w:rsidP="000A3E7C">
      <w:pPr>
        <w:spacing w:after="240"/>
        <w:ind w:firstLine="720"/>
      </w:pPr>
      <w:r w:rsidRPr="00DF5453">
        <w:t xml:space="preserve">Explaining its focus on reasonableness under the circumstances, the Court stated in </w:t>
      </w:r>
      <w:r w:rsidRPr="00DF5453">
        <w:rPr>
          <w:i/>
        </w:rPr>
        <w:t>Saucier</w:t>
      </w:r>
      <w:r w:rsidRPr="00DF5453">
        <w:t xml:space="preserve"> that “[b]ecause ‘police officers are often forced to make split</w:t>
      </w:r>
      <w:r w:rsidRPr="00DF5453">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F5453">
        <w:noBreakHyphen/>
        <w:t xml:space="preserve">scene perspective.”  </w:t>
      </w:r>
      <w:r w:rsidRPr="00DF5453">
        <w:rPr>
          <w:i/>
        </w:rPr>
        <w:t>Saucier</w:t>
      </w:r>
      <w:r w:rsidRPr="00DF5453">
        <w:t xml:space="preserve">, 533 U.S. at 205 (quoting </w:t>
      </w:r>
      <w:r w:rsidRPr="00DF5453">
        <w:rPr>
          <w:i/>
        </w:rPr>
        <w:t>Graham v. Connor</w:t>
      </w:r>
      <w:r w:rsidRPr="00DF5453">
        <w:t xml:space="preserve">, 490 U.S. 386, 397 (1989)).  Conversely, the court of appeals has suggested that qualified immunity analysis can take into account the fact that a defendant had time to deliberate before acting.  See </w:t>
      </w:r>
      <w:r w:rsidRPr="00DF5453">
        <w:rPr>
          <w:i/>
        </w:rPr>
        <w:t>Reedy v. Evanson</w:t>
      </w:r>
      <w:r w:rsidRPr="00DF5453">
        <w:t>, 615 F.3d 197, 224 n.37 (3d Cir. 2010) (in the course of holding that summary judgment on qualified-immunity grounds was inappropriate, noting that “[t]here were no ‘split</w:t>
      </w:r>
      <w:r w:rsidRPr="00DF5453">
        <w:noBreakHyphen/>
        <w:t>second’ decisions made in this case”).</w:t>
      </w:r>
    </w:p>
  </w:footnote>
  <w:footnote w:id="91">
    <w:p w:rsidR="00721160" w:rsidRDefault="00721160" w:rsidP="000A3E7C">
      <w:pPr>
        <w:spacing w:after="240"/>
        <w:ind w:firstLine="720"/>
      </w:pPr>
      <w:r w:rsidRPr="000A3E7C">
        <w:rPr>
          <w:rStyle w:val="FootnoteReference"/>
          <w:vertAlign w:val="superscript"/>
        </w:rPr>
        <w:footnoteRef/>
      </w:r>
      <w:r w:rsidRPr="000A3E7C">
        <w:rPr>
          <w:vertAlign w:val="superscript"/>
        </w:rPr>
        <w:t xml:space="preserve"> </w:t>
      </w:r>
      <w:r>
        <w:t xml:space="preserve"> </w:t>
      </w:r>
      <w:r w:rsidRPr="00DF5453">
        <w:t xml:space="preserve">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r w:rsidRPr="00DF5453">
        <w:rPr>
          <w:i/>
          <w:iCs/>
        </w:rPr>
        <w:t>Egolf v. Witmer</w:t>
      </w:r>
      <w:r w:rsidRPr="00DF5453">
        <w:t xml:space="preserve">, 526 F.3d 104, 110 (3d Cir. 2008).  The </w:t>
      </w:r>
      <w:r w:rsidRPr="00DF5453">
        <w:rPr>
          <w:i/>
          <w:iCs/>
        </w:rPr>
        <w:t>Pearson</w:t>
      </w:r>
      <w:r w:rsidRPr="00DF5453">
        <w:t xml:space="preserve"> Court cited </w:t>
      </w:r>
      <w:r w:rsidRPr="00DF5453">
        <w:rPr>
          <w:i/>
          <w:iCs/>
        </w:rPr>
        <w:t>Egolf</w:t>
      </w:r>
      <w:r w:rsidRPr="00DF5453">
        <w:t xml:space="preserve"> with apparent approval.  </w:t>
      </w:r>
      <w:r w:rsidRPr="00DF5453">
        <w:rPr>
          <w:i/>
          <w:iCs/>
        </w:rPr>
        <w:t>See Pearson</w:t>
      </w:r>
      <w:r w:rsidRPr="00DF5453">
        <w:t>, 129 S. Ct. at 819.  For a post-</w:t>
      </w:r>
      <w:r w:rsidRPr="00DF5453">
        <w:rPr>
          <w:i/>
          <w:iCs/>
        </w:rPr>
        <w:t>Pearson</w:t>
      </w:r>
      <w:r w:rsidRPr="00DF5453">
        <w:t xml:space="preserve"> case following </w:t>
      </w:r>
      <w:r w:rsidRPr="00DF5453">
        <w:rPr>
          <w:i/>
          <w:iCs/>
        </w:rPr>
        <w:t>Egolf</w:t>
      </w:r>
      <w:r w:rsidRPr="00DF5453">
        <w:t xml:space="preserve">, see </w:t>
      </w:r>
      <w:r w:rsidRPr="00DF5453">
        <w:rPr>
          <w:i/>
          <w:iCs/>
        </w:rPr>
        <w:t>Montanez v. Thompson</w:t>
      </w:r>
      <w:r w:rsidRPr="00DF5453">
        <w:t xml:space="preserve">, 603 F.3d 243, 251 (3d Cir. 2010).  For a case noting that under </w:t>
      </w:r>
      <w:r w:rsidRPr="00DF5453">
        <w:rPr>
          <w:i/>
          <w:iCs/>
        </w:rPr>
        <w:t>Pearson</w:t>
      </w:r>
      <w:r w:rsidRPr="00DF5453">
        <w:t xml:space="preserve"> “district courts have wide discretion to decide which of the two prongs established in </w:t>
      </w:r>
      <w:r w:rsidRPr="00DF5453">
        <w:rPr>
          <w:i/>
          <w:iCs/>
        </w:rPr>
        <w:t xml:space="preserve">Saucier </w:t>
      </w:r>
      <w:r w:rsidRPr="00DF5453">
        <w:t xml:space="preserve">to address first,” see </w:t>
      </w:r>
      <w:r w:rsidRPr="00DF5453">
        <w:rPr>
          <w:i/>
          <w:iCs/>
        </w:rPr>
        <w:t>Kelly v. Borough of Carlisle</w:t>
      </w:r>
      <w:r w:rsidRPr="00DF5453">
        <w:t>, 622 F.3d 248, at 259 n.6 (3d Cir. 2010).</w:t>
      </w:r>
      <w:r>
        <w:t xml:space="preserve"> </w:t>
      </w:r>
    </w:p>
    <w:p w:rsidR="00721160" w:rsidRDefault="00721160" w:rsidP="000A3E7C">
      <w:pPr>
        <w:spacing w:after="240"/>
        <w:ind w:firstLine="720"/>
      </w:pPr>
      <w:r>
        <w:t>See also</w:t>
      </w:r>
      <w:r w:rsidRPr="0057793D">
        <w:t xml:space="preserve"> </w:t>
      </w:r>
      <w:r w:rsidRPr="0057793D">
        <w:rPr>
          <w:i/>
          <w:iCs/>
        </w:rPr>
        <w:t>Schmidt v. Creedon</w:t>
      </w:r>
      <w:r w:rsidRPr="0057793D">
        <w:t xml:space="preserve">, 639 F.3d 587, 598 n.17 (3d Cir. 2011) (“A district court's error of law at step one of the </w:t>
      </w:r>
      <w:r w:rsidRPr="0057793D">
        <w:rPr>
          <w:i/>
          <w:iCs/>
        </w:rPr>
        <w:t xml:space="preserve">Saucier </w:t>
      </w:r>
      <w:r w:rsidRPr="0057793D">
        <w:t>procedure is relevant, but not dispositive, when considering whether a right is clearly established. In some cases, a lower court's error is simply an oversight, rather than evidence that the law is not clearly established.”)</w:t>
      </w:r>
    </w:p>
  </w:footnote>
  <w:footnote w:id="92">
    <w:p w:rsidR="00721160" w:rsidRDefault="00721160">
      <w:pPr>
        <w:spacing w:after="240"/>
        <w:ind w:firstLine="720"/>
      </w:pPr>
      <w:r>
        <w:rPr>
          <w:rStyle w:val="FootnoteReference"/>
          <w:vertAlign w:val="superscript"/>
        </w:rPr>
        <w:footnoteRef/>
      </w:r>
      <w:r>
        <w:t xml:space="preserve">  The Court of Appeals has distinguished between the underlying excessive-force inquiry and the qualified-immunity inquiry by characterizing the former as a question of fact and the latter as a question of law.  </w:t>
      </w:r>
      <w:r>
        <w:rPr>
          <w:i/>
          <w:iCs/>
        </w:rPr>
        <w:t>See Curley v. Klem</w:t>
      </w:r>
      <w:r>
        <w:t>, 499 F.3d 199, 214 (3d Cir. 2007) (“</w:t>
      </w:r>
      <w:r>
        <w:rPr>
          <w:i/>
          <w:iCs/>
        </w:rPr>
        <w:t>Curley II</w:t>
      </w:r>
      <w:r>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3">
    <w:p w:rsidR="00721160" w:rsidRPr="003941F6" w:rsidRDefault="00721160" w:rsidP="003941F6">
      <w:pPr>
        <w:spacing w:after="240"/>
        <w:ind w:firstLine="720"/>
      </w:pPr>
      <w:r>
        <w:rPr>
          <w:rStyle w:val="FootnoteReference"/>
          <w:vertAlign w:val="superscript"/>
        </w:rPr>
        <w:footnoteRef/>
      </w:r>
      <w:r>
        <w:t xml:space="preserve">  </w:t>
      </w:r>
      <w:r>
        <w:rPr>
          <w:i/>
          <w:iCs/>
        </w:rPr>
        <w:t>See, e.g., Estate of Smith v. Marasco</w:t>
      </w:r>
      <w:r>
        <w:t>,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w:t>
      </w:r>
      <w:r w:rsidRPr="003941F6">
        <w:t xml:space="preserve">.”). </w:t>
      </w:r>
      <w:r w:rsidRPr="005B19B4">
        <w:rPr>
          <w:i/>
        </w:rPr>
        <w:t>See also</w:t>
      </w:r>
      <w:r w:rsidRPr="003941F6">
        <w:t xml:space="preserve"> </w:t>
      </w:r>
      <w:r w:rsidRPr="003941F6">
        <w:rPr>
          <w:i/>
        </w:rPr>
        <w:t>Tolan v. Cotton</w:t>
      </w:r>
      <w:r w:rsidRPr="003941F6">
        <w:t>, 134 S.Ct. 1861 (2014) (per curiam) (emphasizing that the fundamental principle of summary judgment practice—that reasonable inferences should be drawn in favor of the nonmoving party—governs qualified immunity determinations).</w:t>
      </w:r>
    </w:p>
    <w:p w:rsidR="00721160" w:rsidRDefault="00721160">
      <w:pPr>
        <w:spacing w:after="240"/>
        <w:ind w:firstLine="720"/>
      </w:pPr>
    </w:p>
  </w:footnote>
  <w:footnote w:id="94">
    <w:p w:rsidR="00721160" w:rsidRDefault="00721160">
      <w:pPr>
        <w:spacing w:after="240"/>
        <w:ind w:firstLine="720"/>
      </w:pPr>
      <w:r>
        <w:rPr>
          <w:rStyle w:val="FootnoteReference"/>
          <w:vertAlign w:val="superscript"/>
        </w:rPr>
        <w:footnoteRef/>
      </w:r>
      <w:r>
        <w:t xml:space="preserve">  Admittedly, this statement in </w:t>
      </w:r>
      <w:r>
        <w:rPr>
          <w:i/>
          <w:iCs/>
        </w:rPr>
        <w:t>Carswell</w:t>
      </w:r>
      <w:r>
        <w:t xml:space="preserve"> was dictum: The court in </w:t>
      </w:r>
      <w:r>
        <w:rPr>
          <w:i/>
          <w:iCs/>
        </w:rPr>
        <w:t>Carswell</w:t>
      </w:r>
      <w:r>
        <w:t xml:space="preserve"> affirmed the district court’s grant of judgment as a matter of law at the close of plaintiff’s case in chief.  </w:t>
      </w:r>
      <w:r>
        <w:rPr>
          <w:i/>
          <w:iCs/>
        </w:rPr>
        <w:t>See Carswell</w:t>
      </w:r>
      <w:r>
        <w:t xml:space="preserve">, 381 F.3d at 239, 245.  </w:t>
      </w:r>
      <w:r>
        <w:rPr>
          <w:i/>
          <w:iCs/>
        </w:rPr>
        <w:t>See also</w:t>
      </w:r>
      <w:r>
        <w:t xml:space="preserve"> </w:t>
      </w:r>
      <w:r>
        <w:rPr>
          <w:i/>
          <w:iCs/>
        </w:rPr>
        <w:t>Harvey v. Plains Twp. Police Dept.</w:t>
      </w:r>
      <w:r>
        <w:t xml:space="preserve">, 421 F.3d 185, 194 n. 12 (3d Cir. 2005) (citing </w:t>
      </w:r>
      <w:r>
        <w:rPr>
          <w:i/>
          <w:iCs/>
        </w:rPr>
        <w:t>Carswell</w:t>
      </w:r>
      <w:r>
        <w:t xml:space="preserve"> and </w:t>
      </w:r>
      <w:r>
        <w:rPr>
          <w:i/>
          <w:iCs/>
        </w:rPr>
        <w:t>Curley I</w:t>
      </w:r>
      <w:r>
        <w:t xml:space="preserve"> with approval).</w:t>
      </w:r>
    </w:p>
  </w:footnote>
  <w:footnote w:id="95">
    <w:p w:rsidR="00721160" w:rsidRDefault="00721160">
      <w:pPr>
        <w:spacing w:after="240"/>
        <w:ind w:firstLine="720"/>
      </w:pPr>
      <w:r>
        <w:rPr>
          <w:rStyle w:val="FootnoteReference"/>
          <w:vertAlign w:val="superscript"/>
        </w:rPr>
        <w:footnoteRef/>
      </w:r>
      <w:r>
        <w:t xml:space="preserve">  Under </w:t>
      </w:r>
      <w:r>
        <w:rPr>
          <w:i/>
          <w:iCs/>
        </w:rPr>
        <w:t>Carswell</w:t>
      </w:r>
      <w:r>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Pr>
          <w:i/>
          <w:iCs/>
        </w:rPr>
        <w:t>See Carswell</w:t>
      </w:r>
      <w:r>
        <w:t xml:space="preserve">, 381 F.3d at 242 &amp; n.2; </w:t>
      </w:r>
      <w:r>
        <w:rPr>
          <w:i/>
          <w:iCs/>
        </w:rPr>
        <w:t>see also Stephenson v. Doe</w:t>
      </w:r>
      <w:r>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Pr>
          <w:i/>
          <w:iCs/>
        </w:rPr>
        <w:t>but see</w:t>
      </w:r>
      <w:r>
        <w:t xml:space="preserve"> </w:t>
      </w:r>
      <w:r>
        <w:rPr>
          <w:i/>
          <w:iCs/>
        </w:rPr>
        <w:t>Sloman v. Tadlock</w:t>
      </w:r>
      <w:r>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6">
    <w:p w:rsidR="00721160" w:rsidRDefault="00721160">
      <w:pPr>
        <w:spacing w:after="240"/>
        <w:ind w:firstLine="720"/>
      </w:pPr>
      <w:r>
        <w:rPr>
          <w:rStyle w:val="FootnoteReference"/>
          <w:vertAlign w:val="superscript"/>
        </w:rPr>
        <w:footnoteRef/>
      </w:r>
      <w:r>
        <w:t xml:space="preserve">  Though the </w:t>
      </w:r>
      <w:r>
        <w:rPr>
          <w:i/>
          <w:iCs/>
        </w:rPr>
        <w:t>Curley II</w:t>
      </w:r>
      <w:r>
        <w:t xml:space="preserve"> court stressed that “that the second step in the </w:t>
      </w:r>
      <w:r>
        <w:rPr>
          <w:i/>
          <w:iCs/>
        </w:rPr>
        <w:t xml:space="preserve">Saucier </w:t>
      </w:r>
      <w:r>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Pr>
          <w:i/>
          <w:iCs/>
        </w:rPr>
        <w:t>Curley II</w:t>
      </w:r>
      <w:r>
        <w:t>, 499 F.3d at 211 n.12.</w:t>
      </w:r>
    </w:p>
  </w:footnote>
  <w:footnote w:id="97">
    <w:p w:rsidR="00721160" w:rsidRDefault="00721160">
      <w:pPr>
        <w:spacing w:after="240"/>
        <w:ind w:firstLine="720"/>
      </w:pPr>
      <w:r>
        <w:rPr>
          <w:rStyle w:val="FootnoteReference"/>
          <w:vertAlign w:val="superscript"/>
        </w:rPr>
        <w:footnoteRef/>
      </w:r>
      <w:r>
        <w:t xml:space="preserve">  For a further discussion of burdens of proof in this context, </w:t>
      </w:r>
      <w:r>
        <w:rPr>
          <w:i/>
          <w:iCs/>
        </w:rPr>
        <w:t xml:space="preserve">see supra </w:t>
      </w:r>
      <w:r>
        <w:t>Comment 4.2.</w:t>
      </w:r>
    </w:p>
  </w:footnote>
  <w:footnote w:id="98">
    <w:p w:rsidR="00721160" w:rsidRDefault="00721160">
      <w:pPr>
        <w:ind w:firstLine="720"/>
      </w:pPr>
      <w:r>
        <w:rPr>
          <w:rStyle w:val="FootnoteReference"/>
          <w:vertAlign w:val="superscript"/>
        </w:rPr>
        <w:footnoteRef/>
      </w:r>
      <w:r>
        <w:t xml:space="preserve">  </w:t>
      </w:r>
      <w:r>
        <w:rPr>
          <w:i/>
          <w:iCs/>
        </w:rPr>
        <w:t>See, e.g.</w:t>
      </w:r>
      <w:r>
        <w:t xml:space="preserve">, </w:t>
      </w:r>
      <w:r>
        <w:rPr>
          <w:i/>
          <w:iCs/>
        </w:rPr>
        <w:t>Sharrar v. Felsing</w:t>
      </w:r>
      <w:r>
        <w:t xml:space="preserve">, 128 F.3d 810, 826 (3d Cir. 1997) (“[T]he officer's subjective beliefs about the legality of his or her conduct generally ‘are irrelevant.’”) (quoting </w:t>
      </w:r>
      <w:r>
        <w:rPr>
          <w:i/>
          <w:iCs/>
        </w:rPr>
        <w:t>Anderson</w:t>
      </w:r>
      <w:r>
        <w:t xml:space="preserve">, 483 U.S. at 641); </w:t>
      </w:r>
      <w:r>
        <w:rPr>
          <w:i/>
          <w:iCs/>
        </w:rPr>
        <w:t>Grant v. City of Pittsburgh</w:t>
      </w:r>
      <w:r>
        <w:t>, 98 F.3d 116, 123-24 (3d Cir. 1996)</w:t>
      </w:r>
    </w:p>
    <w:p w:rsidR="00721160" w:rsidRDefault="00721160">
      <w:r>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rsidR="00721160" w:rsidRDefault="00721160">
      <w:pPr>
        <w:ind w:firstLine="720"/>
      </w:pPr>
      <w:r>
        <w:t xml:space="preserve"> Justice Brennan’s concurrence in </w:t>
      </w:r>
      <w:r>
        <w:rPr>
          <w:i/>
          <w:iCs/>
        </w:rPr>
        <w:t>Harlow</w:t>
      </w:r>
      <w:r>
        <w:t xml:space="preserve">, quoting language from the majority opinion, asserted that the Court’s standard “would not allow the official who </w:t>
      </w:r>
      <w:r>
        <w:rPr>
          <w:i/>
          <w:iCs/>
        </w:rPr>
        <w:t xml:space="preserve">actually knows </w:t>
      </w:r>
      <w:r>
        <w:t>that he was violating the law to escape liability for his actions, even if he could not ‘reasonably have been expected’ to know what he actually did know . . . .  Thus the clever and unusually well</w:t>
      </w:r>
      <w:r>
        <w:noBreakHyphen/>
        <w:t xml:space="preserve">informed violator of constitutional rights will not evade just punishment for his crimes.”  </w:t>
      </w:r>
      <w:r>
        <w:rPr>
          <w:i/>
          <w:iCs/>
        </w:rPr>
        <w:t>Harlow</w:t>
      </w:r>
      <w:r>
        <w:t>, 457 U.S. at 821 (Brennan, J., joined by Marshall &amp; Blackmun, JJ., concurring).  The quoted language from the majority opinion, however, appears to refer to cases in which the defendant’s conduct in fact violated clearly established law:</w:t>
      </w:r>
    </w:p>
    <w:p w:rsidR="00721160" w:rsidRDefault="00721160"/>
    <w:p w:rsidR="00721160" w:rsidRDefault="00721160">
      <w:pPr>
        <w:ind w:left="720"/>
      </w:pPr>
      <w:r>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rsidR="00721160" w:rsidRDefault="00721160"/>
    <w:p w:rsidR="00721160" w:rsidRDefault="00721160">
      <w:r>
        <w:rPr>
          <w:i/>
          <w:iCs/>
        </w:rPr>
        <w:t>Harlow</w:t>
      </w:r>
      <w:r>
        <w:t>, 457 U.S. at 818-19.</w:t>
      </w:r>
    </w:p>
    <w:p w:rsidR="00721160" w:rsidRDefault="00721160">
      <w:pPr>
        <w:spacing w:after="240"/>
        <w:ind w:firstLine="720"/>
      </w:pPr>
      <w:r>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758E3">
        <w:t>622 F.3d 248</w:t>
      </w:r>
      <w:r>
        <w:t xml:space="preserve">, 255-56 (3d Cir. 2010).  However, “a plaintiff may rebut this presumption by showing that, under all the factual and legal circumstances surrounding the arrest, a reasonable officer would not have relied on the prosecutor's advice.”  </w:t>
      </w:r>
      <w:r>
        <w:rPr>
          <w:i/>
          <w:iCs/>
        </w:rPr>
        <w:t>Id.</w:t>
      </w:r>
    </w:p>
  </w:footnote>
  <w:footnote w:id="99">
    <w:p w:rsidR="00721160" w:rsidRDefault="00721160">
      <w:pPr>
        <w:spacing w:after="240"/>
        <w:ind w:firstLine="720"/>
      </w:pPr>
      <w:r>
        <w:rPr>
          <w:rStyle w:val="FootnoteReference"/>
          <w:vertAlign w:val="superscript"/>
        </w:rPr>
        <w:footnoteRef/>
      </w:r>
      <w:r>
        <w:t xml:space="preserve">  </w:t>
      </w:r>
      <w:r>
        <w:rPr>
          <w:i/>
          <w:iCs/>
        </w:rPr>
        <w:t>See, e.g.</w:t>
      </w:r>
      <w:r>
        <w:t xml:space="preserve">, </w:t>
      </w:r>
      <w:r>
        <w:rPr>
          <w:i/>
          <w:iCs/>
        </w:rPr>
        <w:t>Berg v. County of Allegheny</w:t>
      </w:r>
      <w:r>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Pr>
          <w:i/>
          <w:iCs/>
        </w:rPr>
        <w:t>See</w:t>
      </w:r>
      <w:r>
        <w:t xml:space="preserve"> </w:t>
      </w:r>
      <w:r>
        <w:rPr>
          <w:i/>
          <w:iCs/>
        </w:rPr>
        <w:t>Gilles v. Davis</w:t>
      </w:r>
      <w:r>
        <w:t xml:space="preserve">, 427 F.3d 197, 206 (3d Cir. 2005) (“[W]hether it was reasonable to believe there was probable cause is in part based on the limited information that the arresting officer has at the time.”); </w:t>
      </w:r>
      <w:r>
        <w:rPr>
          <w:i/>
          <w:iCs/>
        </w:rPr>
        <w:t>see also Harvey v. Plains Twp. Police Dept.</w:t>
      </w:r>
      <w:r>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Pr>
          <w:i/>
          <w:iCs/>
        </w:rPr>
        <w:t>Blaylock v. City of Philadelphia</w:t>
      </w:r>
      <w:r>
        <w:t xml:space="preserve">, 504 F.3d 405, 411 (3d Cir. 2007) (citing </w:t>
      </w:r>
      <w:r>
        <w:rPr>
          <w:i/>
          <w:iCs/>
        </w:rPr>
        <w:t>Hunter v. Bryant</w:t>
      </w:r>
      <w:r>
        <w:t>, 502 U.S. 224, 228</w:t>
      </w:r>
      <w:r>
        <w:noBreakHyphen/>
        <w:t xml:space="preserve">29 (1991), and </w:t>
      </w:r>
      <w:r>
        <w:rPr>
          <w:i/>
          <w:iCs/>
        </w:rPr>
        <w:t>Anderson v. Creighton</w:t>
      </w:r>
      <w:r>
        <w:t xml:space="preserve">, 483 U.S. 635, 641 (1987)); </w:t>
      </w:r>
      <w:r>
        <w:rPr>
          <w:i/>
          <w:iCs/>
        </w:rPr>
        <w:t>Burns v. PA Dep’t of Corrections</w:t>
      </w:r>
      <w:r>
        <w:t>, 642 F.3d 163, 177 &amp; n.12 (3d Cir. 2011).</w:t>
      </w:r>
    </w:p>
  </w:footnote>
  <w:footnote w:id="100">
    <w:p w:rsidR="00721160" w:rsidRDefault="00721160">
      <w:pPr>
        <w:ind w:firstLine="720"/>
      </w:pPr>
      <w:r>
        <w:rPr>
          <w:rStyle w:val="FootnoteReference"/>
          <w:vertAlign w:val="superscript"/>
        </w:rPr>
        <w:footnoteRef/>
      </w:r>
      <w:r>
        <w:t xml:space="preserve">  </w:t>
      </w:r>
      <w:r>
        <w:rPr>
          <w:i/>
          <w:iCs/>
        </w:rPr>
        <w:t>See Monteiro</w:t>
      </w:r>
      <w:r>
        <w:t>, 436 F.3d at 405 (“Perkins</w:t>
      </w:r>
      <w:r>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rsidR="00721160" w:rsidRDefault="00721160">
      <w:pPr>
        <w:ind w:firstLine="720"/>
      </w:pPr>
      <w:r>
        <w:t xml:space="preserve">Similarly, the Eleventh Circuit noted </w:t>
      </w:r>
      <w:r>
        <w:rPr>
          <w:i/>
          <w:iCs/>
        </w:rPr>
        <w:t>Saucier</w:t>
      </w:r>
      <w:r>
        <w:t>’s holding that the qualified immunity inquiry is distinct from the merits of the claim, but explained:</w:t>
      </w:r>
    </w:p>
    <w:p w:rsidR="00721160" w:rsidRDefault="00721160"/>
    <w:p w:rsidR="00721160" w:rsidRDefault="00721160">
      <w:pPr>
        <w:ind w:left="720" w:right="720"/>
      </w:pPr>
      <w:r>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rsidR="00721160" w:rsidRDefault="00721160"/>
    <w:p w:rsidR="00721160" w:rsidRDefault="00721160">
      <w:pPr>
        <w:spacing w:after="240"/>
      </w:pPr>
      <w:r>
        <w:rPr>
          <w:i/>
          <w:iCs/>
        </w:rPr>
        <w:t>Johnson v. Breeden</w:t>
      </w:r>
      <w:r>
        <w:t>, 280 F.3d 1308, 1321-22 (11th Cir. 2002).</w:t>
      </w:r>
    </w:p>
  </w:footnote>
  <w:footnote w:id="101">
    <w:p w:rsidR="00721160" w:rsidRDefault="00721160">
      <w:pPr>
        <w:ind w:firstLine="720"/>
      </w:pPr>
      <w:r>
        <w:rPr>
          <w:rStyle w:val="FootnoteReference"/>
          <w:vertAlign w:val="superscript"/>
        </w:rPr>
        <w:footnoteRef/>
      </w:r>
      <w:r>
        <w:t xml:space="preserve">  The Third Circuit has held that the showing of subjective deliberate indifference necessary to establish an Eighth Amendment conditions-of-confinement claim necessarily negates the defendant’s claim to qualified immunity. </w:t>
      </w:r>
      <w:r>
        <w:rPr>
          <w:i/>
          <w:iCs/>
        </w:rPr>
        <w:t xml:space="preserve"> Beers-Capitol v. Whetzel</w:t>
      </w:r>
      <w:r>
        <w:t xml:space="preserve">, 256 F.3d 120, 142 n.15 (3d Cir. 2001) (“Because deliberate indifference under </w:t>
      </w:r>
      <w:r>
        <w:rPr>
          <w:i/>
          <w:iCs/>
        </w:rPr>
        <w:t xml:space="preserve">Farmer </w:t>
      </w:r>
      <w:r>
        <w:t>requires actual knowledge or awareness on the part of the defendant, a defendant cannot have qualified immunity if she was deliberately indifferent.”).</w:t>
      </w:r>
    </w:p>
    <w:p w:rsidR="00721160" w:rsidRDefault="00721160">
      <w:pPr>
        <w:ind w:firstLine="720"/>
      </w:pPr>
      <w:r>
        <w:t xml:space="preserve">The Supreme Court’s decision in </w:t>
      </w:r>
      <w:r>
        <w:rPr>
          <w:i/>
          <w:iCs/>
        </w:rPr>
        <w:t>Saucier</w:t>
      </w:r>
      <w:r>
        <w:t xml:space="preserve"> does not necessarily undermine the Third Circuit’s reasoning in </w:t>
      </w:r>
      <w:r>
        <w:rPr>
          <w:i/>
          <w:iCs/>
        </w:rPr>
        <w:t>Beers-Capitol</w:t>
      </w:r>
      <w:r>
        <w:t xml:space="preserve">.  Admittedly, the Third Circuit decided </w:t>
      </w:r>
      <w:r>
        <w:rPr>
          <w:i/>
          <w:iCs/>
        </w:rPr>
        <w:t>Beers-Capitol</w:t>
      </w:r>
      <w:r>
        <w:t xml:space="preserve"> a week before the Supreme Court decided </w:t>
      </w:r>
      <w:r>
        <w:rPr>
          <w:i/>
          <w:iCs/>
        </w:rPr>
        <w:t>Saucier</w:t>
      </w:r>
      <w:r>
        <w:t xml:space="preserve">; but </w:t>
      </w:r>
      <w:r>
        <w:rPr>
          <w:i/>
          <w:iCs/>
        </w:rPr>
        <w:t>Saucier</w:t>
      </w:r>
      <w:r>
        <w:t xml:space="preserve">’s holding (concerning Fourth Amendment excessive force claims) followed the earlier holding in </w:t>
      </w:r>
      <w:r>
        <w:rPr>
          <w:i/>
          <w:iCs/>
        </w:rPr>
        <w:t>Anderson v. Creighton</w:t>
      </w:r>
      <w:r>
        <w:t xml:space="preserve">, 483 U.S. 635, 640 (1987) (concerning Fourth Amendment search claims).  </w:t>
      </w:r>
      <w:r>
        <w:rPr>
          <w:i/>
          <w:iCs/>
        </w:rPr>
        <w:t>Anderson</w:t>
      </w:r>
      <w:r>
        <w:t xml:space="preserve"> and </w:t>
      </w:r>
      <w:r>
        <w:rPr>
          <w:i/>
          <w:iCs/>
        </w:rPr>
        <w:t>Saucier</w:t>
      </w:r>
      <w:r>
        <w:t xml:space="preserve"> can be distinguished from </w:t>
      </w:r>
      <w:r>
        <w:rPr>
          <w:i/>
          <w:iCs/>
        </w:rPr>
        <w:t>Beers-Capitol</w:t>
      </w:r>
      <w:r>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Pr>
          <w:i/>
          <w:iCs/>
        </w:rPr>
        <w:t>Anderson</w:t>
      </w:r>
      <w:r>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rsidR="00721160" w:rsidRPr="003054F7" w:rsidRDefault="00721160" w:rsidP="003054F7">
      <w:pPr>
        <w:ind w:firstLine="720"/>
      </w:pPr>
      <w:r>
        <w:t xml:space="preserve">However, the Supreme Court’s subsequent decision in </w:t>
      </w:r>
      <w:r>
        <w:rPr>
          <w:i/>
          <w:iCs/>
        </w:rPr>
        <w:t>Hope v. Pelzer</w:t>
      </w:r>
      <w:r>
        <w:t xml:space="preserve">, 536 U.S. 730 (2002), does raise some doubt as to the validity of the Third Circuit’s conclusion.  In </w:t>
      </w:r>
      <w:r>
        <w:rPr>
          <w:i/>
          <w:iCs/>
        </w:rPr>
        <w:t>Hope</w:t>
      </w:r>
      <w:r>
        <w:t xml:space="preserve">, the Court held that the plaintiff’s allegations, if true, established an Eighth Amendment conditions-of-confinement claim (because the plaintiff had satisfied the Eighth Amendment deliberate indifference standard), </w:t>
      </w:r>
      <w:r>
        <w:rPr>
          <w:i/>
          <w:iCs/>
        </w:rPr>
        <w:t>see id.</w:t>
      </w:r>
      <w:r>
        <w:t xml:space="preserve"> at 737, and then proceeded to analyze whether it would have been clear to a reasonable official under the circumstances that the conduct at issue violated a clearly established constitutional right, </w:t>
      </w:r>
      <w:r>
        <w:rPr>
          <w:i/>
          <w:iCs/>
        </w:rPr>
        <w:t>see id.</w:t>
      </w:r>
      <w:r>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Pr>
          <w:i/>
          <w:iCs/>
        </w:rPr>
        <w:t xml:space="preserve">See id. </w:t>
      </w:r>
      <w:r>
        <w:t xml:space="preserve">at 741-42.  If a showing of Eighth Amendment deliberate indifference automatically negates a defendant’s claim of qualified immunity, then the Court could have relied upon that ground to reverse the grant of summary judgment to the defendants in </w:t>
      </w:r>
      <w:r>
        <w:rPr>
          <w:i/>
          <w:iCs/>
        </w:rPr>
        <w:t>Hope</w:t>
      </w:r>
      <w:r>
        <w:t xml:space="preserve">; thus, the fact that the Court instead analyzed the question of qualified immunity without mentioning the possible relevance of the showing of deliberate indifference suggests that the Court did not view that showing as dispositive of the qualified immunity question.  On the other hand, the plaintiff in </w:t>
      </w:r>
      <w:r>
        <w:rPr>
          <w:i/>
          <w:iCs/>
        </w:rPr>
        <w:t>Hope</w:t>
      </w:r>
      <w:r>
        <w:t xml:space="preserve"> apparently did not argue that the showing of deliberate indifference negated the claim of qualified immunity, so it may be that the Court simply did not consider that theory in deciding </w:t>
      </w:r>
      <w:r>
        <w:rPr>
          <w:i/>
          <w:iCs/>
        </w:rPr>
        <w:t>Hope</w:t>
      </w:r>
      <w:r>
        <w:t xml:space="preserve">.  (In </w:t>
      </w:r>
      <w:r>
        <w:rPr>
          <w:i/>
          <w:iCs/>
        </w:rPr>
        <w:t>Whitley v. Albers</w:t>
      </w:r>
      <w:r>
        <w:t xml:space="preserve">, 475 U.S. 312 (1986), the court of appeals had stated that “[a] finding of [Eighth Amendment] deliberate indifference is inconsistent with a finding of ... qualified immunity,” </w:t>
      </w:r>
      <w:r>
        <w:rPr>
          <w:i/>
          <w:iCs/>
        </w:rPr>
        <w:t>Albers v. Whitley</w:t>
      </w:r>
      <w:r>
        <w:t xml:space="preserve">, 743 F.2d 1372, 1376 (9th Cir. 1984), but the Supreme Court refused to address this contention because the Court reversed the judgment on other grounds, </w:t>
      </w:r>
      <w:r>
        <w:rPr>
          <w:i/>
          <w:iCs/>
        </w:rPr>
        <w:t>see</w:t>
      </w:r>
      <w:r>
        <w:t xml:space="preserve"> 475 U.S. at 327-28.)</w:t>
      </w:r>
      <w:r w:rsidRPr="003054F7">
        <w:rPr>
          <w:sz w:val="20"/>
          <w:szCs w:val="20"/>
        </w:rPr>
        <w:t xml:space="preserve"> </w:t>
      </w:r>
    </w:p>
    <w:p w:rsidR="00721160" w:rsidRPr="003054F7" w:rsidRDefault="00721160" w:rsidP="003054F7">
      <w:pPr>
        <w:ind w:firstLine="720"/>
      </w:pPr>
      <w:r w:rsidRPr="003054F7">
        <w:t xml:space="preserve">In </w:t>
      </w:r>
      <w:r w:rsidRPr="003054F7">
        <w:rPr>
          <w:i/>
        </w:rPr>
        <w:t>Barkes v. First Correctional Medical,</w:t>
      </w:r>
      <w:r w:rsidRPr="003054F7">
        <w:t xml:space="preserve"> </w:t>
      </w:r>
      <w:r w:rsidRPr="00AF4681">
        <w:t xml:space="preserve">766 F.3d 307 (3d Cir. 2014), </w:t>
      </w:r>
      <w:r w:rsidRPr="003054F7">
        <w:t xml:space="preserve">the court of appeals did not rely on the categorical language of </w:t>
      </w:r>
      <w:r w:rsidRPr="003054F7">
        <w:rPr>
          <w:i/>
          <w:iCs/>
        </w:rPr>
        <w:t>Beers-Capitol</w:t>
      </w:r>
      <w:r w:rsidRPr="003054F7">
        <w:t xml:space="preserve">, but nevertheless held that “an incarcerated person’s right to the proper implementation of adequate suicide prevention protocols . . . was clearly established at the time of Barkes’s suicide.” </w:t>
      </w:r>
      <w:r w:rsidRPr="003054F7">
        <w:rPr>
          <w:i/>
        </w:rPr>
        <w:t>Barkes,</w:t>
      </w:r>
      <w:r w:rsidRPr="003054F7">
        <w:t xml:space="preserve"> </w:t>
      </w:r>
      <w:r w:rsidRPr="00AF4681">
        <w:t xml:space="preserve">766 F.3d </w:t>
      </w:r>
      <w:r w:rsidRPr="003054F7">
        <w:t xml:space="preserve">at </w:t>
      </w:r>
      <w:r>
        <w:t>329</w:t>
      </w:r>
      <w:r w:rsidRPr="003054F7">
        <w:t>.</w:t>
      </w:r>
    </w:p>
    <w:p w:rsidR="00721160" w:rsidRDefault="00721160">
      <w:pPr>
        <w:ind w:firstLine="720"/>
      </w:pPr>
    </w:p>
    <w:p w:rsidR="00721160" w:rsidRDefault="00721160">
      <w:pPr>
        <w:ind w:firstLine="720"/>
      </w:pPr>
    </w:p>
    <w:p w:rsidR="00721160" w:rsidRDefault="00721160">
      <w:pPr>
        <w:spacing w:after="240"/>
      </w:pPr>
    </w:p>
  </w:footnote>
  <w:footnote w:id="102">
    <w:p w:rsidR="00721160" w:rsidRDefault="00721160">
      <w:pPr>
        <w:spacing w:after="240"/>
        <w:ind w:firstLine="720"/>
      </w:pPr>
      <w:r>
        <w:rPr>
          <w:rStyle w:val="FootnoteReference"/>
          <w:vertAlign w:val="superscript"/>
        </w:rPr>
        <w:footnoteRef/>
      </w:r>
      <w:r>
        <w:t xml:space="preserve">  If the release was oral, the defendant must prove voluntariness by clear and convincing evidence.</w:t>
      </w:r>
    </w:p>
  </w:footnote>
  <w:footnote w:id="103">
    <w:p w:rsidR="00721160" w:rsidRDefault="00721160">
      <w:pPr>
        <w:spacing w:after="240"/>
        <w:ind w:firstLine="720"/>
      </w:pPr>
      <w:r>
        <w:rPr>
          <w:rStyle w:val="FootnoteReference"/>
          <w:vertAlign w:val="superscript"/>
        </w:rPr>
        <w:footnoteRef/>
      </w:r>
      <w:r>
        <w:t xml:space="preserve">  The Court of Appeals has not determined the appropriate standard of proof of voluntariness in the case of a written release.</w:t>
      </w:r>
    </w:p>
  </w:footnote>
  <w:footnote w:id="104">
    <w:p w:rsidR="00721160" w:rsidRDefault="00721160">
      <w:pPr>
        <w:spacing w:after="240"/>
        <w:ind w:firstLine="720"/>
      </w:pPr>
      <w:r>
        <w:rPr>
          <w:rStyle w:val="FootnoteReference"/>
          <w:vertAlign w:val="superscript"/>
        </w:rPr>
        <w:footnoteRef/>
      </w:r>
      <w:r>
        <w:t xml:space="preserve">  If more than one defendant seeks to assert the release as a defense, the court, if the plaintiff so requests, should require the jury to consider voluntariness with respect to potential claims against each specific defendant.  </w:t>
      </w:r>
      <w:r>
        <w:rPr>
          <w:i/>
          <w:iCs/>
        </w:rPr>
        <w:t>See Livingstone v. North Belle Vernon Borough</w:t>
      </w:r>
      <w:r>
        <w:t>, 91 F.3d 515, 526 n.13 (3d Cir. 1996).</w:t>
      </w:r>
    </w:p>
  </w:footnote>
  <w:footnote w:id="105">
    <w:p w:rsidR="00721160" w:rsidRDefault="00721160">
      <w:pPr>
        <w:spacing w:after="240"/>
        <w:ind w:firstLine="720"/>
      </w:pPr>
      <w:r>
        <w:rPr>
          <w:rStyle w:val="FootnoteReference"/>
          <w:vertAlign w:val="superscript"/>
        </w:rPr>
        <w:footnoteRef/>
      </w:r>
      <w:r>
        <w:t xml:space="preserve">  “Whereas . . . the validity of a release</w:t>
      </w:r>
      <w:r>
        <w:noBreakHyphen/>
        <w:t xml:space="preserve">dismissal for a section 1983 claim is governed exclusively by federal law . . . , the validity of any purported release of . . . state claims . . . is governed by state law.”  </w:t>
      </w:r>
      <w:r>
        <w:rPr>
          <w:i/>
          <w:iCs/>
        </w:rPr>
        <w:t>Livingstone v. North Belle Vernon Borough</w:t>
      </w:r>
      <w:r>
        <w:t xml:space="preserve">, 12 F.3d 1205, 1209 n.6 (1993) (in banc); </w:t>
      </w:r>
      <w:r>
        <w:rPr>
          <w:i/>
          <w:iCs/>
        </w:rPr>
        <w:t>see also Livingstone</w:t>
      </w:r>
      <w:r>
        <w:t>, 91 F.3d at 539 (discussing treatment of release-dismissal agreements under Pennsylvania law).</w:t>
      </w:r>
    </w:p>
  </w:footnote>
  <w:footnote w:id="106">
    <w:p w:rsidR="00721160" w:rsidRDefault="00721160">
      <w:pPr>
        <w:spacing w:after="240"/>
        <w:ind w:firstLine="720"/>
      </w:pPr>
      <w:r>
        <w:rPr>
          <w:rStyle w:val="FootnoteReference"/>
          <w:vertAlign w:val="superscript"/>
        </w:rPr>
        <w:footnoteRef/>
      </w:r>
      <w:r>
        <w:t xml:space="preserve">  </w:t>
      </w:r>
      <w:r>
        <w:rPr>
          <w:i/>
          <w:iCs/>
        </w:rPr>
        <w:t>See also Livingstone</w:t>
      </w:r>
      <w:r>
        <w:t>, 91 F.3d at 536 n.34 (declining to “address the appropriate standard of proof for enforcement of a written release</w:t>
      </w:r>
      <w:r>
        <w:noBreakHyphen/>
        <w:t>dismissal agreement”).</w:t>
      </w:r>
    </w:p>
  </w:footnote>
  <w:footnote w:id="107">
    <w:p w:rsidR="00721160" w:rsidRDefault="00721160">
      <w:pPr>
        <w:spacing w:after="240"/>
        <w:ind w:firstLine="720"/>
      </w:pPr>
      <w:r>
        <w:rPr>
          <w:rStyle w:val="FootnoteReference"/>
          <w:vertAlign w:val="superscript"/>
        </w:rPr>
        <w:footnoteRef/>
      </w:r>
      <w:r>
        <w:t xml:space="preserve">  </w:t>
      </w:r>
      <w:r>
        <w:rPr>
          <w:i/>
          <w:iCs/>
        </w:rPr>
        <w:t xml:space="preserve">See also </w:t>
      </w:r>
      <w:r>
        <w:t xml:space="preserve">Seth F. Kreimer, </w:t>
      </w:r>
      <w:r>
        <w:rPr>
          <w:i/>
          <w:iCs/>
        </w:rPr>
        <w:t>Releases, Redress, and Police Misconduct: Reflections on Agreements to Waive Civil Rights Actions in Exchange for Dismissal of Criminal Charges</w:t>
      </w:r>
      <w:r>
        <w:t>, 136 U. Pa. L. Rev. 851, 928 (1988) (noting that release-dismissal agreements pose “a substantial cost to first amendment rights, the integrity of the criminal process, and the purposes served by section 1983”).</w:t>
      </w:r>
    </w:p>
  </w:footnote>
  <w:footnote w:id="108">
    <w:p w:rsidR="00721160" w:rsidRDefault="00721160">
      <w:pPr>
        <w:spacing w:after="240"/>
        <w:ind w:firstLine="720"/>
      </w:pPr>
      <w:r>
        <w:rPr>
          <w:rStyle w:val="FootnoteReference"/>
          <w:vertAlign w:val="superscript"/>
        </w:rPr>
        <w:footnoteRef/>
      </w:r>
      <w:r>
        <w:t xml:space="preserve">  “[T]he concept of prosecutorial misconduct is embedded in [the] larger inquiry into whether enforcing the release would advance the public interest.”  </w:t>
      </w:r>
      <w:r>
        <w:rPr>
          <w:i/>
          <w:iCs/>
        </w:rPr>
        <w:t>Cain</w:t>
      </w:r>
      <w:r>
        <w:t>, 7 F.3d at 380.</w:t>
      </w:r>
    </w:p>
  </w:footnote>
  <w:footnote w:id="109">
    <w:p w:rsidR="00721160" w:rsidRDefault="00721160">
      <w:pPr>
        <w:spacing w:after="240"/>
        <w:ind w:firstLine="720"/>
      </w:pPr>
      <w:r>
        <w:rPr>
          <w:rStyle w:val="FootnoteReference"/>
          <w:vertAlign w:val="superscript"/>
        </w:rPr>
        <w:footnoteRef/>
      </w:r>
      <w:r>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Pr>
          <w:i/>
          <w:iCs/>
        </w:rPr>
        <w:t>Livingstone</w:t>
      </w:r>
      <w:r>
        <w:t>, 91 F.3d at 530 n.18.</w:t>
      </w:r>
    </w:p>
  </w:footnote>
  <w:footnote w:id="110">
    <w:p w:rsidR="00721160" w:rsidRDefault="00721160">
      <w:pPr>
        <w:spacing w:after="240"/>
        <w:ind w:firstLine="720"/>
      </w:pPr>
      <w:r>
        <w:rPr>
          <w:rStyle w:val="FootnoteReference"/>
          <w:vertAlign w:val="superscript"/>
        </w:rPr>
        <w:footnoteRef/>
      </w:r>
      <w:r>
        <w:t xml:space="preserve">  “The process of weighing the evidence of police misconduct against the prosecutor's asserted reasons for concluding a release</w:t>
      </w:r>
      <w:r>
        <w:noBreakHyphen/>
        <w:t xml:space="preserve">dismissal agreement is part of the broad task of balancing the public interests that favor and that disfavor enforcement. That task is one for the court.”  </w:t>
      </w:r>
      <w:r>
        <w:rPr>
          <w:i/>
          <w:iCs/>
        </w:rPr>
        <w:t>Livingstone</w:t>
      </w:r>
      <w:r>
        <w:t>, 91 F.3d at 533 n.28.</w:t>
      </w:r>
    </w:p>
  </w:footnote>
  <w:footnote w:id="111">
    <w:p w:rsidR="00721160" w:rsidRDefault="00721160">
      <w:pPr>
        <w:spacing w:after="240"/>
        <w:ind w:firstLine="720"/>
      </w:pPr>
      <w:r>
        <w:rPr>
          <w:rStyle w:val="FootnoteReference"/>
          <w:vertAlign w:val="superscript"/>
        </w:rPr>
        <w:footnoteRef/>
      </w:r>
      <w:r>
        <w:t xml:space="preserve">  “[E]xpert medical evidence is not required to prove emotional distress in section 1983 cases.”  </w:t>
      </w:r>
      <w:r>
        <w:rPr>
          <w:i/>
          <w:iCs/>
        </w:rPr>
        <w:t>Bolden v. Southeastern Pennsylvania Transp. Authority</w:t>
      </w:r>
      <w:r>
        <w:t xml:space="preserve">, 21 F.3d 29, 36 (3d Cir. 1994).  However, the plaintiff must present competent evidence showing emotional distress.  </w:t>
      </w:r>
      <w:r>
        <w:rPr>
          <w:i/>
          <w:iCs/>
        </w:rPr>
        <w:t>See Chainey v. Street</w:t>
      </w:r>
      <w:r>
        <w:t xml:space="preserve">, 523 F.3d 200, 216 (3d Cir. 2008).  And in suits filed by prisoners, the court should ensure that the instructions on emotional and mental injury comply with 42 U.S.C. § 1997e(e).  </w:t>
      </w:r>
      <w:r>
        <w:rPr>
          <w:i/>
          <w:iCs/>
        </w:rPr>
        <w:t>See</w:t>
      </w:r>
      <w:r>
        <w:t xml:space="preserve"> Comment.</w:t>
      </w:r>
    </w:p>
  </w:footnote>
  <w:footnote w:id="112">
    <w:p w:rsidR="00721160" w:rsidRDefault="00721160">
      <w:pPr>
        <w:spacing w:after="240"/>
        <w:ind w:firstLine="720"/>
      </w:pPr>
      <w:r>
        <w:rPr>
          <w:rStyle w:val="FootnoteReference"/>
          <w:vertAlign w:val="superscript"/>
        </w:rPr>
        <w:footnoteRef/>
      </w:r>
      <w:r>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3">
    <w:p w:rsidR="00721160" w:rsidRDefault="00721160">
      <w:pPr>
        <w:spacing w:after="240"/>
        <w:ind w:firstLine="720"/>
      </w:pPr>
      <w:r>
        <w:rPr>
          <w:rStyle w:val="FootnoteReference"/>
          <w:vertAlign w:val="superscript"/>
        </w:rPr>
        <w:footnoteRef/>
      </w:r>
      <w:r>
        <w:t xml:space="preserve">  This category of damages is not available for an unreasonable search and seizure.  </w:t>
      </w:r>
      <w:r>
        <w:rPr>
          <w:i/>
          <w:iCs/>
        </w:rPr>
        <w:t>See Hector v. Watt</w:t>
      </w:r>
      <w:r>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Pr>
          <w:i/>
          <w:iCs/>
        </w:rPr>
        <w:t>Townes v. City of New York</w:t>
      </w:r>
      <w:r>
        <w:t>, 176 F.3d 138, 148 (2d Cir.1999)).</w:t>
      </w:r>
    </w:p>
  </w:footnote>
  <w:footnote w:id="114">
    <w:p w:rsidR="00721160" w:rsidRDefault="00721160">
      <w:pPr>
        <w:spacing w:after="240"/>
        <w:ind w:firstLine="720"/>
      </w:pPr>
      <w:r>
        <w:rPr>
          <w:rStyle w:val="FootnoteReference"/>
          <w:vertAlign w:val="superscript"/>
        </w:rPr>
        <w:footnoteRef/>
      </w:r>
      <w:r>
        <w:t xml:space="preserve">  </w:t>
      </w:r>
      <w:r>
        <w:rPr>
          <w:i/>
          <w:iCs/>
        </w:rPr>
        <w:t>See Sample v. Diecks</w:t>
      </w:r>
      <w:r>
        <w:t>, 885 F.2d 1099, 1112 (3d Cir. 1989) (upholding award of compensatory damages for “each day of confinement after the time Sample would have been released if Diecks had fulfilled his duty to Sample”).</w:t>
      </w:r>
    </w:p>
  </w:footnote>
  <w:footnote w:id="115">
    <w:p w:rsidR="00721160" w:rsidRDefault="00721160">
      <w:pPr>
        <w:ind w:firstLine="720"/>
      </w:pPr>
      <w:r>
        <w:rPr>
          <w:rStyle w:val="FootnoteReference"/>
          <w:vertAlign w:val="superscript"/>
        </w:rPr>
        <w:footnoteRef/>
      </w:r>
      <w:r>
        <w:t xml:space="preserve">  The Third Circuit has noted the potential relevance of 42 U.S.C. § 1988 to the question of damages in Section 1983 cases.  </w:t>
      </w:r>
      <w:r>
        <w:rPr>
          <w:i/>
          <w:iCs/>
        </w:rPr>
        <w:t>See Fontroy v. Owens</w:t>
      </w:r>
      <w:r>
        <w:t xml:space="preserve">, 150 F.3d 239, 242 (3d Cir. 1998).  The </w:t>
      </w:r>
      <w:r>
        <w:rPr>
          <w:i/>
          <w:iCs/>
        </w:rPr>
        <w:t>Fontroy</w:t>
      </w:r>
      <w:r>
        <w:t xml:space="preserve"> court relied on the approach set forth by the Supreme Court in a case addressing statute of limitations issues:</w:t>
      </w:r>
    </w:p>
    <w:p w:rsidR="00721160" w:rsidRDefault="00721160"/>
    <w:p w:rsidR="00721160" w:rsidRDefault="00721160">
      <w:pPr>
        <w:ind w:left="720"/>
      </w:pPr>
      <w:r>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rsidR="00721160" w:rsidRDefault="00721160"/>
    <w:p w:rsidR="00721160" w:rsidRDefault="00721160">
      <w:r>
        <w:rPr>
          <w:i/>
          <w:iCs/>
        </w:rPr>
        <w:t>Fontroy</w:t>
      </w:r>
      <w:r>
        <w:t xml:space="preserve">, 150 F.3d at 242-43 (quoting </w:t>
      </w:r>
      <w:r>
        <w:rPr>
          <w:i/>
          <w:iCs/>
        </w:rPr>
        <w:t>Burnett v. Grattan</w:t>
      </w:r>
      <w:r>
        <w:t xml:space="preserve">, 468 U.S. 42, 47-48 (1984) (quoting 42 U.S.C. § 1988(a))); </w:t>
      </w:r>
      <w:r>
        <w:rPr>
          <w:i/>
          <w:iCs/>
        </w:rPr>
        <w:t>compare</w:t>
      </w:r>
      <w:r>
        <w:t xml:space="preserve"> Seth F. Kreimer, The Source of Law in Civil Rights Actions: Some Old Light on Section 1988, 133 U. Pa. L. Rev. 601, 620 (1985) (arguing that Section 1988's reference to “common law” denotes “general common law,” not state common law).</w:t>
      </w:r>
    </w:p>
    <w:p w:rsidR="00721160" w:rsidRDefault="00721160">
      <w:pPr>
        <w:spacing w:after="240"/>
        <w:ind w:firstLine="720"/>
      </w:pPr>
      <w:r>
        <w:t xml:space="preserve">As noted in the text, the Supreme Court has addressed a number of questions relating to the damages available in Section 1983 actions without making Section 1988 the focus of its analysis.  </w:t>
      </w:r>
      <w:r>
        <w:rPr>
          <w:i/>
          <w:iCs/>
        </w:rPr>
        <w:t>See, e.g., Carey v. Piphus</w:t>
      </w:r>
      <w:r>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6">
    <w:p w:rsidR="00721160" w:rsidRDefault="00721160">
      <w:pPr>
        <w:spacing w:after="240"/>
        <w:ind w:firstLine="720"/>
      </w:pPr>
      <w:r>
        <w:rPr>
          <w:rStyle w:val="FootnoteReference"/>
          <w:vertAlign w:val="superscript"/>
        </w:rPr>
        <w:footnoteRef/>
      </w:r>
      <w:r>
        <w:t xml:space="preserve">  Compensatory damages in a Section 1983 case “may include not only out</w:t>
      </w:r>
      <w:r>
        <w:noBreakHyphen/>
        <w:t>of</w:t>
      </w:r>
      <w:r>
        <w:noBreakHyphen/>
        <w:t xml:space="preserve">pocket loss and other monetary harms, but also such injuries as ‘impairment of reputation ..., personal humiliation, and mental anguish and suffering.’”  </w:t>
      </w:r>
      <w:r>
        <w:rPr>
          <w:i/>
          <w:iCs/>
        </w:rPr>
        <w:t>Memphis Community School Dist. v. Stachura</w:t>
      </w:r>
      <w:r>
        <w:t xml:space="preserve">, 477 U.S. 299, 307 (1986) (quoting </w:t>
      </w:r>
      <w:r>
        <w:rPr>
          <w:i/>
          <w:iCs/>
        </w:rPr>
        <w:t>Gertz v. Robert Welch, Inc.</w:t>
      </w:r>
      <w:r>
        <w:t xml:space="preserve">, 418 U.S. 323, 350 (1974)); </w:t>
      </w:r>
      <w:r>
        <w:rPr>
          <w:i/>
          <w:iCs/>
        </w:rPr>
        <w:t>see also Coleman v. Kaye</w:t>
      </w:r>
      <w:r>
        <w:t xml:space="preserve">, 87 F.3d 1491, 1507 (3d Cir. 1996) (in sex discrimination case, holding that plaintiff could recover damages under Section 1983 for “personal anguish she suffered as a result of being passed over for promotion”); </w:t>
      </w:r>
      <w:r>
        <w:rPr>
          <w:i/>
          <w:iCs/>
        </w:rPr>
        <w:t>Chainey v. Street</w:t>
      </w:r>
      <w:r>
        <w:t>, 523 F.3d 200, 216 (3d Cir. 2008) (discussing proof of damages for emotional distress).</w:t>
      </w:r>
    </w:p>
  </w:footnote>
  <w:footnote w:id="117">
    <w:p w:rsidR="00721160" w:rsidRDefault="00721160">
      <w:pPr>
        <w:spacing w:after="240"/>
        <w:ind w:firstLine="720"/>
      </w:pPr>
      <w:r>
        <w:rPr>
          <w:rStyle w:val="FootnoteReference"/>
          <w:vertAlign w:val="superscript"/>
        </w:rPr>
        <w:footnoteRef/>
      </w:r>
      <w:r>
        <w:t xml:space="preserve">  One court has held that Section 1997e’s reference to “mental or emotional injury” does not encompass physical pain.  </w:t>
      </w:r>
      <w:r>
        <w:rPr>
          <w:i/>
          <w:iCs/>
        </w:rPr>
        <w:t>See Perez v. Jackson</w:t>
      </w:r>
      <w:r>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8">
    <w:p w:rsidR="00721160" w:rsidRDefault="00721160">
      <w:pPr>
        <w:spacing w:after="240"/>
        <w:ind w:firstLine="720"/>
      </w:pPr>
      <w:r>
        <w:rPr>
          <w:rStyle w:val="FootnoteReference"/>
          <w:vertAlign w:val="superscript"/>
        </w:rPr>
        <w:footnoteRef/>
      </w:r>
      <w:r>
        <w:t xml:space="preserve">  “[T]he applicability of the personal injury requirement of 42 U.S.C. § 1997e(e) turns on the plaintiff's status as a prisoner, not at the time of the incident, but when the lawsuit is filed.”  </w:t>
      </w:r>
      <w:r>
        <w:rPr>
          <w:i/>
          <w:iCs/>
        </w:rPr>
        <w:t>Abdul</w:t>
      </w:r>
      <w:r>
        <w:rPr>
          <w:i/>
          <w:iCs/>
        </w:rPr>
        <w:noBreakHyphen/>
        <w:t>Akbar v. McKelvie</w:t>
      </w:r>
      <w:r>
        <w:t>, 239 F.3d 307, 314 (3d Cir. 2001) (en banc).</w:t>
      </w:r>
    </w:p>
  </w:footnote>
  <w:footnote w:id="119">
    <w:p w:rsidR="00721160" w:rsidRDefault="00721160">
      <w:pPr>
        <w:spacing w:after="240"/>
        <w:ind w:firstLine="720"/>
      </w:pPr>
      <w:r>
        <w:rPr>
          <w:rStyle w:val="FootnoteReference"/>
          <w:vertAlign w:val="superscript"/>
        </w:rPr>
        <w:footnoteRef/>
      </w:r>
      <w:r>
        <w:t xml:space="preserve">  It is not entirely clear that Section 1997e(e) precludes an </w:t>
      </w:r>
      <w:r>
        <w:rPr>
          <w:i/>
          <w:iCs/>
        </w:rPr>
        <w:t>award</w:t>
      </w:r>
      <w:r>
        <w:t xml:space="preserve"> of damages for emotional injury absent a </w:t>
      </w:r>
      <w:r>
        <w:rPr>
          <w:i/>
          <w:iCs/>
        </w:rPr>
        <w:t>jury finding</w:t>
      </w:r>
      <w:r>
        <w:t xml:space="preserve"> of physical injury; rather, the statute focuses upon the pretrial stage, by precluding the prisoner from </w:t>
      </w:r>
      <w:r>
        <w:rPr>
          <w:i/>
          <w:iCs/>
        </w:rPr>
        <w:t>bringing</w:t>
      </w:r>
      <w:r>
        <w:t xml:space="preserve"> an action seeking damages for emotional injury absent a </w:t>
      </w:r>
      <w:r>
        <w:rPr>
          <w:i/>
          <w:iCs/>
        </w:rPr>
        <w:t>prior showing</w:t>
      </w:r>
      <w:r>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0">
    <w:p w:rsidR="00721160" w:rsidRDefault="00721160">
      <w:pPr>
        <w:spacing w:after="240"/>
        <w:ind w:firstLine="720"/>
      </w:pPr>
      <w:r>
        <w:rPr>
          <w:rStyle w:val="FootnoteReference"/>
          <w:vertAlign w:val="superscript"/>
        </w:rPr>
        <w:footnoteRef/>
      </w:r>
      <w:r>
        <w:t xml:space="preserve">  </w:t>
      </w:r>
      <w:r>
        <w:rPr>
          <w:i/>
          <w:iCs/>
        </w:rPr>
        <w:t>Cf. Slicker v. Jackson</w:t>
      </w:r>
      <w:r>
        <w:t>, 215 F.3d 1225, 1232 (11th Cir. 2000) (“[N]ominal damages may be appropriate where a jury reasonably concludes that the plaintiff's evidence of injury is not credible.”).</w:t>
      </w:r>
    </w:p>
  </w:footnote>
  <w:footnote w:id="121">
    <w:p w:rsidR="00721160" w:rsidRDefault="00721160">
      <w:pPr>
        <w:spacing w:after="240"/>
        <w:ind w:firstLine="720"/>
      </w:pPr>
      <w:r>
        <w:rPr>
          <w:rStyle w:val="FootnoteReference"/>
          <w:vertAlign w:val="superscript"/>
        </w:rPr>
        <w:footnoteRef/>
      </w:r>
      <w:r>
        <w:t xml:space="preserve">  </w:t>
      </w:r>
      <w:r>
        <w:rPr>
          <w:i/>
          <w:iCs/>
        </w:rPr>
        <w:t>Cf.  Brooks v. Andolina</w:t>
      </w:r>
      <w:r>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2">
    <w:p w:rsidR="00721160" w:rsidRDefault="00721160">
      <w:pPr>
        <w:spacing w:after="240"/>
        <w:ind w:firstLine="720"/>
      </w:pPr>
      <w:r>
        <w:rPr>
          <w:rStyle w:val="FootnoteReference"/>
          <w:vertAlign w:val="superscript"/>
        </w:rPr>
        <w:footnoteRef/>
      </w:r>
      <w:r>
        <w:t xml:space="preserve">  See Comment for alternative language tailored to Eighth Amendment excessive force claims.</w:t>
      </w:r>
    </w:p>
  </w:footnote>
  <w:footnote w:id="123">
    <w:p w:rsidR="00721160" w:rsidRDefault="00721160">
      <w:pPr>
        <w:spacing w:after="240"/>
        <w:ind w:firstLine="720"/>
      </w:pPr>
      <w:r>
        <w:rPr>
          <w:rStyle w:val="FootnoteReference"/>
          <w:vertAlign w:val="superscript"/>
        </w:rPr>
        <w:footnoteRef/>
      </w:r>
      <w:r>
        <w:t xml:space="preserve">  The Court of Appeals has not addressed the question of the appropriate standard of proof for punitive damages with respect to Section 1983 claims, but at least one district court in the Third Circuit has applied the preponderance standard.  </w:t>
      </w:r>
      <w:r>
        <w:rPr>
          <w:i/>
          <w:iCs/>
        </w:rPr>
        <w:t>See Hopkins v. City of Wilmington</w:t>
      </w:r>
      <w:r>
        <w:t xml:space="preserve">, 615 F. Supp. 1455, 1465 (D. Del. 1985); </w:t>
      </w:r>
      <w:r>
        <w:rPr>
          <w:i/>
          <w:iCs/>
        </w:rPr>
        <w:t>cf., e.g., White v. Burlington Northern &amp; Santa Fe R. Co.</w:t>
      </w:r>
      <w:r>
        <w:t xml:space="preserve">, 364 F.3d 789, 805 (6th Cir. 2004) (en banc) (“[T]he appropriate burden of proof on a claim for punitive damages under Title VII is a preponderance of the evidence . . . .”), </w:t>
      </w:r>
      <w:r>
        <w:rPr>
          <w:i/>
          <w:iCs/>
        </w:rPr>
        <w:t>aff’d</w:t>
      </w:r>
      <w:r>
        <w:t xml:space="preserve">, 126 S. Ct. 2405 (2006); </w:t>
      </w:r>
      <w:r>
        <w:rPr>
          <w:i/>
          <w:iCs/>
        </w:rPr>
        <w:t>compare Pacific Mut. Life Ins. Co. v. Haslip</w:t>
      </w:r>
      <w:r>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4">
    <w:p w:rsidR="00721160" w:rsidRDefault="00721160">
      <w:pPr>
        <w:spacing w:after="240"/>
        <w:ind w:firstLine="720"/>
      </w:pPr>
      <w:r>
        <w:rPr>
          <w:rStyle w:val="FootnoteReference"/>
          <w:vertAlign w:val="superscript"/>
        </w:rPr>
        <w:footnoteRef/>
      </w:r>
      <w:r>
        <w:t xml:space="preserve">  Use “a particular defendant” and “against that defendant” in cases involving multiple defendants.</w:t>
      </w:r>
    </w:p>
  </w:footnote>
  <w:footnote w:id="125">
    <w:p w:rsidR="00721160" w:rsidRDefault="00721160">
      <w:pPr>
        <w:spacing w:after="240"/>
        <w:ind w:firstLine="720"/>
      </w:pPr>
      <w:r>
        <w:rPr>
          <w:rStyle w:val="FootnoteReference"/>
          <w:vertAlign w:val="superscript"/>
        </w:rPr>
        <w:footnoteRef/>
      </w:r>
      <w:r>
        <w:t xml:space="preserve">  This clause may be most appropriate for cases in which a dangerous act luckily turns out to cause less damage than would have been reasonably expected.  </w:t>
      </w:r>
      <w:r>
        <w:rPr>
          <w:i/>
          <w:iCs/>
        </w:rPr>
        <w:t>See TXO Production Corp. v. Alliance Resources Corp.</w:t>
      </w:r>
      <w:r>
        <w:t>, 509 U.S. 443, 459 (1993) (Stevens, J., joined by Rehnquist, C.J., and Blackmun, J.) (noting a state court’s description of an example in which a person shoots into a crowd but fortuitously injures no one).</w:t>
      </w:r>
    </w:p>
  </w:footnote>
  <w:footnote w:id="126">
    <w:p w:rsidR="00721160" w:rsidRDefault="00721160">
      <w:pPr>
        <w:spacing w:after="240"/>
        <w:ind w:firstLine="720"/>
      </w:pPr>
      <w:r>
        <w:rPr>
          <w:rStyle w:val="FootnoteReference"/>
          <w:vertAlign w:val="superscript"/>
        </w:rPr>
        <w:footnoteRef/>
      </w:r>
      <w:r>
        <w:t xml:space="preserve">  Include this paragraph only when appropriate.  </w:t>
      </w:r>
      <w:r>
        <w:rPr>
          <w:i/>
          <w:iCs/>
        </w:rPr>
        <w:t>See</w:t>
      </w:r>
      <w:r>
        <w:t xml:space="preserve"> Comment for a discussion of</w:t>
      </w:r>
      <w:r>
        <w:rPr>
          <w:i/>
          <w:iCs/>
        </w:rPr>
        <w:t xml:space="preserve"> Philip Morris USA v. Williams</w:t>
      </w:r>
      <w:r>
        <w:t>, 127 S.Ct. 1057 (2007).</w:t>
      </w:r>
    </w:p>
  </w:footnote>
  <w:footnote w:id="127">
    <w:p w:rsidR="00721160" w:rsidRDefault="00721160">
      <w:pPr>
        <w:spacing w:after="240"/>
        <w:ind w:firstLine="720"/>
      </w:pPr>
      <w:r>
        <w:rPr>
          <w:rStyle w:val="FootnoteReference"/>
          <w:vertAlign w:val="superscript"/>
        </w:rPr>
        <w:footnoteRef/>
      </w:r>
      <w:r>
        <w:t xml:space="preserve">  </w:t>
      </w:r>
      <w:r>
        <w:rPr>
          <w:i/>
          <w:iCs/>
        </w:rPr>
        <w:t>See, e.g., Coleman v. Kaye</w:t>
      </w:r>
      <w:r>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Pr>
          <w:i/>
          <w:iCs/>
        </w:rPr>
        <w:t>Springer v. Henry</w:t>
      </w:r>
      <w:r>
        <w:t>, 435 F.3d 268, 281 (3d Cir. 2006) (“A jury may award punitive damages when it finds reckless, callous, intentional or malicious conduct.”).</w:t>
      </w:r>
    </w:p>
  </w:footnote>
  <w:footnote w:id="128">
    <w:p w:rsidR="00721160" w:rsidRDefault="00721160">
      <w:pPr>
        <w:spacing w:after="240"/>
        <w:ind w:firstLine="720"/>
      </w:pPr>
      <w:r>
        <w:rPr>
          <w:rStyle w:val="FootnoteReference"/>
          <w:vertAlign w:val="superscript"/>
        </w:rPr>
        <w:footnoteRef/>
      </w:r>
      <w:r>
        <w:t xml:space="preserve">  </w:t>
      </w:r>
      <w:r>
        <w:rPr>
          <w:i/>
          <w:iCs/>
        </w:rPr>
        <w:t>See also Savarese v. Agriss</w:t>
      </w:r>
      <w:r>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29">
    <w:p w:rsidR="00721160" w:rsidRDefault="00721160">
      <w:pPr>
        <w:spacing w:after="240"/>
        <w:ind w:firstLine="720"/>
      </w:pPr>
      <w:r>
        <w:rPr>
          <w:rStyle w:val="FootnoteReference"/>
          <w:vertAlign w:val="superscript"/>
        </w:rPr>
        <w:footnoteRef/>
      </w:r>
      <w:r>
        <w:t xml:space="preserve">  </w:t>
      </w:r>
      <w:r>
        <w:rPr>
          <w:i/>
          <w:iCs/>
        </w:rPr>
        <w:t>See Cooper Indus., Inc. v. Leatherman Tool Group, Inc.</w:t>
      </w:r>
      <w:r>
        <w:t>,  532 U.S. 424, 436 (2001) (holding that “courts of appeals should apply a de novo standard of review when passing on district courts' determinations of the constitutionality of punitive damages awards”).</w:t>
      </w:r>
    </w:p>
  </w:footnote>
  <w:footnote w:id="130">
    <w:p w:rsidR="00721160" w:rsidRDefault="00721160">
      <w:pPr>
        <w:spacing w:after="240"/>
        <w:ind w:firstLine="720"/>
      </w:pPr>
      <w:r>
        <w:rPr>
          <w:rStyle w:val="FootnoteReference"/>
          <w:vertAlign w:val="superscript"/>
        </w:rPr>
        <w:footnoteRef/>
      </w:r>
      <w:r>
        <w:t xml:space="preserve">  </w:t>
      </w:r>
      <w:r>
        <w:rPr>
          <w:i/>
          <w:iCs/>
        </w:rPr>
        <w:t>See</w:t>
      </w:r>
      <w:r>
        <w:t xml:space="preserve"> </w:t>
      </w:r>
      <w:r>
        <w:rPr>
          <w:i/>
          <w:iCs/>
        </w:rPr>
        <w:t>Exxon Shipping Co. v. Baker</w:t>
      </w:r>
      <w:r>
        <w:t>, 128 S. Ct. 2605, 2626 (2008) (“The Court’s response to outlier punitive damages awards has thus far been confined by [</w:t>
      </w:r>
      <w:r>
        <w:rPr>
          <w:i/>
          <w:iCs/>
        </w:rPr>
        <w:t>sic</w:t>
      </w:r>
      <w:r>
        <w:t xml:space="preserve">] claims at the constitutional level, and our cases have announced due process standards that every award must pass.”) (citing </w:t>
      </w:r>
      <w:r>
        <w:rPr>
          <w:i/>
          <w:iCs/>
        </w:rPr>
        <w:t>State Farm</w:t>
      </w:r>
      <w:r>
        <w:t xml:space="preserve"> and </w:t>
      </w:r>
      <w:r>
        <w:rPr>
          <w:i/>
          <w:iCs/>
        </w:rPr>
        <w:t>Gore</w:t>
      </w:r>
      <w:r>
        <w:t>).</w:t>
      </w:r>
    </w:p>
  </w:footnote>
  <w:footnote w:id="131">
    <w:p w:rsidR="00721160" w:rsidRDefault="00721160">
      <w:pPr>
        <w:spacing w:after="240"/>
        <w:ind w:firstLine="720"/>
      </w:pPr>
      <w:r>
        <w:rPr>
          <w:rStyle w:val="FootnoteReference"/>
          <w:vertAlign w:val="superscript"/>
        </w:rPr>
        <w:footnoteRef/>
      </w:r>
      <w:r>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Pr>
          <w:i/>
          <w:iCs/>
        </w:rPr>
        <w:t>Exxon</w:t>
      </w:r>
      <w:r>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2">
    <w:p w:rsidR="00721160" w:rsidRDefault="00721160">
      <w:pPr>
        <w:ind w:firstLine="720"/>
      </w:pPr>
      <w:r>
        <w:rPr>
          <w:rStyle w:val="FootnoteReference"/>
          <w:vertAlign w:val="superscript"/>
        </w:rPr>
        <w:footnoteRef/>
      </w:r>
      <w:r>
        <w:t xml:space="preserve">  To date, one of the few specific requirements imposed by the Court is that “[a] jury must be instructed . . . that it may not use evidence of out of state conduct to punish a defendant for action that was lawful in the jurisdiction where it occurred.”  </w:t>
      </w:r>
      <w:r>
        <w:rPr>
          <w:i/>
          <w:iCs/>
        </w:rPr>
        <w:t>State Farm</w:t>
      </w:r>
      <w:r>
        <w:t>, 538 U.S. at 422.  This requirement stems from the concern that a state should not impose punitive damages based on a defendant’s legal out-of-state conduct; that concern, of course, does not arise in the context of Section 1983 suits.</w:t>
      </w:r>
    </w:p>
    <w:p w:rsidR="00721160" w:rsidRDefault="00721160">
      <w:pPr>
        <w:spacing w:after="240"/>
        <w:ind w:firstLine="720"/>
      </w:pPr>
      <w:r>
        <w:t xml:space="preserve">The Court’s decision in </w:t>
      </w:r>
      <w:r>
        <w:rPr>
          <w:i/>
          <w:iCs/>
        </w:rPr>
        <w:t>Philip Morris</w:t>
      </w:r>
      <w:r>
        <w:t>, 127 S. Ct. 1057 (2007) – which addresses the jury’s consideration of harm to third parties – is discussed below.</w:t>
      </w:r>
    </w:p>
  </w:footnote>
  <w:footnote w:id="133">
    <w:p w:rsidR="00721160" w:rsidRDefault="00721160">
      <w:pPr>
        <w:spacing w:after="240"/>
        <w:ind w:firstLine="720"/>
      </w:pPr>
      <w:r>
        <w:rPr>
          <w:rStyle w:val="FootnoteReference"/>
          <w:vertAlign w:val="superscript"/>
        </w:rPr>
        <w:footnoteRef/>
      </w:r>
      <w:r>
        <w:t xml:space="preserve">  </w:t>
      </w:r>
      <w:r>
        <w:rPr>
          <w:i/>
          <w:iCs/>
        </w:rPr>
        <w:t>See also</w:t>
      </w:r>
      <w:r>
        <w:t xml:space="preserve"> </w:t>
      </w:r>
      <w:r>
        <w:rPr>
          <w:i/>
          <w:iCs/>
        </w:rPr>
        <w:t>CGB Occupational Therapy, Inc. v. RHA Health Services, Inc.</w:t>
      </w:r>
      <w:r>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Pr>
          <w:i/>
          <w:iCs/>
        </w:rPr>
        <w:t>Campbell</w:t>
      </w:r>
      <w:r>
        <w:t xml:space="preserve">, 538 U.S. at 419); </w:t>
      </w:r>
      <w:r>
        <w:rPr>
          <w:i/>
          <w:iCs/>
        </w:rPr>
        <w:t>Cortez v. Trans Union, LLC</w:t>
      </w:r>
      <w:r>
        <w:t>, 617 F.3d 688, 718 n.37 (3d Cir. 2010) (in Fair Credit Reporting Act case, noting in dictum that there was “nothing wrong with a jury focusing on a ‘defendant's seeming insensitivity’ in deciding how much to award as punitive damages”)..</w:t>
      </w:r>
    </w:p>
  </w:footnote>
  <w:footnote w:id="134">
    <w:p w:rsidR="00721160" w:rsidRDefault="00721160">
      <w:pPr>
        <w:spacing w:after="240"/>
        <w:ind w:firstLine="720"/>
      </w:pPr>
      <w:r>
        <w:rPr>
          <w:rStyle w:val="FootnoteReference"/>
          <w:vertAlign w:val="superscript"/>
        </w:rPr>
        <w:footnoteRef/>
      </w:r>
      <w:r>
        <w:t xml:space="preserve">  In considering whether the defendant was a recidivist malefactor, the jury should consider only misconduct similar to that directed against the plaintiff.  </w:t>
      </w:r>
      <w:r>
        <w:rPr>
          <w:i/>
          <w:iCs/>
        </w:rPr>
        <w:t>See State Farm</w:t>
      </w:r>
      <w:r>
        <w:t>, 538 U.S. at 424 (“[B]ecause the Campbells have shown no conduct by State Farm similar to that which harmed them, the conduct that harmed them is the only conduct relevant to the reprehensibility analysis.”).</w:t>
      </w:r>
    </w:p>
  </w:footnote>
  <w:footnote w:id="135">
    <w:p w:rsidR="00721160" w:rsidRDefault="00721160">
      <w:pPr>
        <w:spacing w:after="240"/>
        <w:ind w:firstLine="720"/>
      </w:pPr>
      <w:r>
        <w:rPr>
          <w:rStyle w:val="FootnoteReference"/>
          <w:vertAlign w:val="superscript"/>
        </w:rPr>
        <w:footnoteRef/>
      </w:r>
      <w:r>
        <w:t xml:space="preserve">  </w:t>
      </w:r>
      <w:r>
        <w:rPr>
          <w:i/>
          <w:iCs/>
        </w:rPr>
        <w:t>See TXO Production Corp. v. Alliance Resources Corp.</w:t>
      </w:r>
      <w:r>
        <w:t xml:space="preserve">, 509 U.S. 443, 460 (1993) (Stevens, J., joined by Rehnquist, C.J., and Blackmun, J.) (“It is appropriate to consider the magnitude of the </w:t>
      </w:r>
      <w:r>
        <w:rPr>
          <w:i/>
          <w:iCs/>
        </w:rPr>
        <w:t xml:space="preserve">potential harm </w:t>
      </w:r>
      <w:r>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36">
    <w:p w:rsidR="00721160" w:rsidRDefault="00721160">
      <w:pPr>
        <w:spacing w:after="240"/>
        <w:ind w:firstLine="720"/>
      </w:pPr>
      <w:r>
        <w:rPr>
          <w:rStyle w:val="FootnoteReference"/>
          <w:vertAlign w:val="superscript"/>
        </w:rPr>
        <w:footnoteRef/>
      </w:r>
      <w:r>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7">
    <w:p w:rsidR="00721160" w:rsidRDefault="00721160" w:rsidP="00C2313F">
      <w:pPr>
        <w:ind w:firstLine="720"/>
      </w:pPr>
      <w:r>
        <w:rPr>
          <w:rStyle w:val="FootnoteReference"/>
          <w:vertAlign w:val="superscript"/>
        </w:rPr>
        <w:footnoteRef/>
      </w:r>
      <w:r>
        <w:t xml:space="preserve">  Some sets of model instructions include a reference to “extraordinary misconduct” or equivalent terms.  </w:t>
      </w:r>
      <w:r>
        <w:rPr>
          <w:i/>
          <w:iCs/>
        </w:rPr>
        <w:t>See</w:t>
      </w:r>
      <w:r>
        <w:t xml:space="preserve"> Eighth Circuit (Civil) Instruction 4.53 (“extraordinary misconduct”); Sand Instruction 87</w:t>
      </w:r>
      <w:r>
        <w:noBreakHyphen/>
        <w:t xml:space="preserve">92 (“extreme or outrageous conduct”).  One reason for the inclusion of this language may be that the instruction approved in </w:t>
      </w:r>
      <w:r>
        <w:rPr>
          <w:i/>
          <w:iCs/>
        </w:rPr>
        <w:t xml:space="preserve">Smith v. Wade </w:t>
      </w:r>
      <w:r>
        <w:t xml:space="preserve">referred to “extraordinary </w:t>
      </w:r>
    </w:p>
    <w:p w:rsidR="00721160" w:rsidRDefault="00721160">
      <w:pPr>
        <w:spacing w:after="240"/>
      </w:pPr>
      <w:r>
        <w:t xml:space="preserve">misconduct.”  </w:t>
      </w:r>
      <w:r>
        <w:rPr>
          <w:i/>
          <w:iCs/>
        </w:rPr>
        <w:t>Smith</w:t>
      </w:r>
      <w:r>
        <w:t xml:space="preserve">, 461 U.S. at 33. </w:t>
      </w:r>
    </w:p>
  </w:footnote>
  <w:footnote w:id="138">
    <w:p w:rsidR="00721160" w:rsidRDefault="00721160">
      <w:pPr>
        <w:spacing w:after="240"/>
        <w:ind w:firstLine="720"/>
      </w:pPr>
      <w:r>
        <w:rPr>
          <w:rStyle w:val="FootnoteReference"/>
          <w:vertAlign w:val="superscript"/>
        </w:rPr>
        <w:footnoteRef/>
      </w:r>
      <w:r>
        <w:t xml:space="preserve">  It is also unclear how a court would instruct a jury on the third Gore factor in the context of a Section 1983 suit; the model instruction omits any reference to this factor.</w:t>
      </w:r>
    </w:p>
  </w:footnote>
  <w:footnote w:id="139">
    <w:p w:rsidR="00721160" w:rsidRDefault="00721160">
      <w:pPr>
        <w:ind w:firstLine="720"/>
      </w:pPr>
      <w:r>
        <w:rPr>
          <w:rStyle w:val="FootnoteReference"/>
          <w:vertAlign w:val="superscript"/>
        </w:rPr>
        <w:footnoteRef/>
      </w:r>
      <w:r>
        <w:t xml:space="preserve">  Indeed, an inflexible ratio would conflict with the well-established principle that compensatory damages are not a prerequisite for the imposition of punitive damages in civil rights cases.  </w:t>
      </w:r>
      <w:r>
        <w:rPr>
          <w:i/>
          <w:iCs/>
        </w:rPr>
        <w:t>See Allah v. Al</w:t>
      </w:r>
      <w:r>
        <w:rPr>
          <w:i/>
          <w:iCs/>
        </w:rPr>
        <w:noBreakHyphen/>
        <w:t>Hafeez</w:t>
      </w:r>
      <w:r>
        <w:t xml:space="preserve">, 226 F.3d 247, 251 (3d Cir. 2000) ("Punitive damages may . . . be awarded based solely on a constitutional violation, provided the proper showing is made."); </w:t>
      </w:r>
      <w:r>
        <w:rPr>
          <w:i/>
          <w:iCs/>
        </w:rPr>
        <w:t>cf. Alexander v. Riga</w:t>
      </w:r>
      <w:r>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Pr>
          <w:i/>
          <w:iCs/>
        </w:rPr>
        <w:t>see also Williams v. Kaufman County</w:t>
      </w:r>
      <w:r>
        <w:t>, 352 F.3d 994, 1016 (5th Cir. 2003) (“Because actions seeking vindication of constitutional rights are more likely to result only in nominal damages, strict proportionality would defeat the ability to award punitive damages at all.”).</w:t>
      </w:r>
    </w:p>
    <w:p w:rsidR="00721160" w:rsidRDefault="00721160"/>
    <w:p w:rsidR="00721160" w:rsidRDefault="00721160">
      <w:pPr>
        <w:spacing w:after="240"/>
        <w:ind w:firstLine="720"/>
      </w:pPr>
      <w:r>
        <w:t xml:space="preserve">The Court of Appeals has also suggested that the denominator used by a reviewing court might sometimes be larger than the amount of compensatory damages actually awarded by the jury.  </w:t>
      </w:r>
      <w:r>
        <w:rPr>
          <w:i/>
          <w:iCs/>
        </w:rPr>
        <w:t>See CGB Occupational</w:t>
      </w:r>
      <w:r>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0">
    <w:p w:rsidR="00721160" w:rsidRDefault="00721160">
      <w:pPr>
        <w:spacing w:after="240"/>
        <w:ind w:firstLine="720"/>
      </w:pPr>
      <w:r>
        <w:rPr>
          <w:rStyle w:val="FootnoteReference"/>
          <w:vertAlign w:val="superscript"/>
        </w:rPr>
        <w:footnoteRef/>
      </w:r>
      <w:r>
        <w:t xml:space="preserve">  </w:t>
      </w:r>
      <w:r>
        <w:rPr>
          <w:i/>
          <w:iCs/>
        </w:rPr>
        <w:t>See also Exxon Shipping Co. v. Baker</w:t>
      </w:r>
      <w:r>
        <w:t>, 128 S. Ct. 2605, 2622 (2008) (noting that “heavier punitive awards have been thought to be justifiable ... when the value of injury and the corresponding compensatory award are small (providing low incentives to sue)”).</w:t>
      </w:r>
    </w:p>
  </w:footnote>
  <w:footnote w:id="141">
    <w:p w:rsidR="00721160" w:rsidRDefault="00721160">
      <w:pPr>
        <w:spacing w:after="240"/>
        <w:ind w:firstLine="720"/>
      </w:pPr>
      <w:r>
        <w:rPr>
          <w:rStyle w:val="FootnoteReference"/>
          <w:vertAlign w:val="superscript"/>
        </w:rPr>
        <w:footnoteRef/>
      </w:r>
      <w:r>
        <w:t xml:space="preserve">  A jury instructed to consider this ratio should be directed, for this purpose, to consider the harm the defendant caused </w:t>
      </w:r>
      <w:r>
        <w:rPr>
          <w:i/>
          <w:iCs/>
        </w:rPr>
        <w:t>the plaintiff</w:t>
      </w:r>
      <w:r>
        <w:t xml:space="preserve">, not harm caused to third parties.  </w:t>
      </w:r>
      <w:r>
        <w:rPr>
          <w:i/>
          <w:iCs/>
        </w:rPr>
        <w:t>See Philip Morris</w:t>
      </w:r>
      <w:r>
        <w:t xml:space="preserve">, 127 S.Ct. at 1063 (describing the second </w:t>
      </w:r>
      <w:r>
        <w:rPr>
          <w:i/>
          <w:iCs/>
        </w:rPr>
        <w:t>Gore</w:t>
      </w:r>
      <w:r>
        <w:t xml:space="preserve"> factor as “whether the award bears a reasonable relationship to the actual and potential harm caused by the defendant to the plaintiff”).</w:t>
      </w:r>
    </w:p>
  </w:footnote>
  <w:footnote w:id="142">
    <w:p w:rsidR="00721160" w:rsidRDefault="00721160" w:rsidP="00901960">
      <w:pPr>
        <w:ind w:firstLine="720"/>
      </w:pPr>
      <w:r>
        <w:rPr>
          <w:rStyle w:val="FootnoteReference"/>
          <w:vertAlign w:val="superscript"/>
        </w:rPr>
        <w:footnoteRef/>
      </w:r>
      <w:r>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Pr>
          <w:i/>
          <w:iCs/>
        </w:rPr>
        <w:t>State Farm</w:t>
      </w:r>
      <w:r>
        <w:t>, 538 U.S. at 427</w:t>
      </w:r>
      <w:r>
        <w:noBreakHyphen/>
        <w:t xml:space="preserve">28 (quoting </w:t>
      </w:r>
      <w:r>
        <w:rPr>
          <w:i/>
          <w:iCs/>
        </w:rPr>
        <w:t>Gore</w:t>
      </w:r>
      <w:r>
        <w:t xml:space="preserve">, 517 U.S. at 591 (Breyer, J., joined by O’Connor &amp; Souter, JJ., concurring)).  Although the </w:t>
      </w:r>
      <w:r>
        <w:rPr>
          <w:i/>
          <w:iCs/>
        </w:rPr>
        <w:t xml:space="preserve">State Farm </w:t>
      </w:r>
      <w:r>
        <w:t xml:space="preserve">Court’s quotation of this passage suggests the Court did not consider wealth an impermissible factor in the award of punitive damages, Justice Ginsburg posited that the Court’s reasoning might “unsettle” that principle.  </w:t>
      </w:r>
      <w:r>
        <w:rPr>
          <w:i/>
          <w:iCs/>
        </w:rPr>
        <w:t>See State Farm</w:t>
      </w:r>
      <w:r>
        <w:t>, 538 U.S. at 438 n.2 (Ginsburg, J., dissenting).</w:t>
      </w:r>
    </w:p>
    <w:p w:rsidR="00721160" w:rsidRDefault="00721160"/>
    <w:p w:rsidR="00721160" w:rsidRDefault="00721160">
      <w:pPr>
        <w:spacing w:after="240"/>
        <w:ind w:firstLine="720"/>
      </w:pPr>
      <w:r>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Pr>
          <w:i/>
          <w:iCs/>
        </w:rPr>
        <w:t>See CGB Occupational</w:t>
      </w:r>
      <w:r>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Pr>
          <w:i/>
          <w:iCs/>
        </w:rPr>
        <w:t>See id.</w:t>
      </w:r>
      <w:r>
        <w:t xml:space="preserve"> at 194 n. 7.</w:t>
      </w:r>
    </w:p>
  </w:footnote>
  <w:footnote w:id="143">
    <w:p w:rsidR="00721160" w:rsidRDefault="00721160">
      <w:pPr>
        <w:spacing w:after="240"/>
        <w:ind w:firstLine="720"/>
      </w:pPr>
      <w:r>
        <w:rPr>
          <w:rStyle w:val="FootnoteReference"/>
          <w:vertAlign w:val="superscript"/>
        </w:rPr>
        <w:footnoteRef/>
      </w:r>
      <w:r>
        <w:t xml:space="preserve">  </w:t>
      </w:r>
      <w:r>
        <w:rPr>
          <w:i/>
          <w:iCs/>
        </w:rPr>
        <w:t>See Cortez v. Trans Union, LLC</w:t>
      </w:r>
      <w:r>
        <w:t>, 617 F.3d 688, 718 n.37 (3d Cir. 2010) (in a Fair Credit Reporting Act case, stating in dictum that “[a] jury can consider the relative wealth of a defendant in deciding what amount is sufficient to inflict the intended punishment”).</w:t>
      </w:r>
    </w:p>
  </w:footnote>
  <w:footnote w:id="144">
    <w:p w:rsidR="00721160" w:rsidRDefault="00721160">
      <w:pPr>
        <w:spacing w:after="240"/>
        <w:ind w:firstLine="720"/>
      </w:pPr>
      <w:r>
        <w:rPr>
          <w:rStyle w:val="FootnoteReference"/>
          <w:vertAlign w:val="superscript"/>
        </w:rPr>
        <w:footnoteRef/>
      </w:r>
      <w:r>
        <w:t xml:space="preserve">  One commentator has argued that if an indemnified defendant submits evidence of limited personal means, the plaintiff should be permitted to submit evidence that the defendant will be indemnified.  </w:t>
      </w:r>
      <w:r>
        <w:rPr>
          <w:i/>
          <w:iCs/>
        </w:rPr>
        <w:t>See</w:t>
      </w:r>
      <w:r>
        <w:t xml:space="preserve"> Martin A. Schwartz, </w:t>
      </w:r>
      <w:r>
        <w:rPr>
          <w:i/>
          <w:iCs/>
        </w:rPr>
        <w:t>Should Juries Be Informed that Municipality Will Indemnify Officer's § 1983 Liability for Constitutional Wrongdoing?</w:t>
      </w:r>
      <w:r>
        <w:t xml:space="preserve">, 86 </w:t>
      </w:r>
      <w:r>
        <w:rPr>
          <w:smallCaps/>
        </w:rPr>
        <w:t xml:space="preserve">Iowa L. Rev. </w:t>
      </w:r>
      <w:r>
        <w:t>1209, 1247</w:t>
      </w:r>
      <w:r>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5">
    <w:p w:rsidR="00721160" w:rsidRDefault="00721160" w:rsidP="00BB6929">
      <w:pPr>
        <w:ind w:firstLine="720"/>
      </w:pPr>
      <w:r>
        <w:rPr>
          <w:rStyle w:val="FootnoteReference"/>
          <w:vertAlign w:val="superscript"/>
        </w:rPr>
        <w:footnoteRef/>
      </w:r>
      <w:r>
        <w:t xml:space="preserve">  However, the court of appeals has rejected the contention that a lack of probable cause to make an arrest in itself establishes that the force used in making the arrest was excessive.  </w:t>
      </w:r>
      <w:r>
        <w:rPr>
          <w:i/>
          <w:iCs/>
        </w:rPr>
        <w:t>See Snell v. City of York</w:t>
      </w:r>
      <w:r>
        <w:t>, 564 F.3d 659, 672 (3d Cir. 2009) (rejecting plaintiff’s argument “that the force applied was excessive solely because probable cause was lacking for his arrest”).</w:t>
      </w:r>
    </w:p>
  </w:footnote>
  <w:footnote w:id="146">
    <w:p w:rsidR="00721160" w:rsidRDefault="00721160">
      <w:pPr>
        <w:spacing w:after="240"/>
        <w:ind w:firstLine="720"/>
      </w:pPr>
      <w:r>
        <w:rPr>
          <w:rStyle w:val="FootnoteReference"/>
          <w:vertAlign w:val="superscript"/>
        </w:rPr>
        <w:footnoteRef/>
      </w:r>
      <w:r>
        <w:t xml:space="preserve">  This inquiry should be based on the facts that the officer reasonably believed to be true at the time of the encounter.  </w:t>
      </w:r>
      <w:r>
        <w:rPr>
          <w:i/>
          <w:iCs/>
        </w:rPr>
        <w:t>See Saucier v. Katz</w:t>
      </w:r>
      <w:r>
        <w:t xml:space="preserve">, 533 U.S. 194, 205 (2001) (“If an officer reasonably, but mistakenly, believed that a suspect was likely to fight back ... the officer would be justified in using more force than in fact was needed.”); </w:t>
      </w:r>
      <w:r>
        <w:rPr>
          <w:i/>
          <w:iCs/>
        </w:rPr>
        <w:t>Estate of Smith v. Marasco</w:t>
      </w:r>
      <w:r>
        <w:t xml:space="preserve">, 318 F.3d 497, 516-17 (3d Cir. 2003) (analyzing Fourth Amendment excessive force claim based on officers’ knowledge or “objectively reasonable belief” concerning relevant facts); </w:t>
      </w:r>
      <w:r>
        <w:rPr>
          <w:i/>
          <w:iCs/>
        </w:rPr>
        <w:t>Curley v. Klem</w:t>
      </w:r>
      <w:r>
        <w:t>, 298 F.3d 271, 280 (3d Cir. 2002) (“</w:t>
      </w:r>
      <w:r>
        <w:rPr>
          <w:i/>
          <w:iCs/>
        </w:rPr>
        <w:t>Curley I</w:t>
      </w:r>
      <w:r>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Pr>
          <w:i/>
          <w:iCs/>
        </w:rPr>
        <w:t>See Curley I</w:t>
      </w:r>
      <w:r>
        <w:t>, 298 F.3d at 281 (analyzing qualified immunity question based on the assumption “that a reasonable officer in Klem's position would have looked inside the Camry upon arriving at the scene”).</w:t>
      </w:r>
    </w:p>
  </w:footnote>
  <w:footnote w:id="147">
    <w:p w:rsidR="00721160" w:rsidRDefault="00721160">
      <w:pPr>
        <w:spacing w:after="240"/>
        <w:ind w:firstLine="720"/>
      </w:pPr>
      <w:r>
        <w:rPr>
          <w:rStyle w:val="FootnoteReference"/>
          <w:vertAlign w:val="superscript"/>
        </w:rPr>
        <w:footnoteRef/>
      </w:r>
      <w:r>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Pr>
          <w:i/>
          <w:iCs/>
        </w:rPr>
        <w:t>Mosley v. Wilson</w:t>
      </w:r>
      <w:r>
        <w:t>, 102 F.3d 85, 95 (3d Cir. 1996).</w:t>
      </w:r>
    </w:p>
  </w:footnote>
  <w:footnote w:id="148">
    <w:p w:rsidR="00721160" w:rsidRDefault="00721160">
      <w:pPr>
        <w:spacing w:after="240"/>
        <w:ind w:firstLine="720"/>
      </w:pPr>
      <w:r>
        <w:rPr>
          <w:rStyle w:val="FootnoteReference"/>
          <w:vertAlign w:val="superscript"/>
        </w:rPr>
        <w:footnoteRef/>
      </w:r>
      <w:r>
        <w:t xml:space="preserve">  </w:t>
      </w:r>
      <w:r>
        <w:rPr>
          <w:i/>
          <w:iCs/>
        </w:rPr>
        <w:t>See generally</w:t>
      </w:r>
      <w:r>
        <w:t xml:space="preserve"> Comment 4.12 (discussing the implications of </w:t>
      </w:r>
      <w:r>
        <w:rPr>
          <w:i/>
          <w:iCs/>
        </w:rPr>
        <w:t>Heck</w:t>
      </w:r>
      <w:r>
        <w:t>).</w:t>
      </w:r>
    </w:p>
  </w:footnote>
  <w:footnote w:id="149">
    <w:p w:rsidR="00721160" w:rsidRDefault="00721160">
      <w:pPr>
        <w:spacing w:after="240"/>
        <w:ind w:firstLine="720"/>
      </w:pPr>
      <w:r>
        <w:rPr>
          <w:rStyle w:val="FootnoteReference"/>
          <w:vertAlign w:val="superscript"/>
        </w:rPr>
        <w:footnoteRef/>
      </w:r>
      <w:r>
        <w:t xml:space="preserve">  Include all bullet points that are warranted by the evidence.  Include the bracketed language if listing more than one bullet point.</w:t>
      </w:r>
    </w:p>
  </w:footnote>
  <w:footnote w:id="150">
    <w:p w:rsidR="00721160" w:rsidRDefault="00721160">
      <w:pPr>
        <w:spacing w:after="240"/>
        <w:ind w:firstLine="720"/>
      </w:pPr>
      <w:r>
        <w:rPr>
          <w:rStyle w:val="FootnoteReference"/>
          <w:vertAlign w:val="superscript"/>
        </w:rPr>
        <w:footnoteRef/>
      </w:r>
      <w:r>
        <w:t xml:space="preserve">  “[T]here can be no question that apprehension by the use of deadly force is a seizure subject to the reasonableness requirement of the Fourth Amendment.”  </w:t>
      </w:r>
      <w:r>
        <w:rPr>
          <w:i/>
          <w:iCs/>
        </w:rPr>
        <w:t>Garner</w:t>
      </w:r>
      <w:r>
        <w:t>, 471 U.S. at 7.</w:t>
      </w:r>
    </w:p>
  </w:footnote>
  <w:footnote w:id="151">
    <w:p w:rsidR="00721160" w:rsidRDefault="00721160">
      <w:pPr>
        <w:spacing w:after="240"/>
        <w:ind w:firstLine="720"/>
      </w:pPr>
      <w:r>
        <w:rPr>
          <w:rStyle w:val="FootnoteReference"/>
          <w:vertAlign w:val="superscript"/>
        </w:rPr>
        <w:footnoteRef/>
      </w:r>
      <w:r>
        <w:t xml:space="preserve">  As noted above, some uses of deadly force will give rise to cases in which a </w:t>
      </w:r>
      <w:r>
        <w:rPr>
          <w:i/>
          <w:iCs/>
        </w:rPr>
        <w:t>Garner</w:t>
      </w:r>
      <w:r>
        <w:t xml:space="preserve">-type instruction, such as Instruction 4.9.1, is not appropriate.  The remainder of this Comment uses the term “deadly force” to refer to deadly force used under circumstances which render a </w:t>
      </w:r>
      <w:r>
        <w:rPr>
          <w:i/>
          <w:iCs/>
        </w:rPr>
        <w:t>Garner</w:t>
      </w:r>
      <w:r>
        <w:t>-type instruction appropriate.</w:t>
      </w:r>
    </w:p>
  </w:footnote>
  <w:footnote w:id="152">
    <w:p w:rsidR="00721160" w:rsidRDefault="00721160">
      <w:pPr>
        <w:spacing w:after="240"/>
        <w:ind w:firstLine="720"/>
      </w:pPr>
      <w:r>
        <w:rPr>
          <w:rStyle w:val="FootnoteReference"/>
          <w:vertAlign w:val="superscript"/>
        </w:rPr>
        <w:footnoteRef/>
      </w:r>
      <w:r>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3">
    <w:p w:rsidR="00721160" w:rsidRDefault="00721160">
      <w:pPr>
        <w:ind w:firstLine="720"/>
      </w:pPr>
      <w:r>
        <w:rPr>
          <w:rStyle w:val="FootnoteReference"/>
          <w:vertAlign w:val="superscript"/>
        </w:rPr>
        <w:footnoteRef/>
      </w:r>
      <w:r>
        <w:t xml:space="preserve">  </w:t>
      </w:r>
      <w:r>
        <w:rPr>
          <w:i/>
          <w:iCs/>
        </w:rPr>
        <w:t>Compare</w:t>
      </w:r>
      <w:r>
        <w:t xml:space="preserve"> </w:t>
      </w:r>
      <w:r>
        <w:rPr>
          <w:i/>
          <w:iCs/>
        </w:rPr>
        <w:t>In re City of Philadelphia Litigation</w:t>
      </w:r>
      <w:r>
        <w:t xml:space="preserve">, 49 F.3d 945, 966 (3d Cir. 1995) (opinion of Greenberg, J.) (concluding that defendants’ actions in dropping explosive on roof of house and allowing ensuing fire to burn did not constitute “deadly force” so as to trigger </w:t>
      </w:r>
      <w:r>
        <w:rPr>
          <w:i/>
          <w:iCs/>
        </w:rPr>
        <w:t>Garner</w:t>
      </w:r>
      <w:r>
        <w:t xml:space="preserve"> standard), and </w:t>
      </w:r>
      <w:r>
        <w:rPr>
          <w:i/>
          <w:iCs/>
        </w:rPr>
        <w:t>id.</w:t>
      </w:r>
      <w:r>
        <w:t xml:space="preserve"> at 973 n.1 (opinion of Scirica, J.) (“Although I believe the police may have used deadly force against the MOVE members, that confrontation is readily distinguishable from the situation in </w:t>
      </w:r>
      <w:r>
        <w:rPr>
          <w:i/>
          <w:iCs/>
        </w:rPr>
        <w:t>Garner</w:t>
      </w:r>
      <w:r>
        <w:t xml:space="preserve">.”), </w:t>
      </w:r>
      <w:r>
        <w:rPr>
          <w:i/>
          <w:iCs/>
        </w:rPr>
        <w:t xml:space="preserve">with id. </w:t>
      </w:r>
      <w:r>
        <w:t xml:space="preserve">at 978 n.1 (opinion of Lewis, J.) (“I believe that </w:t>
      </w:r>
      <w:r>
        <w:rPr>
          <w:i/>
          <w:iCs/>
        </w:rPr>
        <w:t>Garner</w:t>
      </w:r>
      <w:r>
        <w:t xml:space="preserve"> controls, and under </w:t>
      </w:r>
      <w:r>
        <w:rPr>
          <w:i/>
          <w:iCs/>
        </w:rPr>
        <w:t>Garner</w:t>
      </w:r>
      <w:r>
        <w:t xml:space="preserve">, it is clear to me that the deadly force used here was excessive as a matter of law and, therefore, unlawful.”).  The panel members’ debate, in </w:t>
      </w:r>
      <w:r>
        <w:rPr>
          <w:i/>
          <w:iCs/>
        </w:rPr>
        <w:t>In re City of Philadelphia Litigation,</w:t>
      </w:r>
      <w:r>
        <w:t xml:space="preserve"> over whether </w:t>
      </w:r>
      <w:r>
        <w:rPr>
          <w:i/>
          <w:iCs/>
        </w:rPr>
        <w:t>Garner</w:t>
      </w:r>
      <w:r>
        <w:t xml:space="preserve"> was the appropriate standard to apply prefigured the Supreme Court’s decision, in </w:t>
      </w:r>
      <w:r>
        <w:rPr>
          <w:i/>
          <w:iCs/>
        </w:rPr>
        <w:t>Scott v. Harris</w:t>
      </w:r>
      <w:r>
        <w:t xml:space="preserve">, to limit the reach of the </w:t>
      </w:r>
      <w:r>
        <w:rPr>
          <w:i/>
          <w:iCs/>
        </w:rPr>
        <w:t>Garner</w:t>
      </w:r>
      <w:r>
        <w:t xml:space="preserve"> test.</w:t>
      </w:r>
    </w:p>
    <w:p w:rsidR="00721160" w:rsidRDefault="00721160">
      <w:pPr>
        <w:ind w:firstLine="720"/>
      </w:pPr>
      <w:r>
        <w:t xml:space="preserve">The Court of Appeals has decided other cases involving use of deadly force, but because those cases involved shootings, </w:t>
      </w:r>
      <w:r>
        <w:rPr>
          <w:i/>
          <w:iCs/>
        </w:rPr>
        <w:t>see, e.g.</w:t>
      </w:r>
      <w:r>
        <w:t xml:space="preserve">, </w:t>
      </w:r>
      <w:r>
        <w:rPr>
          <w:i/>
          <w:iCs/>
        </w:rPr>
        <w:t>Carswell v. Borough of Homestead</w:t>
      </w:r>
      <w:r>
        <w:t>, 381 F.3d 235, 237</w:t>
      </w:r>
    </w:p>
    <w:p w:rsidR="00721160" w:rsidRDefault="00721160">
      <w:pPr>
        <w:spacing w:after="240"/>
      </w:pPr>
      <w:r>
        <w:t>(3d Cir. 2004), the court did not have occasion to consider what other types of force could fall within the definition of “deadly force.”</w:t>
      </w:r>
    </w:p>
  </w:footnote>
  <w:footnote w:id="154">
    <w:p w:rsidR="00721160" w:rsidRDefault="00721160">
      <w:pPr>
        <w:spacing w:after="240"/>
        <w:ind w:firstLine="720"/>
      </w:pPr>
      <w:r>
        <w:rPr>
          <w:rStyle w:val="FootnoteReference"/>
          <w:vertAlign w:val="superscript"/>
        </w:rPr>
        <w:footnoteRef/>
      </w:r>
      <w:r>
        <w:t xml:space="preserve">  The portion of Judge Greenberg’s opinion that addressed the definition of deadly force was joined by Judge Scirica, “but only for the limited purpose of agreeing that </w:t>
      </w:r>
      <w:r>
        <w:rPr>
          <w:i/>
          <w:iCs/>
        </w:rPr>
        <w:t xml:space="preserve">Tennessee v. Garner </w:t>
      </w:r>
      <w:r>
        <w:t xml:space="preserve">is inapplicable and that the appropriate inquiry is the reasonableness of the city defendants’ acts.”  </w:t>
      </w:r>
      <w:r>
        <w:rPr>
          <w:i/>
          <w:iCs/>
        </w:rPr>
        <w:t>In re City of Philadelphia Litigation</w:t>
      </w:r>
      <w:r>
        <w:t>, 49 F.3d at 964-65.</w:t>
      </w:r>
    </w:p>
  </w:footnote>
  <w:footnote w:id="155">
    <w:p w:rsidR="00721160" w:rsidRDefault="00721160">
      <w:pPr>
        <w:spacing w:after="240"/>
        <w:ind w:firstLine="720"/>
      </w:pPr>
      <w:r>
        <w:rPr>
          <w:rStyle w:val="FootnoteReference"/>
          <w:vertAlign w:val="superscript"/>
        </w:rPr>
        <w:footnoteRef/>
      </w:r>
      <w:r>
        <w:t xml:space="preserve">  </w:t>
      </w:r>
      <w:r>
        <w:rPr>
          <w:i/>
          <w:iCs/>
        </w:rPr>
        <w:t>In re City of Philadelphia Litigation</w:t>
      </w:r>
      <w:r>
        <w:t xml:space="preserve">, 49 F.3d at 966 (opinion of Greenberg, J.) (quoting Model Penal Code § 3.11(2) (1994) and finding no deadly force); </w:t>
      </w:r>
      <w:r>
        <w:rPr>
          <w:i/>
          <w:iCs/>
        </w:rPr>
        <w:t>see also id.</w:t>
      </w:r>
      <w:r>
        <w:t xml:space="preserve"> at 977 (opinion of Lewis, J.) (quoting same section of MPC and finding deadly force).</w:t>
      </w:r>
    </w:p>
  </w:footnote>
  <w:footnote w:id="156">
    <w:p w:rsidR="00721160" w:rsidRDefault="00721160">
      <w:pPr>
        <w:ind w:firstLine="720"/>
      </w:pPr>
      <w:r>
        <w:rPr>
          <w:rStyle w:val="FootnoteReference"/>
          <w:vertAlign w:val="superscript"/>
        </w:rPr>
        <w:footnoteRef/>
      </w:r>
      <w:r>
        <w:t xml:space="preserve">  In </w:t>
      </w:r>
      <w:r>
        <w:rPr>
          <w:i/>
          <w:iCs/>
        </w:rPr>
        <w:t>Brosseau v. Haugen</w:t>
      </w:r>
      <w:r>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Pr>
          <w:i/>
          <w:iCs/>
        </w:rPr>
        <w:t xml:space="preserve">see id. </w:t>
      </w:r>
      <w:r>
        <w:t>at 200.</w:t>
      </w:r>
    </w:p>
    <w:p w:rsidR="00721160" w:rsidRDefault="00721160">
      <w:pPr>
        <w:spacing w:after="240"/>
        <w:ind w:firstLine="720"/>
      </w:pPr>
      <w:r>
        <w:t xml:space="preserve">Justice Stevens believed the qualified immunity issue in </w:t>
      </w:r>
      <w:r>
        <w:rPr>
          <w:i/>
          <w:iCs/>
        </w:rPr>
        <w:t>Brosseau</w:t>
      </w:r>
      <w:r>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Pr>
          <w:i/>
          <w:iCs/>
        </w:rPr>
        <w:t>Brosseau</w:t>
      </w:r>
      <w:r>
        <w:t xml:space="preserve">, 543 U.S. at 204 (Stevens, J., dissenting) (footnote omitted); </w:t>
      </w:r>
      <w:r>
        <w:rPr>
          <w:i/>
          <w:iCs/>
        </w:rPr>
        <w:t xml:space="preserve">see id. </w:t>
      </w:r>
      <w:r>
        <w:t>at 207 n.5 (“The factual issues relate only to the danger that [Haugen] posed while in the act of escaping.”).</w:t>
      </w:r>
    </w:p>
  </w:footnote>
  <w:footnote w:id="157">
    <w:p w:rsidR="00721160" w:rsidRDefault="00721160">
      <w:pPr>
        <w:spacing w:after="240"/>
        <w:ind w:firstLine="720"/>
      </w:pPr>
      <w:r>
        <w:rPr>
          <w:rStyle w:val="FootnoteReference"/>
          <w:vertAlign w:val="superscript"/>
        </w:rPr>
        <w:footnoteRef/>
      </w:r>
      <w:r>
        <w:t xml:space="preserve">  </w:t>
      </w:r>
      <w:r>
        <w:rPr>
          <w:i/>
          <w:iCs/>
        </w:rPr>
        <w:t>See Abraham</w:t>
      </w:r>
      <w:r>
        <w:t>, 183 F.3d at 293 (assessing “whether a court can decide on summary judgment that Raso's shooting was objectively reasonable in self</w:t>
      </w:r>
      <w:r>
        <w:noBreakHyphen/>
        <w:t>defense”).</w:t>
      </w:r>
    </w:p>
  </w:footnote>
  <w:footnote w:id="158">
    <w:p w:rsidR="00721160" w:rsidRDefault="00721160">
      <w:pPr>
        <w:spacing w:after="240"/>
        <w:ind w:firstLine="720"/>
      </w:pPr>
      <w:r>
        <w:rPr>
          <w:rStyle w:val="FootnoteReference"/>
          <w:vertAlign w:val="superscript"/>
        </w:rPr>
        <w:footnoteRef/>
      </w:r>
      <w:r>
        <w:t xml:space="preserve">  </w:t>
      </w:r>
      <w:r>
        <w:rPr>
          <w:i/>
          <w:iCs/>
        </w:rPr>
        <w:t>See Abraham</w:t>
      </w:r>
      <w:r>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59">
    <w:p w:rsidR="00721160" w:rsidRDefault="00721160">
      <w:pPr>
        <w:spacing w:after="240"/>
        <w:ind w:firstLine="720"/>
      </w:pPr>
      <w:r>
        <w:rPr>
          <w:rStyle w:val="FootnoteReference"/>
          <w:vertAlign w:val="superscript"/>
        </w:rPr>
        <w:footnoteRef/>
      </w:r>
      <w:r>
        <w:t xml:space="preserve">  </w:t>
      </w:r>
      <w:r>
        <w:rPr>
          <w:i/>
          <w:iCs/>
        </w:rPr>
        <w:t>Compare id.</w:t>
      </w:r>
      <w:r>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0">
    <w:p w:rsidR="00721160" w:rsidRDefault="00721160">
      <w:pPr>
        <w:ind w:firstLine="720"/>
      </w:pPr>
      <w:r>
        <w:rPr>
          <w:rStyle w:val="FootnoteReference"/>
          <w:vertAlign w:val="superscript"/>
        </w:rPr>
        <w:footnoteRef/>
      </w:r>
      <w:r>
        <w:t xml:space="preserve">  As Chief Judge Becker noted, the facts in </w:t>
      </w:r>
      <w:r>
        <w:rPr>
          <w:i/>
          <w:iCs/>
        </w:rPr>
        <w:t>Grazier</w:t>
      </w:r>
      <w:r>
        <w:t xml:space="preserve"> included the following: “[T]he defendants were plain</w:t>
      </w:r>
      <w:r>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Pr>
          <w:i/>
          <w:iCs/>
        </w:rPr>
        <w:t>Grazier</w:t>
      </w:r>
      <w:r>
        <w:t xml:space="preserve">, 328 F.3d at 131 (Becker, C.J., dissenting) – with the result, according to the plaintiff driver’s testimony, that he believed he was being carjacked, </w:t>
      </w:r>
      <w:r>
        <w:rPr>
          <w:i/>
          <w:iCs/>
        </w:rPr>
        <w:t xml:space="preserve">see id. </w:t>
      </w:r>
      <w:r>
        <w:t xml:space="preserve">at 123 (majority opinion).  </w:t>
      </w:r>
      <w:r>
        <w:rPr>
          <w:i/>
          <w:iCs/>
        </w:rPr>
        <w:t>Compare Bodine v. Warwick</w:t>
      </w:r>
      <w:r>
        <w:t xml:space="preserve">, 72 F.3d 393, 400 (3d Cir. 1995) (stating that officers who entered a dwelling unlawfully </w:t>
      </w:r>
      <w:r>
        <w:sym w:font="WP TypographicSymbols" w:char="0041"/>
      </w:r>
      <w:r>
        <w:t>would not be liable for harm produced by a ‘superseding cause,’ . . . . [a]nd they certainly would not be liable for harm that was caused by their non</w:t>
      </w:r>
      <w:r>
        <w:noBreakHyphen/>
        <w:t xml:space="preserve">tortious, as opposed to their tortious, ‘conduct,’ such as the use of reasonable force to arrest [the plaintiff]”); </w:t>
      </w:r>
      <w:r>
        <w:rPr>
          <w:i/>
          <w:iCs/>
        </w:rPr>
        <w:t>Lamont ex rel. Estate of Quick v. New Jersey</w:t>
      </w:r>
      <w:r>
        <w:t xml:space="preserve">, 637 F.3d 177, 186 (3d Cir. 2011) (following </w:t>
      </w:r>
      <w:r>
        <w:rPr>
          <w:i/>
          <w:iCs/>
        </w:rPr>
        <w:t>Bodine</w:t>
      </w:r>
      <w:r>
        <w:t xml:space="preserve"> and holding that “the troopers' decision to enter the woods did not proximately cause Quick's death. Rather, Quick's noncompliant, threatening conduct in the woods was a superseding cause that served to break the chain of causation ....”).</w:t>
      </w:r>
    </w:p>
    <w:p w:rsidR="00721160" w:rsidRDefault="00721160">
      <w:pPr>
        <w:spacing w:after="240"/>
      </w:pPr>
    </w:p>
  </w:footnote>
  <w:footnote w:id="161">
    <w:p w:rsidR="00721160" w:rsidRDefault="00721160">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2">
    <w:p w:rsidR="00721160" w:rsidRDefault="00721160">
      <w:pPr>
        <w:spacing w:after="240"/>
        <w:ind w:firstLine="720"/>
      </w:pPr>
      <w:r>
        <w:rPr>
          <w:rStyle w:val="FootnoteReference"/>
          <w:vertAlign w:val="superscript"/>
        </w:rPr>
        <w:footnoteRef/>
      </w:r>
      <w:r>
        <w:t xml:space="preserve">  The Third Circuit has held that, in instructing a jury under </w:t>
      </w:r>
      <w:r>
        <w:rPr>
          <w:i/>
          <w:iCs/>
        </w:rPr>
        <w:t>Hudson</w:t>
      </w:r>
      <w:r>
        <w:t xml:space="preserve"> and </w:t>
      </w:r>
      <w:r>
        <w:rPr>
          <w:i/>
          <w:iCs/>
        </w:rPr>
        <w:t>Whitley</w:t>
      </w:r>
      <w:r>
        <w:t xml:space="preserve">, it is not error to state that the use of force must “shock the conscience.”  </w:t>
      </w:r>
      <w:r>
        <w:rPr>
          <w:i/>
          <w:iCs/>
        </w:rPr>
        <w:t>See Fuentes</w:t>
      </w:r>
      <w:r>
        <w:t xml:space="preserve">, 206 F.3d at 348-49.  (Though </w:t>
      </w:r>
      <w:r>
        <w:rPr>
          <w:i/>
          <w:iCs/>
        </w:rPr>
        <w:t>Fuentes</w:t>
      </w:r>
      <w:r>
        <w:t xml:space="preserve"> involved a claim by a prisoner who had pleaded guilty but had not yet been sentenced, the court held that the applicable excessive force standard was the same as that applied in Eighth Amendment excessive force cases.  </w:t>
      </w:r>
      <w:r>
        <w:rPr>
          <w:i/>
          <w:iCs/>
        </w:rPr>
        <w:t xml:space="preserve">See id. </w:t>
      </w:r>
      <w:r>
        <w:t xml:space="preserve">at 339, 347.)  The model instruction does not include the “shocks the conscience” language, because – assuming that “shocks the conscience” describes a standard equivalent to that described in </w:t>
      </w:r>
      <w:r>
        <w:rPr>
          <w:i/>
          <w:iCs/>
        </w:rPr>
        <w:t>Hudson</w:t>
      </w:r>
      <w:r>
        <w:t xml:space="preserve"> – the “shocks the conscience” language is redundant.</w:t>
      </w:r>
    </w:p>
  </w:footnote>
  <w:footnote w:id="163">
    <w:p w:rsidR="00721160" w:rsidRDefault="00721160">
      <w:pPr>
        <w:spacing w:after="240"/>
        <w:ind w:firstLine="720"/>
      </w:pPr>
      <w:r>
        <w:rPr>
          <w:rStyle w:val="FootnoteReference"/>
          <w:vertAlign w:val="superscript"/>
        </w:rPr>
        <w:footnoteRef/>
      </w:r>
      <w:r>
        <w:t xml:space="preserve">  The instruction given in </w:t>
      </w:r>
      <w:r>
        <w:rPr>
          <w:i/>
          <w:iCs/>
        </w:rPr>
        <w:t>Douglas v. Owens</w:t>
      </w:r>
      <w:r>
        <w:t xml:space="preserve">, 50 F.3d 1226 (3d Cir. 1995), did not include harm as an element.  </w:t>
      </w:r>
      <w:r>
        <w:rPr>
          <w:i/>
          <w:iCs/>
        </w:rPr>
        <w:t xml:space="preserve">See id. </w:t>
      </w:r>
      <w:r>
        <w:t xml:space="preserve">at 1232 n.13.  However, the defendants did not request that harm be included as an element, and did not raise the issue on appeal.  Thus, the </w:t>
      </w:r>
      <w:r>
        <w:rPr>
          <w:i/>
          <w:iCs/>
        </w:rPr>
        <w:t>Douglas</w:t>
      </w:r>
      <w:r>
        <w:t xml:space="preserve"> court may not have had occasion to consider the question.</w:t>
      </w:r>
    </w:p>
  </w:footnote>
  <w:footnote w:id="164">
    <w:p w:rsidR="00721160" w:rsidRDefault="00721160">
      <w:pPr>
        <w:spacing w:after="240"/>
        <w:ind w:firstLine="720"/>
      </w:pPr>
      <w:r>
        <w:rPr>
          <w:rStyle w:val="FootnoteReference"/>
          <w:vertAlign w:val="superscript"/>
        </w:rPr>
        <w:footnoteRef/>
      </w:r>
      <w:r>
        <w:t xml:space="preserve">  In </w:t>
      </w:r>
      <w:r>
        <w:rPr>
          <w:i/>
          <w:iCs/>
        </w:rPr>
        <w:t>Rhodes v. Robinson</w:t>
      </w:r>
      <w:r>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5">
    <w:p w:rsidR="00721160" w:rsidRDefault="00721160">
      <w:pPr>
        <w:spacing w:after="240"/>
        <w:ind w:firstLine="720"/>
      </w:pPr>
      <w:r>
        <w:rPr>
          <w:rStyle w:val="FootnoteReference"/>
          <w:vertAlign w:val="superscript"/>
        </w:rPr>
        <w:footnoteRef/>
      </w:r>
      <w:r>
        <w:t xml:space="preserve">  In </w:t>
      </w:r>
      <w:r>
        <w:rPr>
          <w:i/>
          <w:iCs/>
        </w:rPr>
        <w:t>Douglas</w:t>
      </w:r>
      <w:r>
        <w:t xml:space="preserve">, the defendants “argue[d] that the charge given by the district court [wa]s inadequate because it fail[ed] to convey the notion that ‘force is not constitutionally “excessive” just because it turns out to have been unnecessary </w:t>
      </w:r>
      <w:r>
        <w:rPr>
          <w:i/>
          <w:iCs/>
        </w:rPr>
        <w:t>in hindsight</w:t>
      </w:r>
      <w:r>
        <w:t xml:space="preserve">.’” </w:t>
      </w:r>
      <w:r>
        <w:rPr>
          <w:i/>
          <w:iCs/>
        </w:rPr>
        <w:t>Id.</w:t>
      </w:r>
      <w:r>
        <w:t xml:space="preserve"> at 1233.  As noted in the text, the court rejected this contention.  The model instruction does state that the plaintiff cannot prove an Eighth Amendment violation “merely by showing that, in hindsight, the amount of force seems unreasonable.”  Though the </w:t>
      </w:r>
      <w:r>
        <w:rPr>
          <w:i/>
          <w:iCs/>
        </w:rPr>
        <w:t>Douglas</w:t>
      </w:r>
      <w:r>
        <w:t xml:space="preserve"> court held that such language was not required, it did not suggest that the language was inaccurate or misleading.</w:t>
      </w:r>
    </w:p>
  </w:footnote>
  <w:footnote w:id="166">
    <w:p w:rsidR="00721160" w:rsidRDefault="00721160">
      <w:pPr>
        <w:spacing w:after="240"/>
        <w:ind w:firstLine="720"/>
      </w:pPr>
      <w:r>
        <w:rPr>
          <w:rStyle w:val="FootnoteReference"/>
          <w:vertAlign w:val="superscript"/>
        </w:rPr>
        <w:footnoteRef/>
      </w:r>
      <w:r>
        <w:t xml:space="preserve">  See Comment for a discussion of whether harm (and physical injury in particular), constitutes an element of this claim.</w:t>
      </w:r>
    </w:p>
  </w:footnote>
  <w:footnote w:id="167">
    <w:p w:rsidR="00721160" w:rsidRDefault="00721160">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w:t>
      </w:r>
    </w:p>
  </w:footnote>
  <w:footnote w:id="168">
    <w:p w:rsidR="00721160" w:rsidRDefault="00721160">
      <w:pPr>
        <w:spacing w:after="240"/>
        <w:ind w:firstLine="720"/>
      </w:pPr>
      <w:r>
        <w:rPr>
          <w:rStyle w:val="FootnoteReference"/>
          <w:vertAlign w:val="superscript"/>
        </w:rPr>
        <w:footnoteRef/>
      </w:r>
      <w:r>
        <w:t xml:space="preserve">    </w:t>
      </w:r>
      <w:r>
        <w:rPr>
          <w:i/>
          <w:iCs/>
        </w:rPr>
        <w:t>Betts v. New Castle Youth Development Center</w:t>
      </w:r>
      <w:r>
        <w:t xml:space="preserve">, 621 F.3d 249 (3d Cir. 2010), applied Eighth Amendment standards to a claim arising from injuries to a youth who had been “adjudicated delinquent” and “had been committed to ... a maximum security program for serious [juvenile] offenders,” </w:t>
      </w:r>
      <w:r>
        <w:rPr>
          <w:i/>
          <w:iCs/>
        </w:rPr>
        <w:t xml:space="preserve">id. </w:t>
      </w:r>
      <w:r>
        <w:t>at 252, 256 n.8.</w:t>
      </w:r>
    </w:p>
  </w:footnote>
  <w:footnote w:id="169">
    <w:p w:rsidR="00721160" w:rsidRDefault="00721160">
      <w:pPr>
        <w:spacing w:after="240"/>
        <w:ind w:firstLine="720"/>
      </w:pPr>
      <w:r>
        <w:rPr>
          <w:rStyle w:val="FootnoteReference"/>
          <w:vertAlign w:val="superscript"/>
        </w:rPr>
        <w:footnoteRef/>
      </w:r>
      <w:r>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Pr>
          <w:i/>
          <w:iCs/>
        </w:rPr>
        <w:t>See Stevenson v. Carroll</w:t>
      </w:r>
      <w:r>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0">
    <w:p w:rsidR="00721160" w:rsidRDefault="00721160">
      <w:pPr>
        <w:spacing w:after="240"/>
        <w:ind w:firstLine="720"/>
      </w:pPr>
      <w:r>
        <w:rPr>
          <w:rStyle w:val="FootnoteReference"/>
          <w:vertAlign w:val="superscript"/>
        </w:rPr>
        <w:footnoteRef/>
      </w:r>
      <w:r>
        <w:t xml:space="preserve">  On some prior occasions, the Third Circuit has indicated that the standard for pretrial detainees is identical to that for convicted prisoners.  </w:t>
      </w:r>
      <w:r>
        <w:rPr>
          <w:i/>
          <w:iCs/>
        </w:rPr>
        <w:t>See Groman v. Township of Manalapan</w:t>
      </w:r>
      <w:r>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Pr>
          <w:i/>
          <w:iCs/>
        </w:rPr>
        <w:t>See, e.g., Kost v. Kozakiewicz</w:t>
      </w:r>
      <w:r>
        <w:t xml:space="preserve">, 1 F.3d 176, 188 n.10 (3d Cir. 1993) (“It appears that no determination has as yet been made regarding how much more protection unconvicted prisoners should receive.   The appellants, however, have not raised this issue, and therefore we do not address it.”); </w:t>
      </w:r>
      <w:r>
        <w:rPr>
          <w:i/>
          <w:iCs/>
        </w:rPr>
        <w:t>Natale v. Camden County Correctional Facility</w:t>
      </w:r>
      <w:r>
        <w:t xml:space="preserve">, 318 F.3d 575, 581 n.5 (3d Cir. 2003); </w:t>
      </w:r>
      <w:r>
        <w:rPr>
          <w:i/>
          <w:iCs/>
        </w:rPr>
        <w:t>Woloszyn v. County of Lawrence</w:t>
      </w:r>
      <w:r>
        <w:t>, 396 F.3d 314, 320 n.5 (3d Cir. 2005) (“[I]n developing our jurisprudence on pre</w:t>
      </w:r>
      <w:r>
        <w:noBreakHyphen/>
        <w:t>trial detainees' suicides we looked to the Eighth Amendment ... because the due process rights of pre</w:t>
      </w:r>
      <w:r>
        <w:noBreakHyphen/>
        <w:t>trial detainees are at least as great as the Eighth Amendment rights of convicted and sentenced prisoners”).</w:t>
      </w:r>
    </w:p>
  </w:footnote>
  <w:footnote w:id="171">
    <w:p w:rsidR="00721160" w:rsidRDefault="00721160">
      <w:pPr>
        <w:ind w:firstLine="720"/>
      </w:pPr>
      <w:r>
        <w:rPr>
          <w:rStyle w:val="FootnoteReference"/>
          <w:vertAlign w:val="superscript"/>
        </w:rPr>
        <w:footnoteRef/>
      </w:r>
      <w:r>
        <w:t xml:space="preserve">  By contrast, a plaintiff can prove deliberate indifference by showing that a physician knew what the appropriate treatment was and decided not to provide that treatment for a non-medical reason such as cost-cutting.  </w:t>
      </w:r>
      <w:r>
        <w:rPr>
          <w:i/>
          <w:iCs/>
        </w:rPr>
        <w:t>See Durmer v. O’Carroll</w:t>
      </w:r>
      <w:r>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rsidR="00721160" w:rsidRDefault="00721160">
      <w:pPr>
        <w:spacing w:after="240"/>
        <w:ind w:firstLine="720"/>
      </w:pPr>
      <w:r>
        <w:t xml:space="preserve">Similarly, though “mere disagreements over medical judgment do not state Eighth Amendment claims,” </w:t>
      </w:r>
      <w:r>
        <w:rPr>
          <w:i/>
          <w:iCs/>
        </w:rPr>
        <w:t>White v. Napoleon</w:t>
      </w:r>
      <w:r>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Pr>
          <w:i/>
          <w:iCs/>
        </w:rPr>
        <w:t xml:space="preserve"> id. </w:t>
      </w:r>
      <w:r>
        <w:t>at 111 (quoting amended complaint).</w:t>
      </w:r>
    </w:p>
  </w:footnote>
  <w:footnote w:id="172">
    <w:p w:rsidR="00721160" w:rsidRDefault="00721160">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cmt. &amp; Instruction 4.6.8 cmt.</w:t>
      </w:r>
    </w:p>
  </w:footnote>
  <w:footnote w:id="173">
    <w:p w:rsidR="00721160" w:rsidRDefault="00721160">
      <w:pPr>
        <w:spacing w:after="240"/>
        <w:ind w:firstLine="720"/>
      </w:pPr>
      <w:r>
        <w:rPr>
          <w:rStyle w:val="FootnoteReference"/>
          <w:vertAlign w:val="superscript"/>
        </w:rPr>
        <w:footnoteRef/>
      </w:r>
      <w:r>
        <w:t xml:space="preserve">  However, a defendant “would not escape liability if the evidence showed that he merely refused to verify underlying facts that he strongly suspected to be true, or declined to confirm inferences of risk that he strongly suspected to exist.”  </w:t>
      </w:r>
      <w:r>
        <w:rPr>
          <w:i/>
          <w:iCs/>
        </w:rPr>
        <w:t>Id.</w:t>
      </w:r>
      <w:r>
        <w:t xml:space="preserve"> at 843 n.8.</w:t>
      </w:r>
    </w:p>
  </w:footnote>
  <w:footnote w:id="174">
    <w:p w:rsidR="00721160" w:rsidRDefault="00721160">
      <w:pPr>
        <w:spacing w:after="240"/>
        <w:ind w:firstLine="720"/>
      </w:pPr>
      <w:r>
        <w:rPr>
          <w:rStyle w:val="FootnoteReference"/>
          <w:vertAlign w:val="superscript"/>
        </w:rPr>
        <w:footnoteRef/>
      </w:r>
      <w:r>
        <w:t xml:space="preserve">  </w:t>
      </w:r>
      <w:r>
        <w:rPr>
          <w:i/>
          <w:iCs/>
        </w:rPr>
        <w:t>Monmouth County Correctional Inst. Inmates v. Lanzaro</w:t>
      </w:r>
      <w:r>
        <w:t xml:space="preserve">, 834 F.2d 326, 346 (3d Cir. 1987) (quoting </w:t>
      </w:r>
      <w:r>
        <w:rPr>
          <w:i/>
          <w:iCs/>
        </w:rPr>
        <w:t>Westlake v. Lucas</w:t>
      </w:r>
      <w:r>
        <w:t>, 537 F.2d 857, 860 (6th Cir.1976)).</w:t>
      </w:r>
    </w:p>
  </w:footnote>
  <w:footnote w:id="175">
    <w:p w:rsidR="00721160" w:rsidRDefault="00721160">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6">
    <w:p w:rsidR="00721160" w:rsidRDefault="00721160">
      <w:pPr>
        <w:spacing w:after="240"/>
        <w:ind w:firstLine="720"/>
      </w:pPr>
      <w:r>
        <w:rPr>
          <w:rStyle w:val="FootnoteReference"/>
          <w:vertAlign w:val="superscript"/>
        </w:rPr>
        <w:footnoteRef/>
      </w:r>
      <w:r>
        <w:t xml:space="preserve">  </w:t>
      </w:r>
      <w:r>
        <w:rPr>
          <w:i/>
          <w:iCs/>
        </w:rPr>
        <w:t>Id.</w:t>
      </w:r>
      <w:r>
        <w:t xml:space="preserve"> (quoting </w:t>
      </w:r>
      <w:r>
        <w:rPr>
          <w:i/>
          <w:iCs/>
        </w:rPr>
        <w:t>Ancata v. Prison Health Servs.</w:t>
      </w:r>
      <w:r>
        <w:t>, 769 F.2d 700, 704 (11th Cir.1985)).</w:t>
      </w:r>
    </w:p>
  </w:footnote>
  <w:footnote w:id="177">
    <w:p w:rsidR="00721160" w:rsidRDefault="00721160">
      <w:pPr>
        <w:spacing w:after="240"/>
        <w:ind w:firstLine="720"/>
      </w:pPr>
      <w:r>
        <w:rPr>
          <w:rStyle w:val="FootnoteReference"/>
          <w:vertAlign w:val="superscript"/>
        </w:rPr>
        <w:footnoteRef/>
      </w:r>
      <w:r>
        <w:t xml:space="preserve">  </w:t>
      </w:r>
      <w:r>
        <w:rPr>
          <w:i/>
          <w:iCs/>
        </w:rPr>
        <w:t>Id.</w:t>
      </w:r>
      <w:r>
        <w:t xml:space="preserve"> at 347 (quoting </w:t>
      </w:r>
      <w:r>
        <w:rPr>
          <w:i/>
          <w:iCs/>
        </w:rPr>
        <w:t>Todaro v. Ward</w:t>
      </w:r>
      <w:r>
        <w:t>, 565 F.2d 48, 53 (2d Cir.1977)).</w:t>
      </w:r>
      <w:r w:rsidRPr="00914F9C">
        <w:t xml:space="preserve">  </w:t>
      </w:r>
      <w:r w:rsidRPr="00914F9C">
        <w:rPr>
          <w:i/>
        </w:rPr>
        <w:t>Compare</w:t>
      </w:r>
      <w:r w:rsidRPr="00914F9C">
        <w:t xml:space="preserve"> </w:t>
      </w:r>
      <w:r w:rsidRPr="00914F9C">
        <w:rPr>
          <w:i/>
        </w:rPr>
        <w:t>Byrd v. Shannon</w:t>
      </w:r>
      <w:r w:rsidRPr="00914F9C">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8">
    <w:p w:rsidR="00721160" w:rsidRDefault="00721160">
      <w:pPr>
        <w:spacing w:after="240"/>
        <w:ind w:firstLine="720"/>
      </w:pPr>
      <w:r>
        <w:rPr>
          <w:rStyle w:val="FootnoteReference"/>
          <w:vertAlign w:val="superscript"/>
        </w:rPr>
        <w:footnoteRef/>
      </w:r>
      <w:r>
        <w:t xml:space="preserve">  </w:t>
      </w:r>
      <w:r>
        <w:rPr>
          <w:i/>
          <w:iCs/>
        </w:rPr>
        <w:t>Id.</w:t>
      </w:r>
      <w:r>
        <w:t xml:space="preserve">; </w:t>
      </w:r>
      <w:r>
        <w:rPr>
          <w:i/>
          <w:iCs/>
        </w:rPr>
        <w:t>compare Reynolds v. Wagner</w:t>
      </w:r>
      <w:r>
        <w:t>, 128 F.3d 166, 174 (3d Cir. 1997) (rejecting “the plaintiffs' argument that charging inmates for medical care is per se unconstitutional”).</w:t>
      </w:r>
    </w:p>
  </w:footnote>
  <w:footnote w:id="179">
    <w:p w:rsidR="00721160" w:rsidRDefault="00721160">
      <w:pPr>
        <w:spacing w:after="240"/>
        <w:ind w:firstLine="720"/>
      </w:pPr>
      <w:r>
        <w:rPr>
          <w:rStyle w:val="FootnoteReference"/>
          <w:vertAlign w:val="superscript"/>
        </w:rPr>
        <w:footnoteRef/>
      </w:r>
      <w:r>
        <w:t xml:space="preserve">  </w:t>
      </w:r>
      <w:r>
        <w:rPr>
          <w:i/>
          <w:iCs/>
        </w:rPr>
        <w:t>Lanzaro</w:t>
      </w:r>
      <w:r>
        <w:t xml:space="preserve">, 834 F.2d at 347 (quoting </w:t>
      </w:r>
      <w:r>
        <w:rPr>
          <w:i/>
          <w:iCs/>
        </w:rPr>
        <w:t>Inmates of Allegheny County Jail v. Pierce</w:t>
      </w:r>
      <w:r>
        <w:t>, 612 F.2d 754, 762 (3d Cir.1979)).</w:t>
      </w:r>
    </w:p>
  </w:footnote>
  <w:footnote w:id="180">
    <w:p w:rsidR="00721160" w:rsidRDefault="00721160">
      <w:pPr>
        <w:spacing w:after="240"/>
        <w:ind w:firstLine="720"/>
      </w:pPr>
      <w:r>
        <w:rPr>
          <w:rStyle w:val="FootnoteReference"/>
          <w:vertAlign w:val="superscript"/>
        </w:rPr>
        <w:footnoteRef/>
      </w:r>
      <w:r>
        <w:t xml:space="preserve">  </w:t>
      </w:r>
      <w:r>
        <w:rPr>
          <w:i/>
          <w:iCs/>
        </w:rPr>
        <w:t>Rouse v. Plantier</w:t>
      </w:r>
      <w:r>
        <w:t xml:space="preserve">, 182 F.3d 192, 197 (3d Cir. 1999) (quoting </w:t>
      </w:r>
      <w:r>
        <w:rPr>
          <w:i/>
          <w:iCs/>
        </w:rPr>
        <w:t>White v. Napoleon</w:t>
      </w:r>
      <w:r>
        <w:t>, 897 F.2d 103, 109 (3d Cir. 1990)).</w:t>
      </w:r>
    </w:p>
  </w:footnote>
  <w:footnote w:id="181">
    <w:p w:rsidR="00721160" w:rsidRDefault="00721160">
      <w:pPr>
        <w:ind w:firstLine="720"/>
      </w:pPr>
      <w:r>
        <w:rPr>
          <w:rStyle w:val="FootnoteReference"/>
          <w:vertAlign w:val="superscript"/>
        </w:rPr>
        <w:footnoteRef/>
      </w:r>
      <w:r>
        <w:t xml:space="preserve">  For example, the court in </w:t>
      </w:r>
      <w:r>
        <w:rPr>
          <w:i/>
          <w:iCs/>
        </w:rPr>
        <w:t>Brooks v. Kyler</w:t>
      </w:r>
      <w:r>
        <w:t>, 204 F.3d 102 (3d Cir. 2000) rejected a medical-needs claim based on the following reasoning:</w:t>
      </w:r>
    </w:p>
    <w:p w:rsidR="00721160" w:rsidRDefault="00721160"/>
    <w:p w:rsidR="00721160" w:rsidRDefault="00721160">
      <w:pPr>
        <w:ind w:left="720"/>
      </w:pPr>
      <w:r>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Pr>
          <w:i/>
          <w:iCs/>
        </w:rPr>
        <w:t>See Hudson v. McMillian</w:t>
      </w:r>
      <w:r>
        <w:t xml:space="preserve">, 503 U.S. 1, 9 . . . (1992) ("Because society does not expect that prisoners will have unqualified access to health care, deliberate indifference to medical needs amounts to an Eighth Amendment violation only if those needs are serious."). </w:t>
      </w:r>
    </w:p>
    <w:p w:rsidR="00721160" w:rsidRDefault="00721160"/>
    <w:p w:rsidR="00721160" w:rsidRDefault="00721160">
      <w:pPr>
        <w:spacing w:after="240"/>
      </w:pPr>
      <w:r>
        <w:rPr>
          <w:i/>
          <w:iCs/>
        </w:rPr>
        <w:t xml:space="preserve">Id. </w:t>
      </w:r>
      <w:r>
        <w:t xml:space="preserve">at 105 n.4; </w:t>
      </w:r>
      <w:r>
        <w:rPr>
          <w:i/>
          <w:iCs/>
        </w:rPr>
        <w:t>see also Lanzaro</w:t>
      </w:r>
      <w:r>
        <w:t>, 834 F.2d at 347 (“The seriousness of an inmate's medical need may also be determined by reference to the effect of denying the particular treatment.”).</w:t>
      </w:r>
    </w:p>
  </w:footnote>
  <w:footnote w:id="182">
    <w:p w:rsidR="00721160" w:rsidRDefault="00721160">
      <w:pPr>
        <w:spacing w:after="240"/>
        <w:ind w:firstLine="720"/>
      </w:pPr>
      <w:r>
        <w:rPr>
          <w:rStyle w:val="FootnoteReference"/>
          <w:vertAlign w:val="superscript"/>
        </w:rPr>
        <w:footnoteRef/>
      </w:r>
      <w:r>
        <w:t xml:space="preserve">  </w:t>
      </w:r>
      <w:r>
        <w:rPr>
          <w:i/>
          <w:iCs/>
        </w:rPr>
        <w:t>Atkinson</w:t>
      </w:r>
      <w:r>
        <w:t xml:space="preserve"> accords with a pre-</w:t>
      </w:r>
      <w:r>
        <w:rPr>
          <w:i/>
          <w:iCs/>
        </w:rPr>
        <w:t>Helling</w:t>
      </w:r>
      <w:r>
        <w:t xml:space="preserve"> case, </w:t>
      </w:r>
      <w:r>
        <w:rPr>
          <w:i/>
          <w:iCs/>
        </w:rPr>
        <w:t>White v. Napoleon</w:t>
      </w:r>
      <w:r>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Pr>
          <w:i/>
          <w:iCs/>
        </w:rPr>
        <w:t>id.</w:t>
      </w:r>
      <w:r>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Pr>
          <w:i/>
          <w:iCs/>
        </w:rPr>
        <w:t xml:space="preserve"> Id.</w:t>
      </w:r>
      <w:r>
        <w:t xml:space="preserve"> at 111.  The plaintiffs in </w:t>
      </w:r>
      <w:r>
        <w:rPr>
          <w:i/>
          <w:iCs/>
        </w:rPr>
        <w:t>White</w:t>
      </w:r>
      <w:r>
        <w:t xml:space="preserve"> sought both injunctive and monetary relief, and the court did not resolve whether the plaintiff who suffered mental anxiety and increased risk of future harm (but no present physical injury) could obtain damages.  </w:t>
      </w:r>
      <w:r>
        <w:rPr>
          <w:i/>
          <w:iCs/>
        </w:rPr>
        <w:t xml:space="preserve">See id. </w:t>
      </w:r>
      <w:r>
        <w:t>at 111 (“What damages, if any, flow from the alleged conduct is an issue for later proceedings.”).</w:t>
      </w:r>
    </w:p>
  </w:footnote>
  <w:footnote w:id="183">
    <w:p w:rsidR="00721160" w:rsidRDefault="00721160">
      <w:pPr>
        <w:spacing w:after="240"/>
        <w:ind w:firstLine="720"/>
      </w:pPr>
      <w:r>
        <w:rPr>
          <w:rStyle w:val="FootnoteReference"/>
          <w:vertAlign w:val="superscript"/>
        </w:rPr>
        <w:footnoteRef/>
      </w:r>
      <w:r>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Pr>
          <w:i/>
          <w:iCs/>
        </w:rPr>
        <w:t>Id.</w:t>
      </w:r>
    </w:p>
  </w:footnote>
  <w:footnote w:id="184">
    <w:p w:rsidR="00721160" w:rsidRDefault="00721160">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5">
    <w:p w:rsidR="00721160" w:rsidRDefault="00721160">
      <w:pPr>
        <w:ind w:firstLine="720"/>
      </w:pPr>
      <w:r>
        <w:rPr>
          <w:rStyle w:val="FootnoteReference"/>
          <w:vertAlign w:val="superscript"/>
        </w:rPr>
        <w:footnoteRef/>
      </w:r>
      <w:r>
        <w:t xml:space="preserve">  In a non-precedential opinion, the Court of Appeals had cited the </w:t>
      </w:r>
      <w:r>
        <w:rPr>
          <w:i/>
          <w:iCs/>
        </w:rPr>
        <w:t>Farmer</w:t>
      </w:r>
      <w:r>
        <w:t xml:space="preserve"> subjective deliberate indifference standard while affirming the dismissal of a claim concerning a pretrial detainee’s suicide attempt.  </w:t>
      </w:r>
      <w:r>
        <w:rPr>
          <w:i/>
          <w:iCs/>
        </w:rPr>
        <w:t>See Serafin v. City of Johnstown</w:t>
      </w:r>
      <w:r>
        <w:t xml:space="preserve">, 53 Fed.Appx. 211, *214 (3d Cir. 2002) (non-precedential opinion); </w:t>
      </w:r>
      <w:r>
        <w:rPr>
          <w:i/>
          <w:iCs/>
        </w:rPr>
        <w:t>compare id.</w:t>
      </w:r>
      <w:r>
        <w:t xml:space="preserve"> n.2 (noting that “[t]he due process rights of pretrial detainees are at least as great as those of a convicted prisoner”).  In a more recent non-precedential opinion, the Court of Appeals cited pre-</w:t>
      </w:r>
      <w:r>
        <w:rPr>
          <w:i/>
          <w:iCs/>
        </w:rPr>
        <w:t>Farmer</w:t>
      </w:r>
      <w:r>
        <w:t xml:space="preserve"> caselaw for the proposition that pretrial detainee suicide claims require a showing of “reckless indifference,” </w:t>
      </w:r>
      <w:r>
        <w:rPr>
          <w:i/>
          <w:iCs/>
        </w:rPr>
        <w:t>Schuenemann v. U.S.</w:t>
      </w:r>
      <w:r>
        <w:t xml:space="preserve">, 2006 WL 408404, at *2 (3d Cir. Feb. 23, 2006) (non-precedential opinion) (quoting </w:t>
      </w:r>
      <w:r>
        <w:rPr>
          <w:i/>
          <w:iCs/>
        </w:rPr>
        <w:t>Colburn v. Upper Darby Twp.</w:t>
      </w:r>
      <w:r>
        <w:t xml:space="preserve">, 946 F.2d 1017, 1024 (3d Cir. 1991)), but then stated that </w:t>
      </w:r>
      <w:r>
        <w:rPr>
          <w:i/>
          <w:iCs/>
        </w:rPr>
        <w:t>Woloszyn</w:t>
      </w:r>
      <w:r>
        <w:t xml:space="preserve"> “suggested that [the reckless indifference standard] is similar to the ‘deliberate indifference’ standard applied to a claim brought under the Eighth Amendment,” </w:t>
      </w:r>
      <w:r>
        <w:rPr>
          <w:i/>
          <w:iCs/>
        </w:rPr>
        <w:t>Schuenemann</w:t>
      </w:r>
      <w:r>
        <w:t xml:space="preserve">, 2006 WL 408404, at *2 (citing </w:t>
      </w:r>
      <w:r>
        <w:rPr>
          <w:i/>
          <w:iCs/>
        </w:rPr>
        <w:t>Woloszyn</w:t>
      </w:r>
      <w:r>
        <w:t>, 396 F.3d at 321).</w:t>
      </w:r>
    </w:p>
    <w:p w:rsidR="00721160" w:rsidRDefault="00721160"/>
    <w:p w:rsidR="00721160" w:rsidRDefault="00721160">
      <w:pPr>
        <w:spacing w:after="240"/>
      </w:pPr>
    </w:p>
  </w:footnote>
  <w:footnote w:id="186">
    <w:p w:rsidR="00721160" w:rsidRDefault="00721160">
      <w:pPr>
        <w:spacing w:after="240"/>
        <w:ind w:firstLine="720"/>
      </w:pPr>
      <w:r>
        <w:rPr>
          <w:rStyle w:val="FootnoteReference"/>
          <w:vertAlign w:val="superscript"/>
        </w:rPr>
        <w:footnoteRef/>
      </w:r>
      <w:r>
        <w:t xml:space="preserve">  If the plaintiff’s claim concerns a fatal attack on an inmate, the name of the decedent (rather than the plaintiff’s name) should be inserted in appropriate places in this instruction.</w:t>
      </w:r>
    </w:p>
  </w:footnote>
  <w:footnote w:id="187">
    <w:p w:rsidR="00721160" w:rsidRDefault="00721160">
      <w:pPr>
        <w:spacing w:after="240"/>
        <w:ind w:firstLine="720"/>
      </w:pPr>
      <w:r>
        <w:rPr>
          <w:rStyle w:val="FootnoteReference"/>
          <w:vertAlign w:val="superscript"/>
        </w:rPr>
        <w:footnoteRef/>
      </w:r>
      <w:r>
        <w:t xml:space="preserve">  For a discussion of whether physical injury is an element of this claim, see the Comment to this Instruction, below, and the Comments to Instructions 4.8.1 and 4.10. </w:t>
      </w:r>
    </w:p>
  </w:footnote>
  <w:footnote w:id="188">
    <w:p w:rsidR="00721160" w:rsidRDefault="00721160">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189">
    <w:p w:rsidR="00721160" w:rsidRDefault="00721160" w:rsidP="00E078C5">
      <w:pPr>
        <w:spacing w:after="240"/>
        <w:ind w:firstLine="720"/>
      </w:pPr>
      <w:r>
        <w:rPr>
          <w:rStyle w:val="FootnoteReference"/>
          <w:vertAlign w:val="superscript"/>
        </w:rPr>
        <w:footnoteRef/>
      </w:r>
      <w:r>
        <w:rPr>
          <w:i/>
          <w:iCs/>
        </w:rPr>
        <w:t xml:space="preserve">  See, e.g., Urrutia v. Harrisburg County Police Dept.</w:t>
      </w:r>
      <w:r>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Pr>
          <w:i/>
          <w:iCs/>
        </w:rPr>
        <w:t>A.M. ex rel. J.M.K. v. Luzerne County Juvenile Detention Center</w:t>
      </w:r>
      <w:r>
        <w:t xml:space="preserve">, 372 F.3d 572, 587 (3d Cir. 2004) (reversing grant of summary judgment to child care workers, and applying Eighth Amendment standard to claim that those workers failed to protect juvenile detainee from attack); </w:t>
      </w:r>
      <w:r>
        <w:rPr>
          <w:i/>
          <w:iCs/>
        </w:rPr>
        <w:t>id.</w:t>
      </w:r>
      <w:r>
        <w:t xml:space="preserve"> at 587 n.4 (noting that the substantive due process standard has “not been defined” but that “detainees are entitled to no less protection than a convicted prisoner”); </w:t>
      </w:r>
      <w:r w:rsidRPr="00E078C5">
        <w:rPr>
          <w:i/>
        </w:rPr>
        <w:t>Bistrian v. Levi</w:t>
      </w:r>
      <w:r w:rsidRPr="00E078C5">
        <w:t>, 696 F.3d 352, 367 (3d Cir. 2012).</w:t>
      </w:r>
    </w:p>
  </w:footnote>
  <w:footnote w:id="190">
    <w:p w:rsidR="00721160" w:rsidRDefault="00721160">
      <w:pPr>
        <w:spacing w:after="240"/>
        <w:ind w:firstLine="720"/>
      </w:pPr>
      <w:r>
        <w:rPr>
          <w:rStyle w:val="FootnoteReference"/>
          <w:vertAlign w:val="superscript"/>
        </w:rPr>
        <w:footnoteRef/>
      </w:r>
      <w:r>
        <w:t xml:space="preserve">  “Having incarcerated ‘persons [with] demonstrated proclivit[ies] for antisocial criminal, and often violent, conduct,’ ... having stripped them of virtually every means of self</w:t>
      </w:r>
      <w:r>
        <w:noBreakHyphen/>
        <w:t xml:space="preserve">protection and foreclosed their access to outside aid, the government and its officials are not free to let the state of nature take its course.”  </w:t>
      </w:r>
      <w:r>
        <w:rPr>
          <w:i/>
          <w:iCs/>
        </w:rPr>
        <w:t>Farmer</w:t>
      </w:r>
      <w:r>
        <w:t xml:space="preserve">, 511 U.S. at 833 (quoting </w:t>
      </w:r>
      <w:r>
        <w:rPr>
          <w:i/>
          <w:iCs/>
        </w:rPr>
        <w:t>Hudson v. Palmer</w:t>
      </w:r>
      <w:r>
        <w:t>, 468 U.S. 517, 526 (1984)).</w:t>
      </w:r>
    </w:p>
  </w:footnote>
  <w:footnote w:id="191">
    <w:p w:rsidR="00721160" w:rsidRDefault="00721160">
      <w:pPr>
        <w:spacing w:after="240"/>
        <w:ind w:firstLine="720"/>
      </w:pPr>
      <w:r>
        <w:rPr>
          <w:rStyle w:val="FootnoteReference"/>
          <w:vertAlign w:val="superscript"/>
        </w:rPr>
        <w:footnoteRef/>
      </w:r>
      <w:r>
        <w:t xml:space="preserve">  The subjective “deliberate indifference” standard for Eighth Amendment conditions of confinement claims is distinct from the objective “deliberate indifference” standard for municipal liability through inadequate training, supervision or screening.  </w:t>
      </w:r>
      <w:r>
        <w:rPr>
          <w:i/>
          <w:iCs/>
        </w:rPr>
        <w:t>See Farmer</w:t>
      </w:r>
      <w:r>
        <w:t xml:space="preserve">, 511 U.S. at 840-41 (distinguishing </w:t>
      </w:r>
      <w:r>
        <w:rPr>
          <w:i/>
          <w:iCs/>
        </w:rPr>
        <w:t>City of Canton v. Harris</w:t>
      </w:r>
      <w:r>
        <w:t xml:space="preserve">, 489 U.S. 378 (1989)); </w:t>
      </w:r>
      <w:r>
        <w:rPr>
          <w:i/>
          <w:iCs/>
        </w:rPr>
        <w:t>supra</w:t>
      </w:r>
      <w:r>
        <w:t xml:space="preserve"> Instruction 4.6.7 cmt. &amp; Instruction 4.6.8 cmt.</w:t>
      </w:r>
    </w:p>
  </w:footnote>
  <w:footnote w:id="192">
    <w:p w:rsidR="00721160" w:rsidRDefault="00721160">
      <w:pPr>
        <w:spacing w:after="240"/>
        <w:ind w:firstLine="720"/>
      </w:pPr>
      <w:r>
        <w:rPr>
          <w:rStyle w:val="FootnoteReference"/>
          <w:vertAlign w:val="superscript"/>
        </w:rPr>
        <w:footnoteRef/>
      </w:r>
      <w:r>
        <w:t xml:space="preserve">  The fact that the plaintiff did not notify the defendant in advance concerning the risk of attack does not preclude a finding of subjective recklessness.  </w:t>
      </w:r>
      <w:r>
        <w:rPr>
          <w:i/>
          <w:iCs/>
        </w:rPr>
        <w:t>See Farmer</w:t>
      </w:r>
      <w:r>
        <w:t xml:space="preserve">, 511 U.S. at 848; </w:t>
      </w:r>
      <w:r>
        <w:rPr>
          <w:i/>
          <w:iCs/>
        </w:rPr>
        <w:t>Hamilton v. Leavy</w:t>
      </w:r>
      <w:r>
        <w:t>, 117 F.3d 742, 747 (3d Cir. 1997).</w:t>
      </w:r>
    </w:p>
  </w:footnote>
  <w:footnote w:id="193">
    <w:p w:rsidR="00721160" w:rsidRDefault="00721160">
      <w:pPr>
        <w:spacing w:after="240"/>
        <w:ind w:firstLine="720"/>
      </w:pPr>
      <w:r>
        <w:rPr>
          <w:rStyle w:val="FootnoteReference"/>
          <w:vertAlign w:val="superscript"/>
        </w:rPr>
        <w:footnoteRef/>
      </w:r>
      <w:r>
        <w:t xml:space="preserve">  </w:t>
      </w:r>
      <w:r>
        <w:rPr>
          <w:i/>
          <w:iCs/>
        </w:rPr>
        <w:t>See also</w:t>
      </w:r>
      <w:r>
        <w:t xml:space="preserve"> </w:t>
      </w:r>
      <w:r>
        <w:rPr>
          <w:i/>
          <w:iCs/>
        </w:rPr>
        <w:t>Hamilton v. Leavy</w:t>
      </w:r>
      <w:r>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Pr>
          <w:i/>
          <w:iCs/>
        </w:rPr>
        <w:t>Beers</w:t>
      </w:r>
      <w:r>
        <w:rPr>
          <w:i/>
          <w:iCs/>
        </w:rPr>
        <w:noBreakHyphen/>
        <w:t>Capitol v. Whetzel</w:t>
      </w:r>
      <w:r>
        <w:t>, 256 F.3d 120, 138 (3d Cir. 2001).</w:t>
      </w:r>
    </w:p>
  </w:footnote>
  <w:footnote w:id="194">
    <w:p w:rsidR="00721160" w:rsidRDefault="00721160">
      <w:pPr>
        <w:spacing w:after="240"/>
        <w:ind w:firstLine="720"/>
      </w:pPr>
      <w:r>
        <w:rPr>
          <w:rStyle w:val="FootnoteReference"/>
          <w:vertAlign w:val="superscript"/>
        </w:rPr>
        <w:footnoteRef/>
      </w:r>
      <w:r>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Pr>
          <w:i/>
          <w:iCs/>
        </w:rPr>
        <w:t>Farmer</w:t>
      </w:r>
      <w:r>
        <w:t>, 511 U.S. at 843 n.8.</w:t>
      </w:r>
    </w:p>
  </w:footnote>
  <w:footnote w:id="195">
    <w:p w:rsidR="00721160" w:rsidRDefault="00721160">
      <w:pPr>
        <w:ind w:firstLine="720"/>
      </w:pPr>
      <w:r>
        <w:rPr>
          <w:rStyle w:val="FootnoteReference"/>
          <w:vertAlign w:val="superscript"/>
        </w:rPr>
        <w:footnoteRef/>
      </w:r>
      <w:r>
        <w:t xml:space="preserve">  </w:t>
      </w:r>
      <w:r>
        <w:rPr>
          <w:i/>
          <w:iCs/>
        </w:rPr>
        <w:t>See also</w:t>
      </w:r>
      <w:r>
        <w:t xml:space="preserve"> </w:t>
      </w:r>
      <w:r>
        <w:rPr>
          <w:i/>
          <w:iCs/>
        </w:rPr>
        <w:t>Beers</w:t>
      </w:r>
      <w:r>
        <w:rPr>
          <w:i/>
          <w:iCs/>
        </w:rPr>
        <w:noBreakHyphen/>
        <w:t>Capitol</w:t>
      </w:r>
      <w:r>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rsidR="00721160" w:rsidRDefault="00721160">
      <w:pPr>
        <w:spacing w:after="240"/>
        <w:ind w:firstLine="720"/>
      </w:pPr>
      <w:r>
        <w:t xml:space="preserve">Even if a defendant initially makes a recommendation that constitutes a reasonable response to the risk to the inmate, the defendant may be liable if she fails to take additional reasonable steps when that recommendation is rejected.  For example, in </w:t>
      </w:r>
      <w:r>
        <w:rPr>
          <w:i/>
          <w:iCs/>
        </w:rPr>
        <w:t>Hamilton v. Leavy</w:t>
      </w:r>
      <w:r>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Pr>
          <w:i/>
          <w:iCs/>
        </w:rPr>
        <w:t>Hamilton</w:t>
      </w:r>
      <w:r>
        <w:t>, 117 F.3d at 748.</w:t>
      </w:r>
    </w:p>
  </w:footnote>
  <w:footnote w:id="196">
    <w:p w:rsidR="00721160" w:rsidRDefault="00721160">
      <w:pPr>
        <w:ind w:firstLine="720"/>
      </w:pPr>
      <w:r>
        <w:rPr>
          <w:rStyle w:val="FootnoteReference"/>
          <w:vertAlign w:val="superscript"/>
        </w:rPr>
        <w:footnoteRef/>
      </w:r>
      <w:r>
        <w:t xml:space="preserve">  As to the third step of this test, the simplest case is presented by a defendant who intentionally seized the plaintiff.  Such a defendant should be held liable if the seizure was unreasonable and the defendant lacks qualified immunity.</w:t>
      </w:r>
    </w:p>
    <w:p w:rsidR="00721160" w:rsidRDefault="00721160">
      <w:pPr>
        <w:ind w:firstLine="720"/>
      </w:pPr>
      <w:r>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Pr>
          <w:i/>
          <w:iCs/>
        </w:rPr>
        <w:t>See Berg</w:t>
      </w:r>
      <w:r>
        <w:t>, 219 F.3d at 274 (“Where a defendant does not intentionally cause the plaintiff to be seized, but is nonetheless responsible for the seizure, it may be that a due process ‘deliberate indifference’ rather than a Fourth Amendment analysis is appropriate.”).</w:t>
      </w:r>
    </w:p>
    <w:p w:rsidR="00721160" w:rsidRDefault="00721160">
      <w:pPr>
        <w:spacing w:after="240"/>
        <w:ind w:firstLine="720"/>
      </w:pPr>
      <w:r>
        <w:t>This Comment focuses on the first two steps of the inquiry – seizure and unreasonableness.</w:t>
      </w:r>
    </w:p>
  </w:footnote>
  <w:footnote w:id="197">
    <w:p w:rsidR="00721160" w:rsidRDefault="00721160">
      <w:pPr>
        <w:ind w:firstLine="720"/>
      </w:pPr>
      <w:r>
        <w:rPr>
          <w:rStyle w:val="FootnoteReference"/>
          <w:vertAlign w:val="superscript"/>
        </w:rPr>
        <w:footnoteRef/>
      </w:r>
      <w:r>
        <w:t xml:space="preserve"> “[A] Fourth Amendment seizure . . . [occurs] only when there is a governmental termination of freedom of movement </w:t>
      </w:r>
      <w:r>
        <w:rPr>
          <w:i/>
          <w:iCs/>
        </w:rPr>
        <w:t>through means intentionally applied</w:t>
      </w:r>
      <w:r>
        <w:t xml:space="preserve">.”  </w:t>
      </w:r>
      <w:r>
        <w:rPr>
          <w:i/>
          <w:iCs/>
        </w:rPr>
        <w:t>Brower v. County of Inyo</w:t>
      </w:r>
      <w:r>
        <w:t xml:space="preserve">, 489 U.S. 593, 596-97 (1989) (emphasis in original).  “A seizure occurs even when an unintended person is the object of detention, so long as the means of detention are intentionally applied to that person.” </w:t>
      </w:r>
      <w:r>
        <w:rPr>
          <w:i/>
          <w:iCs/>
        </w:rPr>
        <w:t xml:space="preserve"> Berg</w:t>
      </w:r>
      <w:r>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Pr>
          <w:i/>
          <w:iCs/>
        </w:rPr>
        <w:t>Id.</w:t>
      </w:r>
    </w:p>
    <w:p w:rsidR="00721160" w:rsidRDefault="00721160">
      <w:pPr>
        <w:ind w:firstLine="720"/>
      </w:pPr>
      <w:r>
        <w:t xml:space="preserve">An officer’s attempt to stop a suspect through a show of authority does not constitute a seizure if the attempt is unsuccessful.  </w:t>
      </w:r>
      <w:r>
        <w:rPr>
          <w:i/>
          <w:iCs/>
        </w:rPr>
        <w:t>See California v. Hodari D.</w:t>
      </w:r>
      <w:r>
        <w:t xml:space="preserve">, 499 U.S. 621, 626 (1991) (“An arrest requires </w:t>
      </w:r>
      <w:r>
        <w:rPr>
          <w:i/>
          <w:iCs/>
        </w:rPr>
        <w:t xml:space="preserve">either </w:t>
      </w:r>
      <w:r>
        <w:t xml:space="preserve">physical force . . . </w:t>
      </w:r>
      <w:r>
        <w:rPr>
          <w:i/>
          <w:iCs/>
        </w:rPr>
        <w:t>or</w:t>
      </w:r>
      <w:r>
        <w:t xml:space="preserve">, where that is absent, </w:t>
      </w:r>
      <w:r>
        <w:rPr>
          <w:i/>
          <w:iCs/>
        </w:rPr>
        <w:t xml:space="preserve">submission </w:t>
      </w:r>
      <w:r>
        <w:t xml:space="preserve">to the assertion of authority” (emphasis in original).).  </w:t>
      </w:r>
      <w:r>
        <w:rPr>
          <w:i/>
          <w:iCs/>
        </w:rPr>
        <w:t>See also United States  v. Waterman</w:t>
      </w:r>
      <w:r>
        <w:t>, 569 F.3d 144, at 146 (3d Cir. 2009) (officers’ drawing their guns did not count as “physical force” within the meaning</w:t>
      </w:r>
    </w:p>
    <w:p w:rsidR="00721160" w:rsidRDefault="00721160">
      <w:pPr>
        <w:spacing w:after="240"/>
      </w:pPr>
      <w:r>
        <w:t xml:space="preserve">of </w:t>
      </w:r>
      <w:r>
        <w:rPr>
          <w:i/>
          <w:iCs/>
        </w:rPr>
        <w:t>Hodari D.</w:t>
      </w:r>
      <w:r>
        <w:t xml:space="preserve">); </w:t>
      </w:r>
      <w:r>
        <w:rPr>
          <w:i/>
          <w:iCs/>
        </w:rPr>
        <w:t>United States v. Smith</w:t>
      </w:r>
      <w:r>
        <w:t>, 575 F.3d 308, 311, 316 (3d Cir. 2009) (after officer asked Smith to place his hands on patrol car’s hood so that officers “could ‘speak with him further,’” Smith’s two steps toward the car, prior to fleeing, did not “manifest submission” under the circumstances).</w:t>
      </w:r>
    </w:p>
  </w:footnote>
  <w:footnote w:id="198">
    <w:p w:rsidR="00721160" w:rsidRDefault="00721160">
      <w:pPr>
        <w:spacing w:after="240"/>
        <w:ind w:firstLine="720"/>
      </w:pPr>
      <w:r>
        <w:rPr>
          <w:rStyle w:val="FootnoteReference"/>
          <w:vertAlign w:val="superscript"/>
        </w:rPr>
        <w:footnoteRef/>
      </w:r>
      <w:r>
        <w:t xml:space="preserve">  </w:t>
      </w:r>
      <w:r>
        <w:rPr>
          <w:i/>
          <w:iCs/>
        </w:rPr>
        <w:t>See also Brendlin v. California</w:t>
      </w:r>
      <w:r>
        <w:t>, 127 S. Ct. 2400, 2406-07 (2007) (holding that “during a traffic stop an officer seizes everyone in the vehicle, not just the driver”).</w:t>
      </w:r>
    </w:p>
  </w:footnote>
  <w:footnote w:id="199">
    <w:p w:rsidR="00721160" w:rsidRPr="008B5850" w:rsidRDefault="00721160" w:rsidP="008B5850">
      <w:pPr>
        <w:spacing w:after="240"/>
        <w:ind w:firstLine="720"/>
      </w:pPr>
      <w:r>
        <w:rPr>
          <w:rStyle w:val="FootnoteReference"/>
          <w:vertAlign w:val="superscript"/>
        </w:rPr>
        <w:footnoteRef/>
      </w:r>
      <w:r>
        <w:t xml:space="preserve">  Citing </w:t>
      </w:r>
      <w:r>
        <w:rPr>
          <w:i/>
          <w:iCs/>
        </w:rPr>
        <w:t>Drayton</w:t>
      </w:r>
      <w:r>
        <w:t xml:space="preserve">, the Court of Appeals has rejected the view that a seizure should be presumed when officers approach a person for questioning based on a tip.  </w:t>
      </w:r>
      <w:r>
        <w:rPr>
          <w:i/>
          <w:iCs/>
        </w:rPr>
        <w:t>See United States v. Crandell</w:t>
      </w:r>
      <w:r>
        <w:t>, 554 F.3d 79, 85 (3d Cir. 2009) (“The subjective intent underlying an officer's approach does not affect the seizure analysis.... [A] seizure does not occur simply because an officer approaches an individual ... to ask questions....  Therefore, a tip police received that motivates their encounter with an individual merely serves to color the backstory at this stage.”).</w:t>
      </w:r>
      <w:r w:rsidRPr="008B5850">
        <w:t xml:space="preserve"> </w:t>
      </w:r>
    </w:p>
    <w:p w:rsidR="00721160" w:rsidRPr="008B5850" w:rsidRDefault="00721160">
      <w:pPr>
        <w:spacing w:after="240"/>
        <w:ind w:firstLine="720"/>
      </w:pPr>
      <w:r w:rsidRPr="008B5850">
        <w:t xml:space="preserve">In </w:t>
      </w:r>
      <w:r w:rsidRPr="008B5850">
        <w:rPr>
          <w:i/>
        </w:rPr>
        <w:t>James v. City of Wilkes-Barre</w:t>
      </w:r>
      <w:r w:rsidRPr="008B5850">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8B5850">
        <w:rPr>
          <w:i/>
        </w:rPr>
        <w:t>Id.</w:t>
      </w:r>
      <w:r w:rsidRPr="008B5850">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8B5850">
        <w:rPr>
          <w:i/>
        </w:rPr>
        <w:t>Id.</w:t>
      </w:r>
      <w:r w:rsidRPr="008B5850">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8B5850">
        <w:rPr>
          <w:i/>
        </w:rPr>
        <w:t>Id.</w:t>
      </w:r>
      <w:r w:rsidRPr="008B5850">
        <w:t xml:space="preserve"> at 682.</w:t>
      </w:r>
    </w:p>
  </w:footnote>
  <w:footnote w:id="200">
    <w:p w:rsidR="00721160" w:rsidRDefault="00721160">
      <w:pPr>
        <w:spacing w:after="240"/>
        <w:ind w:firstLine="720"/>
      </w:pPr>
      <w:r>
        <w:rPr>
          <w:rStyle w:val="FootnoteReference"/>
          <w:vertAlign w:val="superscript"/>
        </w:rPr>
        <w:footnoteRef/>
      </w:r>
      <w:r>
        <w:t xml:space="preserve">  In some cases where the nature of the seizure (if any) is in question, a party may wish to ask the court to instruct on both reasonable suspicion and probable cause.  </w:t>
      </w:r>
      <w:r>
        <w:rPr>
          <w:i/>
          <w:iCs/>
        </w:rPr>
        <w:t>Cf. Pitts v. Delaware</w:t>
      </w:r>
      <w:r>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noBreakHyphen/>
        <w:t>suspicion analysis).</w:t>
      </w:r>
    </w:p>
  </w:footnote>
  <w:footnote w:id="201">
    <w:p w:rsidR="00721160" w:rsidRDefault="00721160">
      <w:pPr>
        <w:spacing w:after="240"/>
        <w:ind w:firstLine="720"/>
      </w:pPr>
      <w:r>
        <w:rPr>
          <w:rStyle w:val="FootnoteReference"/>
          <w:vertAlign w:val="superscript"/>
        </w:rPr>
        <w:footnoteRef/>
      </w:r>
      <w:r>
        <w:t xml:space="preserve">  “The validity of the arrest is not dependent on whether the suspect actually committed any crime, and ‘the mere fact that the suspect is later acquitted of the offense for which he is arrested is irrelevant.’” </w:t>
      </w:r>
      <w:r>
        <w:rPr>
          <w:i/>
          <w:iCs/>
        </w:rPr>
        <w:t>Johnson</w:t>
      </w:r>
      <w:r>
        <w:t xml:space="preserve">, 332 F.3d at 211 (quoting </w:t>
      </w:r>
      <w:r>
        <w:rPr>
          <w:i/>
          <w:iCs/>
        </w:rPr>
        <w:t>Michigan v. DeFillippo</w:t>
      </w:r>
      <w:r>
        <w:t>, 443 U.S. 31, 36 (1979)).</w:t>
      </w:r>
    </w:p>
  </w:footnote>
  <w:footnote w:id="202">
    <w:p w:rsidR="00721160" w:rsidRDefault="00721160">
      <w:pPr>
        <w:ind w:firstLine="720"/>
      </w:pPr>
      <w:r>
        <w:rPr>
          <w:rStyle w:val="FootnoteReference"/>
          <w:vertAlign w:val="superscript"/>
        </w:rPr>
        <w:footnoteRef/>
      </w:r>
      <w:r>
        <w:t xml:space="preserve">  Because the plaintiff in </w:t>
      </w:r>
      <w:r>
        <w:rPr>
          <w:i/>
          <w:iCs/>
        </w:rPr>
        <w:t xml:space="preserve">Schneyder </w:t>
      </w:r>
      <w:r>
        <w:t>had effectively conceded the constitutionality of the initial detention (and challenged only her detention after the trial was continued), the Court of</w:t>
      </w:r>
    </w:p>
    <w:p w:rsidR="00721160" w:rsidRDefault="00721160">
      <w:r>
        <w:t xml:space="preserve">Appeals noted but did not address the possible argument </w:t>
      </w:r>
    </w:p>
    <w:p w:rsidR="00721160" w:rsidRDefault="00721160"/>
    <w:p w:rsidR="00721160" w:rsidRDefault="00721160">
      <w:pPr>
        <w:ind w:left="720"/>
      </w:pPr>
      <w:r>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Pr>
          <w:i/>
          <w:iCs/>
        </w:rPr>
        <w:t>See</w:t>
      </w:r>
      <w:r>
        <w:t xml:space="preserve"> [</w:t>
      </w:r>
      <w:r>
        <w:rPr>
          <w:i/>
          <w:iCs/>
        </w:rPr>
        <w:t>Ashcroft v. Al</w:t>
      </w:r>
      <w:r>
        <w:rPr>
          <w:i/>
          <w:iCs/>
        </w:rPr>
        <w:noBreakHyphen/>
        <w:t>Kidd</w:t>
      </w:r>
      <w:r>
        <w:t>], 131 S. Ct. [2074,] 2084</w:t>
      </w:r>
      <w:r>
        <w:sym w:font="WP TypographicSymbols" w:char="0042"/>
      </w:r>
      <w:r>
        <w:t xml:space="preserve">85 [(2011)] (suggesting the possibility of such an argument but noting that plaintiff in that case had not taken that position); </w:t>
      </w:r>
      <w:r>
        <w:rPr>
          <w:i/>
          <w:iCs/>
        </w:rPr>
        <w:t>id.</w:t>
      </w:r>
      <w:r>
        <w:t xml:space="preserve"> at 2085</w:t>
      </w:r>
      <w:r>
        <w:sym w:font="WP TypographicSymbols" w:char="0042"/>
      </w:r>
      <w:r>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rsidR="00721160" w:rsidRDefault="00721160"/>
    <w:p w:rsidR="00721160" w:rsidRDefault="00721160">
      <w:pPr>
        <w:spacing w:after="240"/>
      </w:pPr>
      <w:r>
        <w:rPr>
          <w:i/>
          <w:iCs/>
        </w:rPr>
        <w:t>Id</w:t>
      </w:r>
      <w:r>
        <w:t>. at 324 n.15.</w:t>
      </w:r>
    </w:p>
  </w:footnote>
  <w:footnote w:id="203">
    <w:p w:rsidR="00721160" w:rsidRDefault="00721160">
      <w:pPr>
        <w:spacing w:after="240"/>
        <w:ind w:firstLine="720"/>
      </w:pPr>
      <w:r>
        <w:rPr>
          <w:rStyle w:val="FootnoteReference"/>
          <w:vertAlign w:val="superscript"/>
        </w:rPr>
        <w:footnoteRef/>
      </w:r>
      <w:r>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Pr>
          <w:i/>
          <w:iCs/>
        </w:rPr>
        <w:t>Heck</w:t>
      </w:r>
      <w:r>
        <w:t xml:space="preserve"> which necessarily implicate the validity of a conviction or sentence.”  </w:t>
      </w:r>
      <w:r>
        <w:rPr>
          <w:i/>
          <w:iCs/>
        </w:rPr>
        <w:t>Montgomery v. De Simone</w:t>
      </w:r>
      <w:r>
        <w:t xml:space="preserve">, 159 F.3d 120, 126 n.5 (3d Cir. 1998); </w:t>
      </w:r>
      <w:r>
        <w:rPr>
          <w:i/>
          <w:iCs/>
        </w:rPr>
        <w:t xml:space="preserve">but see Gibson v. Superintendent of NJ Dept. of Law and Public Safety </w:t>
      </w:r>
      <w:r>
        <w:rPr>
          <w:i/>
          <w:iCs/>
        </w:rPr>
        <w:noBreakHyphen/>
        <w:t xml:space="preserve"> Division of State Police</w:t>
      </w:r>
      <w:r>
        <w:t>, 411 F.3d 427, 450-51 (3d Cir. 2005) (“</w:t>
      </w:r>
      <w:r>
        <w:rPr>
          <w:i/>
          <w:iCs/>
        </w:rPr>
        <w:t>Heck</w:t>
      </w:r>
      <w:r>
        <w:t xml:space="preserve"> does not set forth a categorical rule that all Fourth Amendment claims accrue at the time of the violation. This Court's determination that the plaintiff's false arrest claim in </w:t>
      </w:r>
      <w:r>
        <w:rPr>
          <w:i/>
          <w:iCs/>
        </w:rPr>
        <w:t>Montgomery</w:t>
      </w:r>
      <w:r>
        <w:t xml:space="preserve"> qualified as an exception to the </w:t>
      </w:r>
      <w:r>
        <w:rPr>
          <w:i/>
          <w:iCs/>
        </w:rPr>
        <w:t>Heck</w:t>
      </w:r>
      <w:r>
        <w:t xml:space="preserve"> deferral rule, and thus accrued on the night of the arrest, does not mandate a blanket rule that all false arrest claims accrue at the time of the arrest.”).  </w:t>
      </w:r>
      <w:r>
        <w:rPr>
          <w:i/>
          <w:iCs/>
        </w:rPr>
        <w:t>Cf. Rose v. Bartle</w:t>
      </w:r>
      <w:r>
        <w:t>, 871 F.2d 331, 350-51 (3d Cir. 1989) (expressing doubt concerning the holding of another Circuit that “conviction is a complete defense to a section 1983 action for false arrest”).</w:t>
      </w:r>
    </w:p>
  </w:footnote>
  <w:footnote w:id="204">
    <w:p w:rsidR="00721160" w:rsidRDefault="00721160">
      <w:pPr>
        <w:spacing w:after="240"/>
        <w:ind w:firstLine="720"/>
      </w:pPr>
      <w:r>
        <w:rPr>
          <w:rStyle w:val="FootnoteReference"/>
          <w:vertAlign w:val="superscript"/>
        </w:rPr>
        <w:footnoteRef/>
      </w:r>
      <w:r>
        <w:t xml:space="preserve">  It is unclear whether this bar also applies to persons no longer in custody.  </w:t>
      </w:r>
      <w:r>
        <w:rPr>
          <w:i/>
          <w:iCs/>
        </w:rPr>
        <w:t xml:space="preserve">See infra </w:t>
      </w:r>
      <w:r>
        <w:t>Comment to Instruction 4.13.</w:t>
      </w:r>
    </w:p>
  </w:footnote>
  <w:footnote w:id="205">
    <w:p w:rsidR="00721160" w:rsidRDefault="00721160">
      <w:pPr>
        <w:spacing w:after="240"/>
        <w:ind w:firstLine="720"/>
      </w:pPr>
      <w:r>
        <w:rPr>
          <w:rStyle w:val="FootnoteReference"/>
          <w:vertAlign w:val="superscript"/>
        </w:rPr>
        <w:footnoteRef/>
      </w:r>
      <w:r>
        <w:t xml:space="preserve"> See Comment for a discussion of the burden of proof regarding </w:t>
      </w:r>
      <w:r>
        <w:sym w:font="WP TypographicSymbols" w:char="0041"/>
      </w:r>
      <w:r>
        <w:t>reasonable suspicion.”</w:t>
      </w:r>
    </w:p>
  </w:footnote>
  <w:footnote w:id="206">
    <w:p w:rsidR="00721160" w:rsidRDefault="00721160">
      <w:pPr>
        <w:spacing w:after="240"/>
        <w:ind w:firstLine="720"/>
      </w:pPr>
      <w:r>
        <w:rPr>
          <w:rStyle w:val="FootnoteReference"/>
          <w:vertAlign w:val="superscript"/>
        </w:rPr>
        <w:footnoteRef/>
      </w:r>
      <w:r>
        <w:t xml:space="preserve">  This sentence may be included if there is relevant evidence of the officer’s training and/or experience.</w:t>
      </w:r>
    </w:p>
  </w:footnote>
  <w:footnote w:id="207">
    <w:p w:rsidR="00721160" w:rsidRDefault="00721160">
      <w:pPr>
        <w:spacing w:after="240"/>
        <w:ind w:firstLine="720"/>
      </w:pPr>
      <w:r>
        <w:rPr>
          <w:rStyle w:val="FootnoteReference"/>
          <w:vertAlign w:val="superscript"/>
        </w:rPr>
        <w:footnoteRef/>
      </w:r>
      <w:r>
        <w:t xml:space="preserve">  If a more detailed discussion of this issue is desired, language from the second paragraph of Instruction 4.12.2 can be added here.</w:t>
      </w:r>
    </w:p>
  </w:footnote>
  <w:footnote w:id="208">
    <w:p w:rsidR="00721160" w:rsidRDefault="00721160">
      <w:pPr>
        <w:ind w:firstLine="720"/>
      </w:pPr>
      <w:r>
        <w:rPr>
          <w:rStyle w:val="FootnoteReference"/>
          <w:vertAlign w:val="superscript"/>
        </w:rPr>
        <w:footnoteRef/>
      </w:r>
      <w:r>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Pr>
          <w:i/>
          <w:iCs/>
        </w:rPr>
        <w:t>Adams</w:t>
      </w:r>
      <w:r>
        <w:t xml:space="preserve">, 407 U.S. at 146 (quoting </w:t>
      </w:r>
      <w:r>
        <w:rPr>
          <w:i/>
          <w:iCs/>
        </w:rPr>
        <w:t>Terry</w:t>
      </w:r>
      <w:r>
        <w:t xml:space="preserve">, 392 U.S. at 24).  To fall within this principle, such a search “must be limited to that which is necessary for the discovery of weapons which might be used to harm the officer or others nearby.”  </w:t>
      </w:r>
      <w:r>
        <w:rPr>
          <w:i/>
          <w:iCs/>
        </w:rPr>
        <w:t>Terry</w:t>
      </w:r>
      <w:r>
        <w:t>, 392 U.S. at 26.  As the Supreme Court more recently explained:</w:t>
      </w:r>
    </w:p>
    <w:p w:rsidR="00721160" w:rsidRDefault="00721160"/>
    <w:p w:rsidR="00721160" w:rsidRDefault="00721160">
      <w:pPr>
        <w:ind w:left="720" w:right="720"/>
      </w:pPr>
      <w:r>
        <w:t>[I]n a traffic</w:t>
      </w:r>
      <w:r>
        <w:noBreakHyphen/>
        <w:t xml:space="preserve">stop setting, the first </w:t>
      </w:r>
      <w:r>
        <w:rPr>
          <w:i/>
          <w:iCs/>
        </w:rPr>
        <w:t>Terry</w:t>
      </w:r>
      <w:r>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rsidR="00721160" w:rsidRDefault="00721160"/>
    <w:p w:rsidR="00721160" w:rsidRDefault="00721160">
      <w:r>
        <w:rPr>
          <w:i/>
          <w:iCs/>
        </w:rPr>
        <w:t>Arizona v. Johnson</w:t>
      </w:r>
      <w:r>
        <w:t>, 129 S. Ct. 781, 784 (2009).</w:t>
      </w:r>
    </w:p>
    <w:p w:rsidR="00721160" w:rsidRDefault="00721160"/>
    <w:p w:rsidR="00721160" w:rsidRDefault="00721160">
      <w:pPr>
        <w:ind w:firstLine="720"/>
      </w:pPr>
      <w:r>
        <w:t xml:space="preserve">If during such a search the officer detects “nonthreatening contraband,” the officer may seize that contraband.  </w:t>
      </w:r>
      <w:r>
        <w:rPr>
          <w:i/>
          <w:iCs/>
        </w:rPr>
        <w:t>Minnesota v. Dickerson</w:t>
      </w:r>
      <w:r>
        <w:t>, 508 U.S. 366, 373 (1993).  As the Court of Appeals has summarized the test:</w:t>
      </w:r>
    </w:p>
    <w:p w:rsidR="00721160" w:rsidRDefault="00721160"/>
    <w:p w:rsidR="00721160" w:rsidRDefault="00721160">
      <w:pPr>
        <w:ind w:left="720" w:right="720"/>
      </w:pPr>
      <w:r>
        <w:t xml:space="preserve">Assuming that an officer is authorized to conduct a </w:t>
      </w:r>
      <w:r>
        <w:rPr>
          <w:i/>
          <w:iCs/>
        </w:rPr>
        <w:t xml:space="preserve">Terry </w:t>
      </w:r>
      <w:r>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Pr>
          <w:i/>
          <w:iCs/>
        </w:rPr>
        <w:t>Dickerson</w:t>
      </w:r>
      <w:r>
        <w:t>, 508 U.S. at 373.</w:t>
      </w:r>
    </w:p>
    <w:p w:rsidR="00721160" w:rsidRDefault="00721160"/>
    <w:p w:rsidR="00721160" w:rsidRDefault="00721160">
      <w:pPr>
        <w:spacing w:after="240"/>
      </w:pPr>
      <w:r>
        <w:rPr>
          <w:i/>
          <w:iCs/>
        </w:rPr>
        <w:t>United States v. Yamba</w:t>
      </w:r>
      <w:r>
        <w:t>, 506 F.3d 251, 259 (3d Cir. 2007).</w:t>
      </w:r>
    </w:p>
  </w:footnote>
  <w:footnote w:id="209">
    <w:p w:rsidR="00721160" w:rsidRDefault="00721160">
      <w:pPr>
        <w:spacing w:after="240"/>
        <w:ind w:firstLine="720"/>
      </w:pPr>
      <w:r>
        <w:rPr>
          <w:rStyle w:val="FootnoteReference"/>
          <w:vertAlign w:val="superscript"/>
        </w:rPr>
        <w:footnoteRef/>
      </w:r>
      <w:r>
        <w:t xml:space="preserve">  </w:t>
      </w:r>
      <w:r w:rsidRPr="00976B6B">
        <w:rPr>
          <w:i/>
        </w:rPr>
        <w:t>See United States v. Lewis</w:t>
      </w:r>
      <w:r w:rsidRPr="00976B6B">
        <w:t>, 672 F.3d 232, 237-38 (3d Cir. 2012) (holding that illegally tinted car windows could not justify stop of car absent any testimony that officers noticed the tinting prior to making the stop).</w:t>
      </w:r>
    </w:p>
    <w:p w:rsidR="00721160" w:rsidRDefault="00721160">
      <w:pPr>
        <w:spacing w:after="240"/>
        <w:ind w:firstLine="720"/>
      </w:pPr>
      <w:r>
        <w:t xml:space="preserve">In </w:t>
      </w:r>
      <w:r>
        <w:rPr>
          <w:i/>
          <w:iCs/>
        </w:rPr>
        <w:t>United States v. Whitfield</w:t>
      </w:r>
      <w:r>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Pr>
          <w:i/>
          <w:iCs/>
        </w:rPr>
        <w:t>Id.</w:t>
      </w:r>
      <w:r>
        <w:t xml:space="preserve"> at 745; </w:t>
      </w:r>
      <w:r>
        <w:rPr>
          <w:i/>
          <w:iCs/>
        </w:rPr>
        <w:t>see also id.</w:t>
      </w:r>
      <w:r>
        <w:t xml:space="preserve"> at 746 (“It would make little sense to decline to apply the collective knowledge doctrine in a fast</w:t>
      </w:r>
      <w:r>
        <w:noBreakHyphen/>
        <w:t>paced, dynamic situation such as we have before us, in which the officers worked together as a unified and tight</w:t>
      </w:r>
      <w:r>
        <w:noBreakHyphen/>
        <w:t>knit team; indeed, it would be impractical to expect an officer in such a situation to communicate to the other officers every fact that could be pertinent in a subsequent reasonable suspicion analysis.”).</w:t>
      </w:r>
    </w:p>
  </w:footnote>
  <w:footnote w:id="210">
    <w:p w:rsidR="00721160" w:rsidRDefault="00721160">
      <w:pPr>
        <w:ind w:firstLine="720"/>
      </w:pPr>
      <w:r>
        <w:rPr>
          <w:rStyle w:val="FootnoteReference"/>
          <w:vertAlign w:val="superscript"/>
        </w:rPr>
        <w:footnoteRef/>
      </w:r>
      <w:r>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Pr>
          <w:i/>
          <w:iCs/>
        </w:rPr>
        <w:t>Florida v. J.L.</w:t>
      </w:r>
      <w:r>
        <w:t xml:space="preserve">, 529 U.S. 266, 270 (2000) (quoting </w:t>
      </w:r>
      <w:r>
        <w:rPr>
          <w:i/>
          <w:iCs/>
        </w:rPr>
        <w:t>Alabama v. White</w:t>
      </w:r>
      <w:r>
        <w:t>, 496 U.S. 325, 329 (1990)).</w:t>
      </w:r>
      <w:r>
        <w:rPr>
          <w:i/>
          <w:iCs/>
        </w:rPr>
        <w:t xml:space="preserve">  Cf. United States v. Mathurin</w:t>
      </w:r>
      <w:r>
        <w:t>,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w:t>
      </w:r>
      <w:r w:rsidRPr="001C4E24">
        <w:t xml:space="preserve">; </w:t>
      </w:r>
      <w:r w:rsidRPr="001C4E24">
        <w:rPr>
          <w:i/>
        </w:rPr>
        <w:t>United States v. Benoit</w:t>
      </w:r>
      <w:r w:rsidRPr="001C4E24">
        <w:t xml:space="preserve">, 730 F.3d 280, 285 (3d Cir. 2013) (extending the rationale of </w:t>
      </w:r>
      <w:r w:rsidRPr="001C4E24">
        <w:rPr>
          <w:i/>
        </w:rPr>
        <w:t>Mathurin</w:t>
      </w:r>
      <w:r w:rsidRPr="001C4E24">
        <w:t xml:space="preserve"> to foreign authorities “with whom our country has a working relationship to prevent drug trafficking”).</w:t>
      </w:r>
      <w:r>
        <w:t xml:space="preserve"> Nonetheless, “there are situations in which an anonymous tip, suitably corroborated, exhibits ‘sufficient indicia of reliability to provide reasonable suspicion to make the investigatory stop.’” </w:t>
      </w:r>
      <w:r>
        <w:rPr>
          <w:i/>
          <w:iCs/>
        </w:rPr>
        <w:t>J.L.</w:t>
      </w:r>
      <w:r>
        <w:t xml:space="preserve">, 529 U.S. at 270 (quoting </w:t>
      </w:r>
      <w:r>
        <w:rPr>
          <w:i/>
          <w:iCs/>
        </w:rPr>
        <w:t>White</w:t>
      </w:r>
      <w:r>
        <w:t xml:space="preserve">, 496 U.S. at 327); </w:t>
      </w:r>
      <w:r>
        <w:rPr>
          <w:i/>
          <w:iCs/>
        </w:rPr>
        <w:t>see also United States v. Silveus</w:t>
      </w:r>
      <w:r>
        <w:t>, 542 F.3d 993, 1000 (3d Cir. 2008) (reasonable suspicion rested in large part on anonymous tip that “appeared to be reliable, given that it was corroborated by the agents' prior knowledge”).</w:t>
      </w:r>
    </w:p>
    <w:p w:rsidR="00721160" w:rsidRDefault="00721160"/>
    <w:p w:rsidR="00721160" w:rsidRDefault="00721160">
      <w:pPr>
        <w:spacing w:after="240"/>
        <w:ind w:firstLine="720"/>
      </w:pPr>
      <w:r>
        <w:t xml:space="preserve">In </w:t>
      </w:r>
      <w:r>
        <w:rPr>
          <w:i/>
          <w:iCs/>
        </w:rPr>
        <w:t>United States v. Torres</w:t>
      </w:r>
      <w:r>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Pr>
          <w:i/>
          <w:iCs/>
        </w:rPr>
        <w:t>Id.</w:t>
      </w:r>
      <w:r>
        <w:t xml:space="preserve"> at 213.  </w:t>
      </w:r>
      <w:r>
        <w:rPr>
          <w:i/>
          <w:iCs/>
        </w:rPr>
        <w:t>See also United States v. Johnson</w:t>
      </w:r>
      <w:r>
        <w:t>, 592 F.3d 442, 449</w:t>
      </w:r>
      <w:r>
        <w:noBreakHyphen/>
        <w:t xml:space="preserve">50 (3d Cir. 2010) (reasonable suspicion existed based on non-anonymous 911 call reporting a shooting and providing details – some of which matched police observations – regarding vehicle containing persons involved in the shooting); </w:t>
      </w:r>
      <w:r w:rsidRPr="00214208">
        <w:rPr>
          <w:i/>
          <w:iCs/>
        </w:rPr>
        <w:t xml:space="preserve">Prado Navarette v. California,  </w:t>
      </w:r>
      <w:r w:rsidRPr="0021420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1">
    <w:p w:rsidR="00721160" w:rsidRDefault="00721160">
      <w:pPr>
        <w:spacing w:after="240"/>
        <w:ind w:firstLine="720"/>
      </w:pPr>
      <w:r>
        <w:rPr>
          <w:rStyle w:val="FootnoteReference"/>
          <w:vertAlign w:val="superscript"/>
        </w:rPr>
        <w:footnoteRef/>
      </w:r>
      <w:r>
        <w:t xml:space="preserve">  The requisite reasonable suspicion focuses on the elements of the crime and not on an affirmative defense.  </w:t>
      </w:r>
      <w:r>
        <w:rPr>
          <w:i/>
          <w:iCs/>
        </w:rPr>
        <w:t>Compare</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r w:rsidRPr="00B6244C">
        <w:t xml:space="preserve">, </w:t>
      </w:r>
      <w:r w:rsidRPr="00B6244C">
        <w:rPr>
          <w:i/>
        </w:rPr>
        <w:t>with United States v. Lewis</w:t>
      </w:r>
      <w:r w:rsidRPr="00B6244C">
        <w:t>, 672 F.3d 232, 240 (3d Cir. 2012) (in holding that tip concerning firearms in car did not provide reasonable suspicion to justify the stop of the car, relying on fact that “Virgin Islands law contains no presumption that an individual lack</w:t>
      </w:r>
      <w:r>
        <w:t>s a permit to carry a firearm”).</w:t>
      </w:r>
    </w:p>
  </w:footnote>
  <w:footnote w:id="212">
    <w:p w:rsidR="00721160" w:rsidRDefault="00721160" w:rsidP="003A4271">
      <w:pPr>
        <w:spacing w:after="240"/>
        <w:ind w:firstLine="720"/>
      </w:pPr>
      <w:r>
        <w:rPr>
          <w:rStyle w:val="FootnoteReference"/>
          <w:vertAlign w:val="superscript"/>
        </w:rPr>
        <w:footnoteRef/>
      </w:r>
      <w:r>
        <w:t xml:space="preserve">  As the Court explained in </w:t>
      </w:r>
      <w:r>
        <w:rPr>
          <w:i/>
          <w:iCs/>
        </w:rPr>
        <w:t>Cortez</w:t>
      </w:r>
      <w:r>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Pr>
          <w:i/>
          <w:iCs/>
        </w:rPr>
        <w:t>Cortez</w:t>
      </w:r>
      <w:r>
        <w:t xml:space="preserve">, 449 U.S. at 418.  </w:t>
      </w:r>
      <w:r w:rsidRPr="003A4271">
        <w:rPr>
          <w:i/>
        </w:rPr>
        <w:t>See also United States v. Navedo</w:t>
      </w:r>
      <w:r>
        <w:t xml:space="preserve">, </w:t>
      </w:r>
      <w:r w:rsidRPr="00EE59D3">
        <w:t>694 F.3d 463</w:t>
      </w:r>
      <w:r>
        <w:t xml:space="preserve">, 468 (3d Cir. 2012) (holding that “[t]he reasonable suspicion required under </w:t>
      </w:r>
      <w:r w:rsidRPr="00EB2319">
        <w:rPr>
          <w:i/>
        </w:rPr>
        <w:t>Terry</w:t>
      </w:r>
      <w:r>
        <w:t xml:space="preserve"> is specific to the person who is detained”).</w:t>
      </w:r>
    </w:p>
  </w:footnote>
  <w:footnote w:id="213">
    <w:p w:rsidR="00721160" w:rsidRDefault="00721160">
      <w:pPr>
        <w:ind w:firstLine="720"/>
      </w:pPr>
      <w:r>
        <w:rPr>
          <w:rStyle w:val="FootnoteReference"/>
          <w:vertAlign w:val="superscript"/>
        </w:rPr>
        <w:footnoteRef/>
      </w:r>
      <w:r>
        <w:t xml:space="preserve">  An officer's misunderstanding of the law does not necessarily render a traffic stop unreasonable.  As the Court of Appeals has explained:</w:t>
      </w:r>
    </w:p>
    <w:p w:rsidR="00721160" w:rsidRDefault="00721160"/>
    <w:p w:rsidR="00721160" w:rsidRDefault="00721160">
      <w:pPr>
        <w:ind w:left="720" w:right="720"/>
      </w:pPr>
      <w:r>
        <w:t>In situations where an objective review of the record evidence establishes reasonable grounds to conclude that the stopped individual has in fact violated the traffic</w:t>
      </w:r>
      <w:r>
        <w:noBreakHyphen/>
        <w:t>code provision cited by the officer, the stop is constitutional even if the officer is mistaken about the scope of activities actually proscribed by the cited traffic</w:t>
      </w:r>
      <w:r>
        <w:noBreakHyphen/>
        <w:t>code provision. Therefore an officer's Fourth Amendment burden of production is to (1) identify the ordinance or statute that he believed had been violated, and (2) provide specific, articulable facts that support an objective determination of whether any officer could have possessed reasonable suspicion of the alleged infraction. As long as both prongs are met, an officer's subjective understanding of the law at issue would not be relevant to the court's determination.</w:t>
      </w:r>
    </w:p>
    <w:p w:rsidR="00721160" w:rsidRDefault="00721160"/>
    <w:p w:rsidR="00721160" w:rsidRDefault="00721160">
      <w:pPr>
        <w:spacing w:after="240"/>
      </w:pPr>
      <w:r>
        <w:rPr>
          <w:i/>
          <w:iCs/>
        </w:rPr>
        <w:t>Delfin</w:t>
      </w:r>
      <w:r>
        <w:rPr>
          <w:i/>
          <w:iCs/>
        </w:rPr>
        <w:noBreakHyphen/>
        <w:t>Colina</w:t>
      </w:r>
      <w:r>
        <w:t>, 464 F.3d at 399</w:t>
      </w:r>
      <w:r>
        <w:noBreakHyphen/>
        <w:t>400.</w:t>
      </w:r>
    </w:p>
  </w:footnote>
  <w:footnote w:id="214">
    <w:p w:rsidR="00721160" w:rsidRDefault="00721160">
      <w:pPr>
        <w:spacing w:after="240"/>
        <w:ind w:firstLine="720"/>
      </w:pPr>
      <w:r>
        <w:rPr>
          <w:rStyle w:val="FootnoteReference"/>
          <w:vertAlign w:val="superscript"/>
        </w:rPr>
        <w:footnoteRef/>
      </w:r>
      <w:r>
        <w:t xml:space="preserve">  </w:t>
      </w:r>
      <w:r>
        <w:rPr>
          <w:i/>
          <w:iCs/>
        </w:rPr>
        <w:t>See also Johnson</w:t>
      </w:r>
      <w:r>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5">
    <w:p w:rsidR="00721160" w:rsidRDefault="00721160" w:rsidP="00F93C71">
      <w:pPr>
        <w:spacing w:after="240"/>
        <w:ind w:firstLine="720"/>
      </w:pPr>
      <w:r>
        <w:rPr>
          <w:rStyle w:val="FootnoteReference"/>
          <w:vertAlign w:val="superscript"/>
        </w:rPr>
        <w:footnoteRef/>
      </w:r>
      <w:r>
        <w:t xml:space="preserve">  </w:t>
      </w:r>
      <w:r w:rsidRPr="003779BC">
        <w:rPr>
          <w:i/>
        </w:rPr>
        <w:t>See United States v. Navedo</w:t>
      </w:r>
      <w:r>
        <w:t xml:space="preserve">, </w:t>
      </w:r>
      <w:r w:rsidRPr="003779BC">
        <w:t>694 F.3d 463</w:t>
      </w:r>
      <w:r>
        <w:t xml:space="preserve">, 474 (3d Cir. 2012) (“Unprovoked flight can only elevate reasonable suspicion to probable cause if police have ‘reasonably trustworthy information or circumstances’ to believe that an individual is engaged in criminal activity ….”) (quoting </w:t>
      </w:r>
      <w:r w:rsidRPr="003779BC">
        <w:rPr>
          <w:i/>
        </w:rPr>
        <w:t>United States v. Laville</w:t>
      </w:r>
      <w:r>
        <w:t>, 480 F.3d 187, 194 (3d Cir. 2007)).</w:t>
      </w:r>
    </w:p>
  </w:footnote>
  <w:footnote w:id="216">
    <w:p w:rsidR="00721160" w:rsidRDefault="00721160">
      <w:pPr>
        <w:spacing w:after="240"/>
        <w:ind w:firstLine="720"/>
      </w:pPr>
      <w:r>
        <w:rPr>
          <w:rStyle w:val="FootnoteReference"/>
          <w:vertAlign w:val="superscript"/>
        </w:rPr>
        <w:footnoteRef/>
      </w:r>
      <w:r>
        <w:t xml:space="preserve">  Include this paragraph only if the defendant disputes that an arrest occurred.</w:t>
      </w:r>
    </w:p>
  </w:footnote>
  <w:footnote w:id="217">
    <w:p w:rsidR="00721160" w:rsidRDefault="00721160">
      <w:pPr>
        <w:spacing w:after="240"/>
        <w:ind w:firstLine="720"/>
      </w:pPr>
      <w:r>
        <w:rPr>
          <w:rStyle w:val="FootnoteReference"/>
          <w:vertAlign w:val="superscript"/>
        </w:rPr>
        <w:footnoteRef/>
      </w:r>
      <w:r>
        <w:t xml:space="preserve">  Include this phrase only if the defendant disputes that an arrest occurred.</w:t>
      </w:r>
    </w:p>
  </w:footnote>
  <w:footnote w:id="218">
    <w:p w:rsidR="00721160" w:rsidRDefault="00721160">
      <w:pPr>
        <w:spacing w:after="240"/>
        <w:ind w:firstLine="720"/>
      </w:pPr>
      <w:r>
        <w:rPr>
          <w:rStyle w:val="FootnoteReference"/>
          <w:vertAlign w:val="superscript"/>
        </w:rPr>
        <w:footnoteRef/>
      </w:r>
      <w:r>
        <w:t xml:space="preserve">  In the case of a warrantless arrest, some Third Circuit caselaw supports the view that the defendant has the burden of proof as to probable cause, but other Third Circuit precedent indicates the contrary.  </w:t>
      </w:r>
      <w:r>
        <w:rPr>
          <w:i/>
          <w:iCs/>
        </w:rPr>
        <w:t>See</w:t>
      </w:r>
      <w:r>
        <w:t xml:space="preserve"> Instruction 4.12.2 cmt.  Accordingly, the model includes alternative language concerning the burden on this issue.</w:t>
      </w:r>
    </w:p>
  </w:footnote>
  <w:footnote w:id="219">
    <w:p w:rsidR="00721160" w:rsidRDefault="00721160">
      <w:pPr>
        <w:spacing w:after="240"/>
        <w:ind w:firstLine="720"/>
      </w:pPr>
      <w:r>
        <w:rPr>
          <w:rStyle w:val="FootnoteReference"/>
          <w:vertAlign w:val="superscript"/>
        </w:rPr>
        <w:footnoteRef/>
      </w:r>
      <w:r>
        <w:t xml:space="preserve">  Third Circuit caselaw has not clearly settled whether warrantless arrests for misdemeanors committed outside the officer’s presence are permitted by the Fourth Amendment.  </w:t>
      </w:r>
      <w:r>
        <w:rPr>
          <w:i/>
          <w:iCs/>
        </w:rPr>
        <w:t>See</w:t>
      </w:r>
      <w:r>
        <w:t xml:space="preserve"> Comment.</w:t>
      </w:r>
    </w:p>
  </w:footnote>
  <w:footnote w:id="220">
    <w:p w:rsidR="00721160" w:rsidRDefault="00721160">
      <w:pPr>
        <w:spacing w:after="240"/>
        <w:ind w:firstLine="720"/>
      </w:pPr>
      <w:r>
        <w:rPr>
          <w:rStyle w:val="FootnoteReference"/>
          <w:vertAlign w:val="superscript"/>
        </w:rPr>
        <w:footnoteRef/>
      </w:r>
      <w:r>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1">
    <w:p w:rsidR="00721160" w:rsidRDefault="00721160">
      <w:pPr>
        <w:ind w:firstLine="720"/>
      </w:pPr>
      <w:r>
        <w:rPr>
          <w:rStyle w:val="FootnoteReference"/>
          <w:vertAlign w:val="superscript"/>
        </w:rPr>
        <w:footnoteRef/>
      </w:r>
      <w:r>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Pr>
          <w:i/>
          <w:iCs/>
        </w:rPr>
        <w:t>Baker</w:t>
      </w:r>
      <w:r>
        <w:t xml:space="preserve">, 50 F.3d at 1193.  (The use of guns or handcuffs can in some circumstances give rise to an excessive force claim.  </w:t>
      </w:r>
      <w:r>
        <w:rPr>
          <w:i/>
          <w:iCs/>
        </w:rPr>
        <w:t>See id.</w:t>
      </w:r>
      <w:r>
        <w:t xml:space="preserve">; </w:t>
      </w:r>
      <w:r>
        <w:rPr>
          <w:i/>
          <w:iCs/>
        </w:rPr>
        <w:t>see also Kopec v. Tate</w:t>
      </w:r>
      <w:r>
        <w:t>, 361 F.3d 772, 777 (3d Cir. 2004).)</w:t>
      </w:r>
    </w:p>
    <w:p w:rsidR="00721160" w:rsidRDefault="00721160">
      <w:pPr>
        <w:spacing w:after="240"/>
        <w:ind w:firstLine="720"/>
      </w:pPr>
      <w:r>
        <w:t xml:space="preserve">Whether the seizure rises to the level of an arrest (so as to require probable cause) depends on the circumstances.  </w:t>
      </w:r>
      <w:r>
        <w:rPr>
          <w:i/>
          <w:iCs/>
        </w:rPr>
        <w:t>See, e.g., Kaupp v. Texas</w:t>
      </w:r>
      <w:r>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Pr>
          <w:i/>
          <w:iCs/>
        </w:rPr>
        <w:t>Dunaway v. New York</w:t>
      </w:r>
      <w:r>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p>
  </w:footnote>
  <w:footnote w:id="222">
    <w:p w:rsidR="00721160" w:rsidRDefault="00721160">
      <w:pPr>
        <w:spacing w:after="240"/>
        <w:ind w:firstLine="720"/>
      </w:pPr>
      <w:r>
        <w:rPr>
          <w:rStyle w:val="FootnoteReference"/>
          <w:vertAlign w:val="superscript"/>
        </w:rPr>
        <w:footnoteRef/>
      </w:r>
      <w:r>
        <w:t xml:space="preserve">  In </w:t>
      </w:r>
      <w:r>
        <w:rPr>
          <w:i/>
          <w:iCs/>
        </w:rPr>
        <w:t>United States v. Sed</w:t>
      </w:r>
      <w:r>
        <w:t xml:space="preserve">, 601 F.3d 224 (3d Cir. 2010), the fact that an arrest by Pennsylvania State Police occurred in Ohio and violated Ohio state law did not establish a Fourth Amendment violation.  </w:t>
      </w:r>
      <w:r>
        <w:rPr>
          <w:i/>
          <w:iCs/>
        </w:rPr>
        <w:t>See id.</w:t>
      </w:r>
      <w:r>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Pr>
          <w:i/>
          <w:iCs/>
        </w:rPr>
        <w:t xml:space="preserve">de minimis </w:t>
      </w:r>
      <w:r>
        <w:t xml:space="preserve">one at that.”  </w:t>
      </w:r>
      <w:r>
        <w:rPr>
          <w:i/>
          <w:iCs/>
        </w:rPr>
        <w:t>Id.</w:t>
      </w:r>
      <w:r>
        <w:t xml:space="preserve"> at 229.</w:t>
      </w:r>
    </w:p>
  </w:footnote>
  <w:footnote w:id="223">
    <w:p w:rsidR="00721160" w:rsidRDefault="00721160">
      <w:pPr>
        <w:ind w:firstLine="720"/>
      </w:pPr>
      <w:r>
        <w:rPr>
          <w:rStyle w:val="FootnoteReference"/>
          <w:vertAlign w:val="superscript"/>
        </w:rPr>
        <w:footnoteRef/>
      </w:r>
      <w:r>
        <w:t xml:space="preserve">  Discussing the issuance of search warrants, the Court has held:</w:t>
      </w:r>
    </w:p>
    <w:p w:rsidR="00721160" w:rsidRDefault="00721160"/>
    <w:p w:rsidR="00721160" w:rsidRDefault="00721160">
      <w:pPr>
        <w:ind w:left="720" w:right="720"/>
      </w:pPr>
      <w:r>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rsidR="00721160" w:rsidRDefault="00721160"/>
    <w:p w:rsidR="00721160" w:rsidRDefault="00721160">
      <w:pPr>
        <w:spacing w:after="240"/>
      </w:pPr>
      <w:r>
        <w:rPr>
          <w:i/>
          <w:iCs/>
        </w:rPr>
        <w:t>Illinois v. Gates</w:t>
      </w:r>
      <w:r>
        <w:t xml:space="preserve">, 462 U.S. 213, 238-39 (1983) (quoting </w:t>
      </w:r>
      <w:r>
        <w:rPr>
          <w:i/>
          <w:iCs/>
        </w:rPr>
        <w:t>Jones v. United States</w:t>
      </w:r>
      <w:r>
        <w:t xml:space="preserve">, 362 U.S. 257, 271 (1960), </w:t>
      </w:r>
      <w:r>
        <w:rPr>
          <w:i/>
          <w:iCs/>
        </w:rPr>
        <w:t>overruled on other grounds by United States v. Salvucci</w:t>
      </w:r>
      <w:r>
        <w:t>, 448 U.S. 83 (1980)).</w:t>
      </w:r>
    </w:p>
  </w:footnote>
  <w:footnote w:id="224">
    <w:p w:rsidR="00721160" w:rsidRDefault="00721160">
      <w:pPr>
        <w:spacing w:after="240"/>
        <w:ind w:firstLine="720"/>
      </w:pPr>
      <w:r>
        <w:rPr>
          <w:rStyle w:val="FootnoteReference"/>
          <w:vertAlign w:val="superscript"/>
        </w:rPr>
        <w:footnoteRef/>
      </w:r>
      <w:r>
        <w:t xml:space="preserve">  Thus, for example, the fact that an officer was motivated by race would not render an otherwise proper arrest violative of the Fourth Amendment, though it would raise Equal Protection issues.  </w:t>
      </w:r>
      <w:r>
        <w:rPr>
          <w:i/>
          <w:iCs/>
        </w:rPr>
        <w:t>See Whren</w:t>
      </w:r>
      <w:r>
        <w:t xml:space="preserve">, 517 U.S. at 813 (“[T]he constitutional basis for objecting to intentionally discriminatory application of laws is the Equal Protection Clause, not the Fourth Amendment.”); </w:t>
      </w:r>
      <w:r>
        <w:rPr>
          <w:i/>
          <w:iCs/>
        </w:rPr>
        <w:t>cf. Desi's Pizza, Inc. v. City of Wilkes</w:t>
      </w:r>
      <w:r>
        <w:rPr>
          <w:i/>
          <w:iCs/>
        </w:rPr>
        <w:noBreakHyphen/>
        <w:t>Barre</w:t>
      </w:r>
      <w:r>
        <w:t xml:space="preserve">, 321 F.3d 411, 425 (3d Cir. 2003) (noting that “selective prosecution may constitute illegal discrimination even if the prosecution is otherwise warranted”); </w:t>
      </w:r>
      <w:r>
        <w:rPr>
          <w:i/>
          <w:iCs/>
        </w:rPr>
        <w:t xml:space="preserve">Gibson v. Superintendent of NJ Dept. of Law and Public Safety </w:t>
      </w:r>
      <w:r>
        <w:rPr>
          <w:i/>
          <w:iCs/>
        </w:rPr>
        <w:noBreakHyphen/>
        <w:t xml:space="preserve"> Division of State Police</w:t>
      </w:r>
      <w:r>
        <w:t>, 411 F.3d 427, 441 (3d Cir. 2005) (permitting racially selective law enforcement claim to proceed).</w:t>
      </w:r>
    </w:p>
    <w:p w:rsidR="00721160" w:rsidRPr="006821BC" w:rsidRDefault="00721160">
      <w:pPr>
        <w:spacing w:after="240"/>
        <w:ind w:firstLine="720"/>
      </w:pPr>
      <w:r w:rsidRPr="006821BC">
        <w:t xml:space="preserve">Questions concerning the interaction between probable cause and improper motive can also arise outside the context of race discrimination.  In </w:t>
      </w:r>
      <w:r w:rsidRPr="006821BC">
        <w:rPr>
          <w:i/>
        </w:rPr>
        <w:t>Reichle v. Howards</w:t>
      </w:r>
      <w:r w:rsidRPr="006821BC">
        <w:t xml:space="preserve">, 132 S. Ct. 2088 (2012), the plaintiff claimed that he was arrested “in retaliation for his political speech.”  </w:t>
      </w:r>
      <w:r w:rsidRPr="006821BC">
        <w:rPr>
          <w:i/>
        </w:rPr>
        <w:t>Id.</w:t>
      </w:r>
      <w:r w:rsidRPr="006821BC">
        <w:t xml:space="preserve"> at 2091.  </w:t>
      </w:r>
      <w:r>
        <w:t xml:space="preserve">The </w:t>
      </w:r>
      <w:r w:rsidRPr="006821BC">
        <w:rPr>
          <w:i/>
        </w:rPr>
        <w:t>Reichle</w:t>
      </w:r>
      <w:r w:rsidRPr="006821BC">
        <w:t xml:space="preserve"> Court </w:t>
      </w:r>
      <w:r w:rsidRPr="00C56B8D">
        <w:t xml:space="preserve">noted, without deciding, the question of whether a claim for retaliatory arrest requires a showing that there was a lack of probable cause.  </w:t>
      </w:r>
      <w:r w:rsidRPr="00C56B8D">
        <w:rPr>
          <w:i/>
        </w:rPr>
        <w:t>See</w:t>
      </w:r>
      <w:r>
        <w:rPr>
          <w:i/>
        </w:rPr>
        <w:t xml:space="preserve"> </w:t>
      </w:r>
      <w:r w:rsidRPr="006821BC">
        <w:rPr>
          <w:i/>
        </w:rPr>
        <w:t>id.</w:t>
      </w:r>
      <w:r>
        <w:rPr>
          <w:i/>
        </w:rPr>
        <w:t xml:space="preserve"> </w:t>
      </w:r>
      <w:r>
        <w:t>at 2094-96.</w:t>
      </w:r>
    </w:p>
  </w:footnote>
  <w:footnote w:id="225">
    <w:p w:rsidR="00721160" w:rsidRDefault="00721160">
      <w:pPr>
        <w:spacing w:after="240"/>
        <w:ind w:firstLine="720"/>
      </w:pPr>
      <w:r>
        <w:rPr>
          <w:rStyle w:val="FootnoteReference"/>
          <w:vertAlign w:val="superscript"/>
        </w:rPr>
        <w:footnoteRef/>
      </w:r>
      <w:r>
        <w:t xml:space="preserve">  “[T]he common law presumption raised by a magistrate's prior finding that probable cause exists does not apply to section 1983 actions.”  </w:t>
      </w:r>
      <w:r>
        <w:rPr>
          <w:i/>
          <w:iCs/>
        </w:rPr>
        <w:t>Merkle v. Upper Dublin School Dist.</w:t>
      </w:r>
      <w:r>
        <w:t>, 211 F.3d 782, 789 (3d Cir. 2000).</w:t>
      </w:r>
    </w:p>
  </w:footnote>
  <w:footnote w:id="226">
    <w:p w:rsidR="00721160" w:rsidRDefault="00721160">
      <w:pPr>
        <w:ind w:firstLine="720"/>
      </w:pPr>
      <w:r>
        <w:rPr>
          <w:rStyle w:val="FootnoteReference"/>
          <w:vertAlign w:val="superscript"/>
        </w:rPr>
        <w:footnoteRef/>
      </w:r>
      <w:r>
        <w:t xml:space="preserve">  By contrast, another Circuit has shifted the burden of production but not the burden of proof:</w:t>
      </w:r>
    </w:p>
    <w:p w:rsidR="00721160" w:rsidRDefault="00721160"/>
    <w:p w:rsidR="00721160" w:rsidRDefault="00721160">
      <w:pPr>
        <w:ind w:left="720" w:right="720"/>
      </w:pPr>
      <w:r>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rsidR="00721160" w:rsidRDefault="00721160"/>
    <w:p w:rsidR="00721160" w:rsidRDefault="00721160">
      <w:pPr>
        <w:spacing w:after="240"/>
      </w:pPr>
      <w:r>
        <w:rPr>
          <w:i/>
          <w:iCs/>
        </w:rPr>
        <w:t>Dubner v. City and County of San Francisco</w:t>
      </w:r>
      <w:r>
        <w:t xml:space="preserve">, 266 F.3d 959, 965 (9th Cir. 2001); </w:t>
      </w:r>
      <w:r>
        <w:rPr>
          <w:i/>
          <w:iCs/>
        </w:rPr>
        <w:t>see also Davis v. Rodriguez</w:t>
      </w:r>
      <w:r>
        <w:t>, 364 F.3d 424, 433 n.8 (2d Cir. 2004) (noting circuit split as to “which side carries the burden regarding probable cause” with respect to Section 1983 false arrest claims).</w:t>
      </w:r>
    </w:p>
  </w:footnote>
  <w:footnote w:id="227">
    <w:p w:rsidR="00721160" w:rsidRDefault="00721160">
      <w:pPr>
        <w:ind w:firstLine="720"/>
      </w:pPr>
      <w:r>
        <w:rPr>
          <w:rStyle w:val="FootnoteReference"/>
          <w:vertAlign w:val="superscript"/>
        </w:rPr>
        <w:footnoteRef/>
      </w:r>
      <w:r>
        <w:t xml:space="preserve">  </w:t>
      </w:r>
      <w:r>
        <w:rPr>
          <w:i/>
          <w:iCs/>
        </w:rPr>
        <w:t>Pierson</w:t>
      </w:r>
      <w:r>
        <w:t xml:space="preserve"> is distinguishable from a typical Fourth Amendment false arrest case.  In </w:t>
      </w:r>
      <w:r>
        <w:rPr>
          <w:i/>
          <w:iCs/>
        </w:rPr>
        <w:t>Pierson</w:t>
      </w:r>
      <w:r>
        <w:t xml:space="preserve">, clergy members attempting to use a segregated bus terminal in Jackson, Mississippi were arrested by city police and charged with misdemeanors under a state statute.  </w:t>
      </w:r>
      <w:r>
        <w:rPr>
          <w:i/>
          <w:iCs/>
        </w:rPr>
        <w:t>See Pierson</w:t>
      </w:r>
      <w:r>
        <w:t xml:space="preserve">, 386 U.S. at 549.  (The state statute was later held unconstitutional as applied to a similar situation, because it was used to enforce race discrimination in a facility used for interstate transportation.  </w:t>
      </w:r>
      <w:r>
        <w:rPr>
          <w:i/>
          <w:iCs/>
        </w:rPr>
        <w:t xml:space="preserve">See id. </w:t>
      </w:r>
      <w:r>
        <w:t xml:space="preserve">at 550 n.4.)  The core of the plaintiffs’ claims in </w:t>
      </w:r>
      <w:r>
        <w:rPr>
          <w:i/>
          <w:iCs/>
        </w:rPr>
        <w:t>Pierson</w:t>
      </w:r>
      <w:r>
        <w:t xml:space="preserve">, then, was that the arrests were motivated by a desire to enforce segregation.  </w:t>
      </w:r>
      <w:r>
        <w:rPr>
          <w:i/>
          <w:iCs/>
        </w:rPr>
        <w:t xml:space="preserve">See id. </w:t>
      </w:r>
      <w:r>
        <w:t xml:space="preserve">at 557 (noting plaintiffs’ claim that “the police officers arrested them solely for attempting to use the 'White Only' waiting room”).  That the Court placed the burden on the defendant officers to prove good faith and probable cause in </w:t>
      </w:r>
      <w:r>
        <w:rPr>
          <w:i/>
          <w:iCs/>
        </w:rPr>
        <w:t>Pierson</w:t>
      </w:r>
      <w:r>
        <w:t>, then, may not conclusively establish that defendants have a similar burden in run-of-the-mill Fourth Amendment false arrest cases.</w:t>
      </w:r>
    </w:p>
    <w:p w:rsidR="00721160" w:rsidRDefault="00721160">
      <w:pPr>
        <w:spacing w:after="240"/>
        <w:ind w:firstLine="720"/>
      </w:pPr>
      <w:r>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Pr>
          <w:i/>
          <w:iCs/>
        </w:rPr>
        <w:t>Kelly v. Borough of Carlisle</w:t>
      </w:r>
      <w:r>
        <w:t xml:space="preserve">, </w:t>
      </w:r>
      <w:r w:rsidRPr="009D3FDE">
        <w:t>622 F.3d 248</w:t>
      </w:r>
      <w:r>
        <w:t xml:space="preserve">, 255-56 (3d Cir. 2010). The plaintiff “may rebut this presumption by showing that, under all the factual and legal circumstances surrounding the arrest, a reasonable officer would not have relied on the prosecutor's advice.”  </w:t>
      </w:r>
      <w:r>
        <w:rPr>
          <w:i/>
          <w:iCs/>
        </w:rPr>
        <w:t>Id.</w:t>
      </w:r>
    </w:p>
  </w:footnote>
  <w:footnote w:id="228">
    <w:p w:rsidR="00721160" w:rsidRDefault="00721160">
      <w:pPr>
        <w:spacing w:after="240"/>
        <w:ind w:firstLine="720"/>
      </w:pPr>
      <w:r>
        <w:rPr>
          <w:rStyle w:val="FootnoteReference"/>
          <w:vertAlign w:val="superscript"/>
        </w:rPr>
        <w:footnoteRef/>
      </w:r>
      <w:r>
        <w:t xml:space="preserve">  For a decision applying the </w:t>
      </w:r>
      <w:r>
        <w:rPr>
          <w:i/>
          <w:iCs/>
        </w:rPr>
        <w:t>Gates</w:t>
      </w:r>
      <w:r>
        <w:t xml:space="preserve"> test to an application for a search warrant, see </w:t>
      </w:r>
      <w:r>
        <w:rPr>
          <w:i/>
          <w:iCs/>
        </w:rPr>
        <w:t>United States v. Stearn</w:t>
      </w:r>
      <w:r>
        <w:t>, 597 F.3d 540, 555-56 (3d Cir. 2010).</w:t>
      </w:r>
    </w:p>
  </w:footnote>
  <w:footnote w:id="229">
    <w:p w:rsidR="00721160" w:rsidRDefault="00721160">
      <w:pPr>
        <w:spacing w:after="240"/>
        <w:ind w:firstLine="720"/>
      </w:pPr>
      <w:r>
        <w:rPr>
          <w:rStyle w:val="FootnoteReference"/>
          <w:vertAlign w:val="superscript"/>
        </w:rPr>
        <w:footnoteRef/>
      </w:r>
      <w:r>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Pr>
          <w:i/>
          <w:iCs/>
        </w:rPr>
        <w:t>Sands v. McCormick</w:t>
      </w:r>
      <w:r>
        <w:t xml:space="preserve">, 502 F.3d 263, 269 (3d Cir. 2007).  (The </w:t>
      </w:r>
      <w:r>
        <w:rPr>
          <w:i/>
          <w:iCs/>
        </w:rPr>
        <w:t>Sands</w:t>
      </w:r>
      <w:r>
        <w:t xml:space="preserve"> court noted that “the dates of the offenses were disclosed in the affidavit of probable cause that was submitted to the magistrate,” and that “[t]here is no indication that the magistrate had any hesitancy about issuing the arrest warrant.”).  </w:t>
      </w:r>
      <w:r>
        <w:rPr>
          <w:i/>
          <w:iCs/>
        </w:rPr>
        <w:t>See also Holman v. City of York</w:t>
      </w:r>
      <w:r>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Pr>
          <w:i/>
          <w:iCs/>
        </w:rPr>
        <w:t>Cf.</w:t>
      </w:r>
      <w:r>
        <w:t> </w:t>
      </w:r>
      <w:r>
        <w:rPr>
          <w:i/>
          <w:iCs/>
        </w:rPr>
        <w:t>United States v. Gatlin</w:t>
      </w:r>
      <w:r>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0">
    <w:p w:rsidR="00721160" w:rsidRDefault="00721160">
      <w:pPr>
        <w:spacing w:after="240"/>
        <w:ind w:firstLine="720"/>
      </w:pPr>
      <w:r>
        <w:rPr>
          <w:rStyle w:val="FootnoteReference"/>
          <w:vertAlign w:val="superscript"/>
        </w:rPr>
        <w:footnoteRef/>
      </w:r>
      <w:r>
        <w:t xml:space="preserve">  The </w:t>
      </w:r>
      <w:r>
        <w:rPr>
          <w:i/>
          <w:iCs/>
        </w:rPr>
        <w:t>Johnson</w:t>
      </w:r>
      <w:r>
        <w:t xml:space="preserve"> court noted the possibility that an officer might raise a qualified immunity defense regarding such a situation, but did not decide the question because the officer in </w:t>
      </w:r>
      <w:r>
        <w:rPr>
          <w:i/>
          <w:iCs/>
        </w:rPr>
        <w:t>Johnson</w:t>
      </w:r>
      <w:r>
        <w:t xml:space="preserve"> had not argued qualified immunity.  </w:t>
      </w:r>
      <w:r>
        <w:rPr>
          <w:i/>
          <w:iCs/>
        </w:rPr>
        <w:t>See Johnson</w:t>
      </w:r>
      <w:r>
        <w:t>, 332 F.3d at 214.</w:t>
      </w:r>
    </w:p>
  </w:footnote>
  <w:footnote w:id="231">
    <w:p w:rsidR="00721160" w:rsidRDefault="00721160">
      <w:pPr>
        <w:spacing w:after="240"/>
        <w:ind w:firstLine="720"/>
      </w:pPr>
      <w:r>
        <w:rPr>
          <w:rStyle w:val="FootnoteReference"/>
          <w:vertAlign w:val="superscript"/>
        </w:rPr>
        <w:footnoteRef/>
      </w:r>
      <w:r>
        <w:t xml:space="preserve">  </w:t>
      </w:r>
      <w:r>
        <w:rPr>
          <w:i/>
          <w:iCs/>
        </w:rPr>
        <w:t>See also Gilles v. Davis</w:t>
      </w:r>
      <w:r>
        <w:t>, 427 F.3d 197, 206 (3d Cir. 2005) (stating, with respect to qualified immunity analysis, that “whether it was reasonable to believe there was probable cause is in part based on the limited information that the arresting officer has at the time”).</w:t>
      </w:r>
    </w:p>
  </w:footnote>
  <w:footnote w:id="232">
    <w:p w:rsidR="00721160" w:rsidRDefault="00721160">
      <w:pPr>
        <w:ind w:firstLine="720"/>
      </w:pPr>
      <w:r>
        <w:rPr>
          <w:rStyle w:val="FootnoteReference"/>
          <w:vertAlign w:val="superscript"/>
        </w:rPr>
        <w:footnoteRef/>
      </w:r>
      <w:r>
        <w:t xml:space="preserve">  </w:t>
      </w:r>
      <w:r>
        <w:rPr>
          <w:i/>
          <w:iCs/>
        </w:rPr>
        <w:t>Cf. United States v. Prandy-Binett</w:t>
      </w:r>
      <w:r>
        <w:t xml:space="preserve">, 995 F.2d 1069, 1073-74 (D.C. Cir. 1993) (“It is simply not the law that officers must be aware of the </w:t>
      </w:r>
      <w:r>
        <w:rPr>
          <w:i/>
          <w:iCs/>
        </w:rPr>
        <w:t>specific</w:t>
      </w:r>
      <w:r>
        <w:t xml:space="preserve"> crime an individual is likely committing...  It is enough that they have probable cause to believe the defendant has committed one or the other of several offenses, even though they cannot be sure which one.”).</w:t>
      </w:r>
    </w:p>
    <w:p w:rsidR="00721160" w:rsidRDefault="00721160">
      <w:pPr>
        <w:spacing w:after="240"/>
        <w:ind w:firstLine="720"/>
      </w:pPr>
      <w:r>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Pr>
          <w:i/>
          <w:iCs/>
        </w:rPr>
        <w:t>See Merkle v. Upper Dublin School Dist.</w:t>
      </w:r>
      <w:r>
        <w:t>, 211 F.3d 782, 790 n.7 (3d Cir. 2000) (so holding, but noting that “a different conclusion may be warranted if the additional charge results in longer detention, higher bail, or some other added disability”).</w:t>
      </w:r>
    </w:p>
  </w:footnote>
  <w:footnote w:id="233">
    <w:p w:rsidR="00721160" w:rsidRDefault="00721160">
      <w:pPr>
        <w:ind w:firstLine="720"/>
      </w:pPr>
      <w:r>
        <w:rPr>
          <w:rStyle w:val="FootnoteReference"/>
          <w:vertAlign w:val="superscript"/>
        </w:rPr>
        <w:footnoteRef/>
      </w:r>
      <w:r>
        <w:t xml:space="preserve">    “If an officer has probable cause to believe that an individual has committed even a very minor criminal offense in his presence, he may, without violating the Fourth Amendment, arrest the offender.”  </w:t>
      </w:r>
      <w:r>
        <w:rPr>
          <w:i/>
          <w:iCs/>
        </w:rPr>
        <w:t>Atwater v. City of Lago Vista</w:t>
      </w:r>
      <w:r>
        <w:t xml:space="preserve">, 532 U.S. 318, 354 (2001).  The </w:t>
      </w:r>
      <w:r>
        <w:rPr>
          <w:i/>
          <w:iCs/>
        </w:rPr>
        <w:t>Atwater</w:t>
      </w:r>
      <w:r>
        <w:t xml:space="preserve"> Court expressly left open whether the misdemeanor must have been committed in the officer’s presence.  </w:t>
      </w:r>
      <w:r>
        <w:rPr>
          <w:i/>
          <w:iCs/>
        </w:rPr>
        <w:t>See Atwater</w:t>
      </w:r>
      <w:r>
        <w:t>, 532 U.S. at 341 n.11 (“We need not, and thus do not, speculate whether the Fourth Amendment entails an ‘in the presence’ requirement for purposes of misdemeanor arrests.”).</w:t>
      </w:r>
    </w:p>
    <w:p w:rsidR="00721160" w:rsidRDefault="00721160">
      <w:pPr>
        <w:ind w:firstLine="720"/>
      </w:pPr>
      <w:r>
        <w:t xml:space="preserve">In </w:t>
      </w:r>
      <w:r>
        <w:rPr>
          <w:i/>
          <w:iCs/>
        </w:rPr>
        <w:t>United States v. Myers</w:t>
      </w:r>
      <w:r>
        <w:t xml:space="preserve">, the Court of Appeals decided a suppression issue based in part upon an officer’s failure to comply with a state-law provision that authorized warrantless arrest </w:t>
      </w:r>
      <w:r>
        <w:sym w:font="WP TypographicSymbols" w:char="0041"/>
      </w:r>
      <w:r>
        <w:t xml:space="preserve">only if the offense is committed in the presence of the arresting officer or when specifically authorized by statute.”  </w:t>
      </w:r>
      <w:r>
        <w:rPr>
          <w:i/>
          <w:iCs/>
        </w:rPr>
        <w:t>U.S. v. Myers</w:t>
      </w:r>
      <w:r>
        <w:t>, 308 F.3d 251, 256 (3d Cir. 2002) (alternative holding).  In</w:t>
      </w:r>
    </w:p>
    <w:p w:rsidR="00721160" w:rsidRDefault="00721160">
      <w:pPr>
        <w:spacing w:after="240"/>
      </w:pPr>
      <w:r>
        <w:rPr>
          <w:i/>
          <w:iCs/>
        </w:rPr>
        <w:t>United States v. Laville</w:t>
      </w:r>
      <w:r>
        <w:t xml:space="preserve">, 480 F.3d 187 (3d Cir. 2007), the Court of Appeals held “that the unlawfulness of an arrest under state or local law does not make the arrest unreasonable </w:t>
      </w:r>
      <w:r>
        <w:rPr>
          <w:i/>
          <w:iCs/>
        </w:rPr>
        <w:t>per se</w:t>
      </w:r>
      <w:r>
        <w:t xml:space="preserve"> under the Fourth Amendment; at most, the unlawfulness is a factor for federal courts to consider in evaluating the totality of the circumstances surrounding the arrest.”  </w:t>
      </w:r>
      <w:r>
        <w:rPr>
          <w:i/>
          <w:iCs/>
        </w:rPr>
        <w:t>Laville</w:t>
      </w:r>
      <w:r>
        <w:t xml:space="preserve">, 480 F.3d at 196; </w:t>
      </w:r>
      <w:r>
        <w:rPr>
          <w:i/>
          <w:iCs/>
        </w:rPr>
        <w:t xml:space="preserve">see also id. </w:t>
      </w:r>
      <w:r>
        <w:t xml:space="preserve">at 192 (explaining that </w:t>
      </w:r>
      <w:r>
        <w:rPr>
          <w:i/>
          <w:iCs/>
        </w:rPr>
        <w:t>Myers</w:t>
      </w:r>
      <w:r>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Pr>
          <w:i/>
          <w:iCs/>
        </w:rPr>
        <w:t>Virginia v. Moore</w:t>
      </w:r>
      <w:r>
        <w:t>, 128 S.Ct. 1598, 1607 (2008).</w:t>
      </w:r>
    </w:p>
  </w:footnote>
  <w:footnote w:id="234">
    <w:p w:rsidR="00721160" w:rsidRDefault="00721160">
      <w:pPr>
        <w:spacing w:after="240"/>
        <w:ind w:firstLine="720"/>
      </w:pPr>
      <w:r>
        <w:rPr>
          <w:rStyle w:val="FootnoteReference"/>
          <w:vertAlign w:val="superscript"/>
        </w:rPr>
        <w:footnoteRef/>
      </w:r>
      <w:r>
        <w:t xml:space="preserve">  The “community caretaking” doctrine concerning warrantless searches of vehicles, </w:t>
      </w:r>
      <w:r>
        <w:rPr>
          <w:i/>
          <w:iCs/>
        </w:rPr>
        <w:t>see Cady v. Dombrowski</w:t>
      </w:r>
      <w:r>
        <w:t xml:space="preserve">, 413 U.S. 433, 441 (1973), does not apply to warrantless entry into a home.  </w:t>
      </w:r>
      <w:r>
        <w:rPr>
          <w:i/>
          <w:iCs/>
        </w:rPr>
        <w:t>See Ray v. Township of Warren</w:t>
      </w:r>
      <w:r>
        <w:t>, 626 F.3d 170, 177 (3d Cir. 2010) (“The community caretaking doctrine cannot be used to justify warrantless searches of a home.”).</w:t>
      </w:r>
    </w:p>
  </w:footnote>
  <w:footnote w:id="235">
    <w:p w:rsidR="00721160" w:rsidRDefault="00721160">
      <w:pPr>
        <w:spacing w:after="240"/>
        <w:ind w:firstLine="720"/>
      </w:pPr>
      <w:r>
        <w:rPr>
          <w:rStyle w:val="FootnoteReference"/>
          <w:vertAlign w:val="superscript"/>
        </w:rPr>
        <w:footnoteRef/>
      </w:r>
      <w:r>
        <w:t xml:space="preserve">  “[L]aw enforcement officers ‘may enter a home without a warrant to render emergency assistance to an injured occupant or to protect an occupant from imminent injury.’” </w:t>
      </w:r>
      <w:r>
        <w:rPr>
          <w:i/>
          <w:iCs/>
        </w:rPr>
        <w:t>Michigan v. Fisher</w:t>
      </w:r>
      <w:r>
        <w:t xml:space="preserve">, 130 S. Ct. 546, 548 (2009) (per curiam) (quoting </w:t>
      </w:r>
      <w:r>
        <w:rPr>
          <w:i/>
          <w:iCs/>
        </w:rPr>
        <w:t>Brigham City v. Stuart</w:t>
      </w:r>
      <w:r>
        <w:t xml:space="preserve">, 547 U.S. 398, 403 (2006)).  </w:t>
      </w:r>
      <w:r>
        <w:rPr>
          <w:i/>
          <w:iCs/>
        </w:rPr>
        <w:t>See also Kentucky v. King</w:t>
      </w:r>
      <w:r>
        <w:t>, 131 S. Ct. 1849, 1856-58 (2011) (noting “several exigencies that may justify a warrantless search of a home” and holding that “the exigent circumstances rule justifies a warrantless search when the conduct of the police preceding the exigency is reasonable”);</w:t>
      </w:r>
      <w:r>
        <w:rPr>
          <w:i/>
          <w:iCs/>
        </w:rPr>
        <w:t xml:space="preserve"> Marasco</w:t>
      </w:r>
      <w:r>
        <w:t>, 318 F.3d at 518 (exigent circumstances exist “if the safety of either law enforcement or the general public is threatened”).</w:t>
      </w:r>
    </w:p>
  </w:footnote>
  <w:footnote w:id="236">
    <w:p w:rsidR="00721160" w:rsidRDefault="00721160">
      <w:pPr>
        <w:spacing w:after="240"/>
        <w:ind w:firstLine="720"/>
      </w:pPr>
      <w:r>
        <w:rPr>
          <w:rStyle w:val="FootnoteReference"/>
          <w:vertAlign w:val="superscript"/>
        </w:rPr>
        <w:footnoteRef/>
      </w:r>
      <w:r>
        <w:t xml:space="preserve">  A modified version of this instruction could be used with respect to search warrants. </w:t>
      </w:r>
      <w:r w:rsidRPr="00812EC9">
        <w:t xml:space="preserve">For an opinion applying the </w:t>
      </w:r>
      <w:r w:rsidRPr="00812EC9">
        <w:rPr>
          <w:i/>
        </w:rPr>
        <w:t>Franks</w:t>
      </w:r>
      <w:r w:rsidRPr="00812EC9">
        <w:t xml:space="preserve"> test in the context of a search warrant application, see </w:t>
      </w:r>
      <w:r w:rsidRPr="00812EC9">
        <w:rPr>
          <w:i/>
        </w:rPr>
        <w:t>United States v. Pavulak</w:t>
      </w:r>
      <w:r w:rsidRPr="00812EC9">
        <w:t>, 700 F.3d 651 (3d Cir. 2012)</w:t>
      </w:r>
      <w:r>
        <w:t xml:space="preserve">. </w:t>
      </w:r>
      <w:r w:rsidRPr="00812EC9">
        <w:t xml:space="preserve">In </w:t>
      </w:r>
      <w:r w:rsidRPr="00812EC9">
        <w:rPr>
          <w:i/>
        </w:rPr>
        <w:t>Pavulak</w:t>
      </w:r>
      <w:r w:rsidRPr="00812EC9">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812EC9">
        <w:rPr>
          <w:i/>
        </w:rPr>
        <w:t>Id.</w:t>
      </w:r>
      <w:r w:rsidRPr="00812EC9">
        <w:t xml:space="preserve"> at 655.  The court then held that the district court properly denied the defendant’s request for a </w:t>
      </w:r>
      <w:r w:rsidRPr="00812EC9">
        <w:rPr>
          <w:i/>
        </w:rPr>
        <w:t>Franks</w:t>
      </w:r>
      <w:r w:rsidRPr="00812EC9">
        <w:t xml:space="preserve"> hearing.  </w:t>
      </w:r>
      <w:r w:rsidRPr="00812EC9">
        <w:rPr>
          <w:i/>
        </w:rPr>
        <w:t>See id.</w:t>
      </w:r>
      <w:r w:rsidRPr="00812EC9">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7">
    <w:p w:rsidR="00721160" w:rsidRDefault="00721160">
      <w:pPr>
        <w:spacing w:after="240"/>
        <w:ind w:firstLine="720"/>
      </w:pPr>
      <w:r>
        <w:rPr>
          <w:rStyle w:val="FootnoteReference"/>
          <w:vertAlign w:val="superscript"/>
        </w:rPr>
        <w:footnoteRef/>
      </w:r>
      <w:r>
        <w:t xml:space="preserve">  In </w:t>
      </w:r>
      <w:r>
        <w:rPr>
          <w:i/>
          <w:iCs/>
        </w:rPr>
        <w:t>Wilson</w:t>
      </w:r>
      <w:r>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Pr>
          <w:i/>
          <w:iCs/>
        </w:rPr>
        <w:t>See Wilson</w:t>
      </w:r>
      <w:r>
        <w:t>, 212 F.3d at 789 n.6.</w:t>
      </w:r>
    </w:p>
  </w:footnote>
  <w:footnote w:id="238">
    <w:p w:rsidR="00721160" w:rsidRDefault="00721160">
      <w:pPr>
        <w:ind w:firstLine="720"/>
      </w:pPr>
      <w:r>
        <w:rPr>
          <w:rStyle w:val="FootnoteReference"/>
          <w:vertAlign w:val="superscript"/>
        </w:rPr>
        <w:footnoteRef/>
      </w:r>
      <w:r>
        <w:t xml:space="preserve">  The </w:t>
      </w:r>
      <w:r>
        <w:rPr>
          <w:i/>
          <w:iCs/>
        </w:rPr>
        <w:t>Yusuf</w:t>
      </w:r>
      <w:r>
        <w:t xml:space="preserve"> court held that when information provided by a sister government agency under court order turns out to be false,</w:t>
      </w:r>
    </w:p>
    <w:p w:rsidR="00721160" w:rsidRDefault="00721160"/>
    <w:p w:rsidR="00721160" w:rsidRDefault="00721160">
      <w:pPr>
        <w:ind w:left="720" w:right="720"/>
      </w:pPr>
      <w:r>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rsidR="00721160" w:rsidRDefault="00721160"/>
    <w:p w:rsidR="00721160" w:rsidRDefault="00721160">
      <w:pPr>
        <w:spacing w:after="240"/>
      </w:pPr>
      <w:r>
        <w:rPr>
          <w:i/>
          <w:iCs/>
        </w:rPr>
        <w:t>Yusuf</w:t>
      </w:r>
      <w:r>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Pr>
          <w:i/>
          <w:iCs/>
        </w:rPr>
        <w:t>Id.</w:t>
      </w:r>
      <w:r>
        <w:t xml:space="preserve"> at 388.</w:t>
      </w:r>
    </w:p>
  </w:footnote>
  <w:footnote w:id="239">
    <w:p w:rsidR="00721160" w:rsidRDefault="00721160">
      <w:pPr>
        <w:spacing w:after="240"/>
        <w:ind w:firstLine="720"/>
      </w:pPr>
      <w:r>
        <w:rPr>
          <w:rStyle w:val="FootnoteReference"/>
          <w:vertAlign w:val="superscript"/>
        </w:rPr>
        <w:footnoteRef/>
      </w:r>
      <w:r>
        <w:t xml:space="preserve">  In </w:t>
      </w:r>
      <w:r>
        <w:rPr>
          <w:i/>
          <w:iCs/>
        </w:rPr>
        <w:t>Shields</w:t>
      </w:r>
      <w:r>
        <w:t xml:space="preserve">, an undercover FBI agent subscribed to a website in the course of his investigation of online child pornography.  </w:t>
      </w:r>
      <w:r>
        <w:rPr>
          <w:i/>
          <w:iCs/>
        </w:rPr>
        <w:t>See Shields</w:t>
      </w:r>
      <w:r>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Pr>
          <w:i/>
          <w:iCs/>
        </w:rPr>
        <w:t>See id.</w:t>
      </w:r>
      <w:r>
        <w:t xml:space="preserve"> at 271-72.  A second FBI agent incorporated this assertion into an affidavit in support of a search warrant application in connection with his investigation of Shields.  </w:t>
      </w:r>
      <w:r>
        <w:rPr>
          <w:i/>
          <w:iCs/>
        </w:rPr>
        <w:t>See id.</w:t>
      </w:r>
      <w:r>
        <w:t xml:space="preserve"> at 272-73.  It was subsequently discovered that the assertion concerning automatic subscription was false.  </w:t>
      </w:r>
      <w:r>
        <w:rPr>
          <w:i/>
          <w:iCs/>
        </w:rPr>
        <w:t>See id.</w:t>
      </w:r>
      <w:r>
        <w:t xml:space="preserve"> at 274-75.  The </w:t>
      </w:r>
      <w:r>
        <w:rPr>
          <w:i/>
          <w:iCs/>
        </w:rPr>
        <w:t>Shields</w:t>
      </w:r>
      <w:r>
        <w:t xml:space="preserve"> court, however, rejected Shields’ challenge to the warrant, because the court held that the affidavit “even purged of the offending material supports a finding of probable cause,” </w:t>
      </w:r>
      <w:r>
        <w:rPr>
          <w:i/>
          <w:iCs/>
        </w:rPr>
        <w:t>id.</w:t>
      </w:r>
      <w:r>
        <w:t xml:space="preserve"> at 277; thus, </w:t>
      </w:r>
      <w:r>
        <w:rPr>
          <w:i/>
          <w:iCs/>
        </w:rPr>
        <w:t>Shields</w:t>
      </w:r>
      <w:r>
        <w:t>’ discussion of laundering a falsehood through an unwitting affiant is dictum.</w:t>
      </w:r>
    </w:p>
  </w:footnote>
  <w:footnote w:id="240">
    <w:p w:rsidR="00721160" w:rsidRDefault="00721160">
      <w:pPr>
        <w:spacing w:after="240"/>
        <w:ind w:firstLine="720"/>
      </w:pPr>
      <w:r>
        <w:rPr>
          <w:rStyle w:val="FootnoteReference"/>
          <w:vertAlign w:val="superscript"/>
        </w:rPr>
        <w:footnoteRef/>
      </w:r>
      <w:r>
        <w:t xml:space="preserve">  </w:t>
      </w:r>
      <w:r w:rsidRPr="00AC4E13">
        <w:t xml:space="preserve">In </w:t>
      </w:r>
      <w:r w:rsidRPr="00AC4E13">
        <w:rPr>
          <w:i/>
        </w:rPr>
        <w:t>Messerschmidt</w:t>
      </w:r>
      <w:r w:rsidRPr="00AC4E13">
        <w:t xml:space="preserve">, the Court gave weight – in its qualified immunity analysis – to “the fact that the officers sought and obtained approval of the warrant application from a superior and a deputy district attorney before submitting it to the magistrate.”  </w:t>
      </w:r>
      <w:r w:rsidRPr="00AC4E13">
        <w:rPr>
          <w:i/>
        </w:rPr>
        <w:t>Messerschmidt</w:t>
      </w:r>
      <w:r w:rsidRPr="00AC4E13">
        <w:t xml:space="preserve">, 132 S. Ct. at 1249. </w:t>
      </w:r>
      <w:r>
        <w:t xml:space="preserve"> </w:t>
      </w:r>
      <w:r>
        <w:rPr>
          <w:i/>
          <w:iCs/>
        </w:rPr>
        <w:t>Cf.</w:t>
      </w:r>
      <w:r>
        <w:t xml:space="preserve"> </w:t>
      </w:r>
      <w:r>
        <w:rPr>
          <w:i/>
          <w:iCs/>
        </w:rPr>
        <w:t>Kelly v. Borough of Carlisle</w:t>
      </w:r>
      <w:r>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1">
    <w:p w:rsidR="00721160" w:rsidRDefault="00721160">
      <w:pPr>
        <w:spacing w:after="240"/>
        <w:ind w:firstLine="720"/>
      </w:pPr>
      <w:r>
        <w:rPr>
          <w:rStyle w:val="FootnoteReference"/>
          <w:vertAlign w:val="superscript"/>
        </w:rPr>
        <w:footnoteRef/>
      </w:r>
      <w:r>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Pr>
          <w:i/>
          <w:iCs/>
        </w:rPr>
        <w:t>Lippay</w:t>
      </w:r>
      <w:r>
        <w:t>, 996 F.2d at 1504.  For a discussion of related considerations, see Comment 4.7.2.</w:t>
      </w:r>
    </w:p>
  </w:footnote>
  <w:footnote w:id="242">
    <w:p w:rsidR="00721160" w:rsidRDefault="00721160">
      <w:pPr>
        <w:spacing w:after="240"/>
        <w:ind w:firstLine="720"/>
      </w:pPr>
      <w:r>
        <w:rPr>
          <w:rStyle w:val="FootnoteReference"/>
          <w:vertAlign w:val="superscript"/>
        </w:rPr>
        <w:footnoteRef/>
      </w:r>
      <w:r>
        <w:t xml:space="preserve">  An additional Court of Appeals decision, though, seemed to rely on a magistrate’s review of a warrant application as evidence that the officer did not err in seeking the warrant:  In </w:t>
      </w:r>
      <w:r>
        <w:rPr>
          <w:i/>
          <w:iCs/>
        </w:rPr>
        <w:t>Sands v. McCormick</w:t>
      </w:r>
      <w:r>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Pr>
          <w:i/>
          <w:iCs/>
        </w:rPr>
        <w:t>See id</w:t>
      </w:r>
      <w:r>
        <w:t>. at 269-70.</w:t>
      </w:r>
    </w:p>
  </w:footnote>
  <w:footnote w:id="243">
    <w:p w:rsidR="00721160" w:rsidRDefault="00721160">
      <w:pPr>
        <w:spacing w:after="240"/>
        <w:ind w:firstLine="720"/>
      </w:pPr>
      <w:r>
        <w:rPr>
          <w:rStyle w:val="FootnoteReference"/>
          <w:vertAlign w:val="superscript"/>
        </w:rPr>
        <w:footnoteRef/>
      </w:r>
      <w:r>
        <w:t xml:space="preserve">  See Comment for a discussion of the burden of proof with respect to this element.</w:t>
      </w:r>
    </w:p>
  </w:footnote>
  <w:footnote w:id="244">
    <w:p w:rsidR="00721160" w:rsidRDefault="00721160">
      <w:pPr>
        <w:spacing w:after="240"/>
        <w:ind w:firstLine="720"/>
      </w:pPr>
      <w:r>
        <w:rPr>
          <w:rStyle w:val="FootnoteReference"/>
          <w:vertAlign w:val="superscript"/>
        </w:rPr>
        <w:footnoteRef/>
      </w:r>
      <w:r>
        <w:t xml:space="preserve">  If this element of the claim is disputed, the court may wish to give examples of deprivations of liberty that would rise to the level of a seizure.  </w:t>
      </w:r>
      <w:r>
        <w:rPr>
          <w:i/>
          <w:iCs/>
        </w:rPr>
        <w:t>See</w:t>
      </w:r>
      <w:r>
        <w:t xml:space="preserve"> Comment (discussing </w:t>
      </w:r>
      <w:r>
        <w:rPr>
          <w:i/>
          <w:iCs/>
        </w:rPr>
        <w:t>Gallo v. City of Philadelphia</w:t>
      </w:r>
      <w:r>
        <w:t xml:space="preserve">, 161 F.3d 217 (3d Cir. 1998), and </w:t>
      </w:r>
      <w:r>
        <w:rPr>
          <w:i/>
          <w:iCs/>
        </w:rPr>
        <w:t>DiBella v. Borough of Beachwood</w:t>
      </w:r>
      <w:r>
        <w:t>, 407 F.3d 599 (3d Cir. 2005) ).</w:t>
      </w:r>
    </w:p>
  </w:footnote>
  <w:footnote w:id="245">
    <w:p w:rsidR="00721160" w:rsidRDefault="00721160">
      <w:pPr>
        <w:spacing w:after="240"/>
        <w:ind w:firstLine="720"/>
      </w:pPr>
      <w:r>
        <w:rPr>
          <w:rStyle w:val="FootnoteReference"/>
          <w:vertAlign w:val="superscript"/>
        </w:rPr>
        <w:footnoteRef/>
      </w:r>
      <w:r>
        <w:t xml:space="preserve">  The defendant’s initiation of the proceeding will often be undisputed.  If possible, the court should rule as a matter of law on the questions of favorable termination and of seizure.</w:t>
      </w:r>
    </w:p>
  </w:footnote>
  <w:footnote w:id="246">
    <w:p w:rsidR="00721160" w:rsidRDefault="00721160">
      <w:pPr>
        <w:spacing w:after="240"/>
        <w:ind w:firstLine="720"/>
      </w:pPr>
      <w:r>
        <w:rPr>
          <w:rStyle w:val="FootnoteReference"/>
          <w:vertAlign w:val="superscript"/>
        </w:rPr>
        <w:footnoteRef/>
      </w:r>
      <w:r>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Pr>
          <w:i/>
          <w:iCs/>
        </w:rPr>
        <w:t>See Albright</w:t>
      </w:r>
      <w:r>
        <w:t xml:space="preserve">, 510 U.S. at 275-76 (Scalia, J., concurring).  Justice Ginsburg also concurred in the plurality opinion.  </w:t>
      </w:r>
      <w:r>
        <w:rPr>
          <w:i/>
          <w:iCs/>
        </w:rPr>
        <w:t>See id.</w:t>
      </w:r>
      <w:r>
        <w:t xml:space="preserve"> at 276 (Ginsburg, J., concurring).</w:t>
      </w:r>
    </w:p>
  </w:footnote>
  <w:footnote w:id="247">
    <w:p w:rsidR="00721160" w:rsidRDefault="00721160">
      <w:pPr>
        <w:spacing w:after="240"/>
        <w:ind w:firstLine="720"/>
      </w:pPr>
      <w:r>
        <w:rPr>
          <w:rStyle w:val="FootnoteReference"/>
          <w:vertAlign w:val="superscript"/>
        </w:rPr>
        <w:footnoteRef/>
      </w:r>
      <w:r>
        <w:t xml:space="preserve">  A plaintiff can state a claim by alleging that the defendant initiated the malicious prosecution in retaliation for the plaintiff’s exercise of First Amendment rights.  </w:t>
      </w:r>
      <w:r>
        <w:rPr>
          <w:i/>
          <w:iCs/>
        </w:rPr>
        <w:t>See Merkle v. Upper Dublin School Dist.</w:t>
      </w:r>
      <w:r>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Pr>
          <w:i/>
          <w:iCs/>
        </w:rPr>
        <w:t>see also Losch v. Borough of Parkesburg</w:t>
      </w:r>
      <w:r>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Pr>
          <w:i/>
          <w:iCs/>
        </w:rPr>
        <w:t xml:space="preserve">  See Hartman v. Moore</w:t>
      </w:r>
      <w:r>
        <w:t>, 126 S. Ct. 1695, 1707 (2006).</w:t>
      </w:r>
    </w:p>
  </w:footnote>
  <w:footnote w:id="248">
    <w:p w:rsidR="00721160" w:rsidRDefault="00721160">
      <w:pPr>
        <w:spacing w:after="240"/>
        <w:ind w:firstLine="720"/>
      </w:pPr>
      <w:r>
        <w:rPr>
          <w:rStyle w:val="FootnoteReference"/>
          <w:vertAlign w:val="superscript"/>
        </w:rPr>
        <w:footnoteRef/>
      </w:r>
      <w:r>
        <w:t xml:space="preserve">  “Although Fourth Amendment seizure principles may in some circumstances have implications in the period between arrest and trial, . . . posttrial incarceration does not qualify as a Fourth Amendment seizure.”  </w:t>
      </w:r>
      <w:r>
        <w:rPr>
          <w:i/>
          <w:iCs/>
        </w:rPr>
        <w:t>Torres</w:t>
      </w:r>
      <w:r>
        <w:t>, 163 F.3d at 174.</w:t>
      </w:r>
    </w:p>
  </w:footnote>
  <w:footnote w:id="249">
    <w:p w:rsidR="00721160" w:rsidRDefault="00721160">
      <w:pPr>
        <w:spacing w:after="240"/>
        <w:ind w:firstLine="720"/>
      </w:pPr>
      <w:r>
        <w:rPr>
          <w:rStyle w:val="FootnoteReference"/>
          <w:vertAlign w:val="superscript"/>
        </w:rPr>
        <w:footnoteRef/>
      </w:r>
      <w:r>
        <w:t xml:space="preserve">  The </w:t>
      </w:r>
      <w:r>
        <w:rPr>
          <w:i/>
          <w:iCs/>
        </w:rPr>
        <w:t>Smith</w:t>
      </w:r>
      <w:r>
        <w:t xml:space="preserve"> court also stated that “[a]ctual innocence is not required for a common law favorable termination.”  </w:t>
      </w:r>
      <w:r>
        <w:rPr>
          <w:i/>
          <w:iCs/>
        </w:rPr>
        <w:t>Smith</w:t>
      </w:r>
      <w:r>
        <w:t>, 87 F.3d at 113 (citing Restatement of the Law of Torts §§ 659, 660 (1938)).</w:t>
      </w:r>
    </w:p>
  </w:footnote>
  <w:footnote w:id="250">
    <w:p w:rsidR="00721160" w:rsidRDefault="00721160">
      <w:pPr>
        <w:ind w:firstLine="720"/>
      </w:pPr>
      <w:r>
        <w:rPr>
          <w:rStyle w:val="FootnoteReference"/>
          <w:vertAlign w:val="superscript"/>
        </w:rPr>
        <w:footnoteRef/>
      </w:r>
      <w:r>
        <w:t xml:space="preserve">  The Court of Appeals applied the common-law elements in </w:t>
      </w:r>
      <w:r>
        <w:rPr>
          <w:i/>
          <w:iCs/>
        </w:rPr>
        <w:t>Hilfirty v. Shipman</w:t>
      </w:r>
      <w:r>
        <w:t xml:space="preserve">, 91 F.3d 573, 579 (3d Cir. 1996) (“In order to state a prima facie case for a section 1983 claim of malicious prosecution, the plaintiff must establish the elements of the common law tort as it has developed over time.”).   However, the </w:t>
      </w:r>
      <w:r>
        <w:rPr>
          <w:i/>
          <w:iCs/>
        </w:rPr>
        <w:t>Hilfirty</w:t>
      </w:r>
      <w:r>
        <w:t xml:space="preserve"> court did not mention </w:t>
      </w:r>
      <w:r>
        <w:rPr>
          <w:i/>
          <w:iCs/>
        </w:rPr>
        <w:t>Albright</w:t>
      </w:r>
      <w:r>
        <w:t xml:space="preserve">, so </w:t>
      </w:r>
      <w:r>
        <w:rPr>
          <w:i/>
          <w:iCs/>
        </w:rPr>
        <w:t>Hilfirty</w:t>
      </w:r>
      <w:r>
        <w:t xml:space="preserve"> does not shed light on the test that should apply post-</w:t>
      </w:r>
      <w:r>
        <w:rPr>
          <w:i/>
          <w:iCs/>
        </w:rPr>
        <w:t>Albright</w:t>
      </w:r>
      <w:r>
        <w:t xml:space="preserve">.  </w:t>
      </w:r>
      <w:r>
        <w:rPr>
          <w:i/>
          <w:iCs/>
        </w:rPr>
        <w:t>But see Nawrocki v. Tp. of Coolbaugh</w:t>
      </w:r>
      <w:r>
        <w:t xml:space="preserve">, 34 Fed. Appx. 832, 837 (3d Cir. April 8, 2002) (nonprecedential opinion) (citing </w:t>
      </w:r>
      <w:r>
        <w:rPr>
          <w:i/>
          <w:iCs/>
        </w:rPr>
        <w:t>Hilfirty</w:t>
      </w:r>
      <w:r>
        <w:t xml:space="preserve"> for the proposition that “</w:t>
      </w:r>
      <w:r>
        <w:rPr>
          <w:i/>
          <w:iCs/>
        </w:rPr>
        <w:t>Albright</w:t>
      </w:r>
      <w:r>
        <w:t xml:space="preserve"> left standing” the requirement that Section 1983 plaintiffs establish the common-law elements).</w:t>
      </w:r>
    </w:p>
    <w:p w:rsidR="00721160" w:rsidRDefault="00721160">
      <w:pPr>
        <w:spacing w:after="240"/>
        <w:ind w:firstLine="720"/>
      </w:pPr>
      <w:r>
        <w:t xml:space="preserve">In </w:t>
      </w:r>
      <w:r>
        <w:rPr>
          <w:i/>
          <w:iCs/>
        </w:rPr>
        <w:t>Merkle v. Upper Dublin School Dist.</w:t>
      </w:r>
      <w:r>
        <w:t xml:space="preserve">, the Court of Appeals held that the district court had erred in failing to require proof of a Bill of Rights violation, but the </w:t>
      </w:r>
      <w:r>
        <w:rPr>
          <w:i/>
          <w:iCs/>
        </w:rPr>
        <w:t>Merkle</w:t>
      </w:r>
      <w:r>
        <w:t xml:space="preserve"> majority did not appear to take issue with the district court’s assumption that the plaintiff must establish the common law malicious prosecution elements.  </w:t>
      </w:r>
      <w:r>
        <w:rPr>
          <w:i/>
          <w:iCs/>
        </w:rPr>
        <w:t>See Merkle</w:t>
      </w:r>
      <w:r>
        <w:t xml:space="preserve">, 211 F.3d at 792; </w:t>
      </w:r>
      <w:r>
        <w:rPr>
          <w:i/>
          <w:iCs/>
        </w:rPr>
        <w:t xml:space="preserve">see also id. </w:t>
      </w:r>
      <w:r>
        <w:t xml:space="preserve">at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Pr>
          <w:i/>
          <w:iCs/>
        </w:rPr>
        <w:t>See Merkle</w:t>
      </w:r>
      <w:r>
        <w:t>, 211 F.3d at 791, 795-96.</w:t>
      </w:r>
    </w:p>
  </w:footnote>
  <w:footnote w:id="251">
    <w:p w:rsidR="00721160" w:rsidRDefault="00721160">
      <w:pPr>
        <w:spacing w:after="240"/>
        <w:ind w:firstLine="720"/>
      </w:pPr>
      <w:r>
        <w:rPr>
          <w:rStyle w:val="FootnoteReference"/>
          <w:vertAlign w:val="superscript"/>
        </w:rPr>
        <w:footnoteRef/>
      </w:r>
      <w:r>
        <w:t xml:space="preserve">  In a nonprecedential opinion, the Court of Appeals has questioned </w:t>
      </w:r>
      <w:r>
        <w:rPr>
          <w:i/>
          <w:iCs/>
        </w:rPr>
        <w:t>Marasco</w:t>
      </w:r>
      <w:r>
        <w:t>’s statement:  “Given that the twenty</w:t>
      </w:r>
      <w:r>
        <w:noBreakHyphen/>
        <w:t xml:space="preserve">three page opinion in </w:t>
      </w:r>
      <w:r>
        <w:rPr>
          <w:i/>
          <w:iCs/>
        </w:rPr>
        <w:t>Marasco</w:t>
      </w:r>
      <w:r>
        <w:t xml:space="preserve"> contains but a one</w:t>
      </w:r>
      <w:r>
        <w:noBreakHyphen/>
        <w:t xml:space="preserve">paragraph discussion of the plaintiff's claim under § 1983, our quote may merely be </w:t>
      </w:r>
      <w:r>
        <w:rPr>
          <w:i/>
          <w:iCs/>
        </w:rPr>
        <w:t>dictum</w:t>
      </w:r>
      <w:r>
        <w:t xml:space="preserve">, still leaving uncertain what is required.”  </w:t>
      </w:r>
      <w:r>
        <w:rPr>
          <w:i/>
          <w:iCs/>
        </w:rPr>
        <w:t>Backof v. New Jersey State Police</w:t>
      </w:r>
      <w:r>
        <w:t xml:space="preserve">, 92 Fed. Appx. 852, 858 (3d Cir. Feb. 13, 2004).  However, as to the lack-of-probable-cause requirement, </w:t>
      </w:r>
      <w:r>
        <w:rPr>
          <w:i/>
          <w:iCs/>
        </w:rPr>
        <w:t>Marasco</w:t>
      </w:r>
      <w:r>
        <w:t xml:space="preserve">’s statement is a holding.  </w:t>
      </w:r>
      <w:r>
        <w:rPr>
          <w:i/>
          <w:iCs/>
        </w:rPr>
        <w:t>See Marasco</w:t>
      </w:r>
      <w:r>
        <w:t xml:space="preserve">, 318 F.3d at 522 (“Because initiation of the proceeding without probable cause is an essential element of a malicious prosecution claim, summary judgment in favor of the defendants was appropriate on this claim.”).  </w:t>
      </w:r>
      <w:r>
        <w:rPr>
          <w:i/>
          <w:iCs/>
        </w:rPr>
        <w:t>Camiolo</w:t>
      </w:r>
      <w:r>
        <w:t xml:space="preserve">’s holding, as well, concerned the lack-of-probable-cause element.  </w:t>
      </w:r>
      <w:r>
        <w:rPr>
          <w:i/>
          <w:iCs/>
        </w:rPr>
        <w:t>See Camiolo</w:t>
      </w:r>
      <w:r>
        <w:t>, 334 F.3d at 363 (“Because Camiolo did not demonstrate that he was prosecuted without probable cause, the District Court appropriately concluded that his § 1983 malicious prosecution claim could not survive summary judgment.”).</w:t>
      </w:r>
    </w:p>
  </w:footnote>
  <w:footnote w:id="252">
    <w:p w:rsidR="00721160" w:rsidRDefault="00721160">
      <w:pPr>
        <w:spacing w:after="240"/>
        <w:ind w:firstLine="720"/>
      </w:pPr>
      <w:r>
        <w:rPr>
          <w:rStyle w:val="FootnoteReference"/>
          <w:vertAlign w:val="superscript"/>
        </w:rPr>
        <w:footnoteRef/>
      </w:r>
      <w:r>
        <w:t xml:space="preserve">  The relevant claim in </w:t>
      </w:r>
      <w:r>
        <w:rPr>
          <w:i/>
          <w:iCs/>
        </w:rPr>
        <w:t>Gilles</w:t>
      </w:r>
      <w:r>
        <w:t xml:space="preserve"> asserted a First Amendment violation and did not sound in malicious prosecution, </w:t>
      </w:r>
      <w:r>
        <w:rPr>
          <w:i/>
          <w:iCs/>
        </w:rPr>
        <w:t>see Gilles</w:t>
      </w:r>
      <w:r>
        <w:t xml:space="preserve">, 427 F.3d at 203, but the Court of Appeals found </w:t>
      </w:r>
      <w:r>
        <w:rPr>
          <w:i/>
          <w:iCs/>
        </w:rPr>
        <w:t>Heck</w:t>
      </w:r>
      <w:r>
        <w:t xml:space="preserve">’s reasoning “equally applicable” to the First Amendment claim and thus applied </w:t>
      </w:r>
      <w:r>
        <w:rPr>
          <w:i/>
          <w:iCs/>
        </w:rPr>
        <w:t>Heck</w:t>
      </w:r>
      <w:r>
        <w:t xml:space="preserve">’s favorable-termination requirement, </w:t>
      </w:r>
      <w:r>
        <w:rPr>
          <w:i/>
          <w:iCs/>
        </w:rPr>
        <w:t xml:space="preserve">id. </w:t>
      </w:r>
      <w:r>
        <w:t>at 209.</w:t>
      </w:r>
    </w:p>
  </w:footnote>
  <w:footnote w:id="253">
    <w:p w:rsidR="00721160" w:rsidRDefault="00721160">
      <w:pPr>
        <w:ind w:firstLine="720"/>
      </w:pPr>
      <w:r>
        <w:rPr>
          <w:rStyle w:val="FootnoteReference"/>
          <w:vertAlign w:val="superscript"/>
        </w:rPr>
        <w:footnoteRef/>
      </w:r>
      <w:r>
        <w:t xml:space="preserve">  In </w:t>
      </w:r>
      <w:r>
        <w:rPr>
          <w:i/>
          <w:iCs/>
        </w:rPr>
        <w:t>Startzell v. City of Philadelphia</w:t>
      </w:r>
      <w:r>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Pr>
          <w:i/>
          <w:iCs/>
        </w:rPr>
        <w:t>Cf. Johnson</w:t>
      </w:r>
      <w:r>
        <w:t>, 477 F.3d at 82 n. 9, 84</w:t>
      </w:r>
      <w:r>
        <w:noBreakHyphen/>
        <w:t xml:space="preserve">85 (applying this rule to malicious prosecution claim only where the circumstances leading to the arrest and prosecution are intertwined).”  </w:t>
      </w:r>
      <w:r>
        <w:rPr>
          <w:i/>
          <w:iCs/>
        </w:rPr>
        <w:t>Startzell</w:t>
      </w:r>
      <w:r>
        <w:t xml:space="preserve">, 533 F.3d at 204 n.14.  </w:t>
      </w:r>
      <w:r>
        <w:rPr>
          <w:i/>
          <w:iCs/>
        </w:rPr>
        <w:t>See also Reedy v. Evanson</w:t>
      </w:r>
      <w:r>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Pr>
          <w:i/>
          <w:iCs/>
        </w:rPr>
        <w:t>Barna v. City of Perth Amboy</w:t>
      </w:r>
      <w:r>
        <w:t>, 42 F.3d 809, 819 (3d Cir. 1994))).</w:t>
      </w:r>
    </w:p>
    <w:p w:rsidR="00721160" w:rsidRDefault="00721160"/>
    <w:p w:rsidR="00721160" w:rsidRDefault="00721160">
      <w:pPr>
        <w:ind w:firstLine="720"/>
      </w:pPr>
      <w:r>
        <w:t xml:space="preserve">In </w:t>
      </w:r>
      <w:r>
        <w:rPr>
          <w:i/>
          <w:iCs/>
        </w:rPr>
        <w:t>Pitts v. Delaware</w:t>
      </w:r>
      <w:r>
        <w:t xml:space="preserve">, 646 F.3d 151 (3d Cir. 2011), the jury found for the plaintiff on his claims of race discrimination and illegal seizure but found for the defendant on the plaintiff’s claims for false arrest and malicious prosecution, </w:t>
      </w:r>
      <w:r>
        <w:rPr>
          <w:i/>
          <w:iCs/>
        </w:rPr>
        <w:t xml:space="preserve">see id. </w:t>
      </w:r>
      <w:r>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rsidR="00721160" w:rsidRDefault="00721160"/>
    <w:p w:rsidR="00721160" w:rsidRDefault="00721160">
      <w:pPr>
        <w:ind w:left="720"/>
      </w:pPr>
      <w:r>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rsidR="00721160" w:rsidRDefault="00721160"/>
    <w:p w:rsidR="00721160" w:rsidRDefault="00721160">
      <w:pPr>
        <w:spacing w:after="240"/>
      </w:pPr>
      <w:r>
        <w:rPr>
          <w:i/>
          <w:iCs/>
        </w:rPr>
        <w:t>Pitts</w:t>
      </w:r>
      <w:r>
        <w:t>, 646 F.3d at 158 n.4.</w:t>
      </w:r>
    </w:p>
  </w:footnote>
  <w:footnote w:id="254">
    <w:p w:rsidR="00721160" w:rsidRDefault="00721160">
      <w:pPr>
        <w:ind w:firstLine="720"/>
      </w:pPr>
      <w:r>
        <w:rPr>
          <w:rStyle w:val="FootnoteReference"/>
          <w:vertAlign w:val="superscript"/>
        </w:rPr>
        <w:footnoteRef/>
      </w:r>
      <w:r>
        <w:t xml:space="preserve">  The defendant might also argue that a grand jury indictment breaks the chain of causation.  The Court of Appeals has explained the concept of superseding causes:</w:t>
      </w:r>
    </w:p>
    <w:p w:rsidR="00721160" w:rsidRDefault="00721160"/>
    <w:p w:rsidR="00721160" w:rsidRDefault="00721160">
      <w:pPr>
        <w:ind w:left="720" w:right="720"/>
      </w:pPr>
      <w:r>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Pr>
          <w:i/>
          <w:iCs/>
        </w:rPr>
        <w:t>Bivens</w:t>
      </w:r>
      <w:r>
        <w:t xml:space="preserve"> liability.</w:t>
      </w:r>
    </w:p>
    <w:p w:rsidR="00721160" w:rsidRDefault="00721160"/>
    <w:p w:rsidR="00721160" w:rsidRPr="008F1869" w:rsidRDefault="00721160" w:rsidP="008F1869">
      <w:pPr>
        <w:spacing w:after="240"/>
      </w:pPr>
      <w:r>
        <w:rPr>
          <w:i/>
          <w:iCs/>
        </w:rPr>
        <w:t>Egervary v. Young</w:t>
      </w:r>
      <w:r>
        <w:t xml:space="preserve">, 366 F.3d 238, 250-51 (3d Cir. 2004).  Though </w:t>
      </w:r>
      <w:r>
        <w:rPr>
          <w:i/>
          <w:iCs/>
        </w:rPr>
        <w:t>Egervary</w:t>
      </w:r>
      <w:r>
        <w:t xml:space="preserve"> involved a judge’s decision, rather than a grand jury’s, the rationale of </w:t>
      </w:r>
      <w:r>
        <w:rPr>
          <w:i/>
          <w:iCs/>
        </w:rPr>
        <w:t>Egervary</w:t>
      </w:r>
      <w:r>
        <w:t xml:space="preserve"> seems equally applicable to the grand jury context.  (For a discussion of the possibility that Supreme Court precedents may limit the application of the superseding cause principle with respect to the issuance of warrants, see </w:t>
      </w:r>
      <w:r>
        <w:rPr>
          <w:i/>
          <w:iCs/>
        </w:rPr>
        <w:t>supra</w:t>
      </w:r>
      <w:r>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8F1869">
        <w:rPr>
          <w:i/>
        </w:rPr>
        <w:t>See also</w:t>
      </w:r>
      <w:r w:rsidRPr="008F1869">
        <w:t xml:space="preserve"> </w:t>
      </w:r>
      <w:r w:rsidRPr="008F1869">
        <w:rPr>
          <w:i/>
        </w:rPr>
        <w:t>Halsey v. Pfeiffer</w:t>
      </w:r>
      <w:r w:rsidRPr="008F1869">
        <w:t>, 750 F.3d 273 (3d Cir. 2014) (holding that a prosecutor’s decision to charge did not necessarily break the causal chain because a reasonable jury could find that the prosecutor would not have filed charges in the absence of evidence fabricated by police officers).</w:t>
      </w:r>
    </w:p>
    <w:p w:rsidR="00721160" w:rsidRDefault="00721160">
      <w:pPr>
        <w:spacing w:after="240"/>
      </w:pPr>
    </w:p>
  </w:footnote>
  <w:footnote w:id="255">
    <w:p w:rsidR="00721160" w:rsidRDefault="00721160">
      <w:pPr>
        <w:spacing w:after="240"/>
        <w:ind w:firstLine="720"/>
      </w:pPr>
      <w:r>
        <w:rPr>
          <w:rStyle w:val="FootnoteReference"/>
          <w:vertAlign w:val="superscript"/>
        </w:rPr>
        <w:footnoteRef/>
      </w:r>
      <w:r>
        <w:t xml:space="preserve">  Admittedly, both </w:t>
      </w:r>
      <w:r>
        <w:rPr>
          <w:i/>
          <w:iCs/>
        </w:rPr>
        <w:t>Marasco</w:t>
      </w:r>
      <w:r>
        <w:t xml:space="preserve"> and </w:t>
      </w:r>
      <w:r>
        <w:rPr>
          <w:i/>
          <w:iCs/>
        </w:rPr>
        <w:t>Camiolo</w:t>
      </w:r>
      <w:r>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Pr>
          <w:i/>
          <w:iCs/>
        </w:rPr>
        <w:t>McKenna v. City of Philadelphia</w:t>
      </w:r>
      <w:r>
        <w:t>, 582 F.3d 447, 461-62 (3d Cir. 2009).</w:t>
      </w:r>
    </w:p>
  </w:footnote>
  <w:footnote w:id="256">
    <w:p w:rsidR="00721160" w:rsidRDefault="00721160">
      <w:pPr>
        <w:spacing w:after="240"/>
        <w:ind w:firstLine="720"/>
      </w:pPr>
      <w:r>
        <w:rPr>
          <w:rStyle w:val="FootnoteReference"/>
          <w:vertAlign w:val="superscript"/>
        </w:rPr>
        <w:footnoteRef/>
      </w:r>
      <w:r>
        <w:t xml:space="preserve">  The Court of Appeals has indicated that the </w:t>
      </w:r>
      <w:r>
        <w:rPr>
          <w:i/>
          <w:iCs/>
        </w:rPr>
        <w:t>Heck</w:t>
      </w:r>
      <w:r>
        <w:t xml:space="preserve"> bar is conceptually distinct from the favorable</w:t>
      </w:r>
      <w:r>
        <w:noBreakHyphen/>
        <w:t xml:space="preserve">termination element of a Section 1983 claim.  </w:t>
      </w:r>
      <w:r>
        <w:rPr>
          <w:i/>
          <w:iCs/>
        </w:rPr>
        <w:t>See Kossler</w:t>
      </w:r>
      <w:r>
        <w:t xml:space="preserve">, 564 F.3d at 190 n.6 (stating that the court did “not need to apply </w:t>
      </w:r>
      <w:r>
        <w:rPr>
          <w:i/>
          <w:iCs/>
        </w:rPr>
        <w:t>Heck</w:t>
      </w:r>
      <w:r>
        <w:t>'s test in the present case” because the plaintiff had in any event failed to establish the common law element of favorable termination).</w:t>
      </w:r>
    </w:p>
  </w:footnote>
  <w:footnote w:id="257">
    <w:p w:rsidR="00721160" w:rsidRDefault="00721160">
      <w:pPr>
        <w:ind w:firstLine="720"/>
      </w:pPr>
      <w:r>
        <w:rPr>
          <w:rStyle w:val="FootnoteReference"/>
          <w:vertAlign w:val="superscript"/>
        </w:rPr>
        <w:footnoteRef/>
      </w:r>
      <w:r>
        <w:t xml:space="preserve">  </w:t>
      </w:r>
      <w:r>
        <w:rPr>
          <w:i/>
          <w:iCs/>
        </w:rPr>
        <w:t>See also Skinner v. Switzer</w:t>
      </w:r>
      <w:r>
        <w:t xml:space="preserve">, 131 S. Ct. 1289, 1298 (2011) (holding that plaintiff inmate could pursue claim for DNA testing under Section 1983 because success in that suit “would not ‘necessarily imply’ the invalidity of his conviction”); </w:t>
      </w:r>
      <w:r w:rsidRPr="00B469F3">
        <w:rPr>
          <w:i/>
        </w:rPr>
        <w:t>Long v. Atlantic City Police Dep’t</w:t>
      </w:r>
      <w:r w:rsidRPr="000578AD">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881089">
        <w:rPr>
          <w:i/>
        </w:rPr>
        <w:t>Heck</w:t>
      </w:r>
      <w:r w:rsidRPr="000578AD">
        <w:t>”)</w:t>
      </w:r>
      <w:r>
        <w:t>;</w:t>
      </w:r>
      <w:r>
        <w:rPr>
          <w:i/>
          <w:iCs/>
        </w:rPr>
        <w:t xml:space="preserve"> Leamer v. Fauver</w:t>
      </w:r>
      <w:r>
        <w:t xml:space="preserve">, 288 F.3d 532, 542 (3d Cir. 2002) (“[W]henever the challenge ultimately attacks the 'core of habeas' </w:t>
      </w:r>
      <w:r>
        <w:noBreakHyphen/>
      </w:r>
      <w:r>
        <w:noBreakHyphen/>
        <w:t>the validity of the continued conviction or the fact or length of the sentence</w:t>
      </w:r>
      <w:r>
        <w:noBreakHyphen/>
      </w:r>
      <w:r>
        <w:noBreakHyphen/>
        <w:t xml:space="preserve">a challenge, however denominated and regardless of the relief sought, must be brought by way of a habeas corpus petition.”); </w:t>
      </w:r>
      <w:r>
        <w:rPr>
          <w:i/>
          <w:iCs/>
        </w:rPr>
        <w:t>Torres v. Fauver</w:t>
      </w:r>
      <w:r>
        <w:t xml:space="preserve">, 292 F.3d 141, 143 (3d Cir. 2002) (“[T]he favorable termination rule does not apply to claims that implicate only the conditions, and not the fact or duration, of a prisoner's incarceration.”); </w:t>
      </w:r>
      <w:r>
        <w:rPr>
          <w:i/>
          <w:iCs/>
        </w:rPr>
        <w:t>McGee v. Martinez</w:t>
      </w:r>
      <w:r>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rsidR="00721160" w:rsidRDefault="00721160"/>
    <w:p w:rsidR="00721160" w:rsidRDefault="00721160">
      <w:pPr>
        <w:spacing w:after="240"/>
        <w:ind w:firstLine="720"/>
      </w:pPr>
      <w:r>
        <w:t xml:space="preserve">The Third Circuit had previously reasoned that the </w:t>
      </w:r>
      <w:r>
        <w:rPr>
          <w:i/>
          <w:iCs/>
        </w:rPr>
        <w:t>Heck</w:t>
      </w:r>
      <w:r>
        <w:t xml:space="preserve"> rationale extends to pending prosecutions:  “[A] claim that, if successful, would necessarily imply the invalidity of a conviction on a pending criminal charge is not cognizable under § 1983.”  </w:t>
      </w:r>
      <w:r>
        <w:rPr>
          <w:i/>
          <w:iCs/>
        </w:rPr>
        <w:t>Smith v. Holtz</w:t>
      </w:r>
      <w:r>
        <w:t xml:space="preserve">, 87 F.3d 108, 113 (3d Cir. 1996).  However, the Supreme Court more recently rejected the assertion “that an action which would impugn </w:t>
      </w:r>
      <w:r>
        <w:rPr>
          <w:i/>
          <w:iCs/>
        </w:rPr>
        <w:t xml:space="preserve">an anticipated future conviction </w:t>
      </w:r>
      <w:r>
        <w:t xml:space="preserve">cannot be brought until that conviction occurs and is set aside.”  </w:t>
      </w:r>
      <w:r>
        <w:rPr>
          <w:i/>
          <w:iCs/>
        </w:rPr>
        <w:t>Wallace v. Kato</w:t>
      </w:r>
      <w:r>
        <w:t xml:space="preserve">, 127 S.Ct. 1091, 1098 (2007).  Under </w:t>
      </w:r>
      <w:r>
        <w:rPr>
          <w:i/>
          <w:iCs/>
        </w:rPr>
        <w:t>Wallace</w:t>
      </w:r>
      <w:r>
        <w:t xml:space="preserve">, prior to the defendant’s actual conviction </w:t>
      </w:r>
      <w:r>
        <w:rPr>
          <w:i/>
          <w:iCs/>
        </w:rPr>
        <w:t>Heck</w:t>
      </w:r>
      <w:r>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Pr>
          <w:i/>
          <w:iCs/>
        </w:rPr>
        <w:t>Heck</w:t>
      </w:r>
      <w:r>
        <w:t xml:space="preserve"> will require dismissal; otherwise, the civil action will proceed, absent some other bar to suit.”  </w:t>
      </w:r>
      <w:r>
        <w:rPr>
          <w:i/>
          <w:iCs/>
        </w:rPr>
        <w:t>Wallace</w:t>
      </w:r>
      <w:r>
        <w:t>, 127 S. Ct. at 1098.</w:t>
      </w:r>
    </w:p>
  </w:footnote>
  <w:footnote w:id="258">
    <w:p w:rsidR="00721160" w:rsidRDefault="00721160">
      <w:pPr>
        <w:spacing w:after="240"/>
        <w:ind w:firstLine="720"/>
      </w:pPr>
      <w:r>
        <w:rPr>
          <w:rStyle w:val="FootnoteReference"/>
          <w:vertAlign w:val="superscript"/>
        </w:rPr>
        <w:footnoteRef/>
      </w:r>
      <w:r>
        <w:t xml:space="preserve">  </w:t>
      </w:r>
      <w:r>
        <w:rPr>
          <w:i/>
          <w:iCs/>
        </w:rPr>
        <w:t>See Spencer v. Kemna</w:t>
      </w:r>
      <w:r>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Pr>
          <w:i/>
          <w:iCs/>
        </w:rPr>
        <w:t>id.</w:t>
      </w:r>
      <w:r>
        <w:t xml:space="preserve"> at 25 n.8 (Stevens, J., dissenting) (“Given the Court's holding that petitioner does not have a remedy under the habeas statute, it is perfectly clear, as Justice SOUTER explains, that he may bring an action under 42 U.S.C. § 1983.”).</w:t>
      </w:r>
    </w:p>
  </w:footnote>
  <w:footnote w:id="259">
    <w:p w:rsidR="00721160" w:rsidRDefault="00721160">
      <w:pPr>
        <w:ind w:firstLine="720"/>
      </w:pPr>
      <w:r>
        <w:rPr>
          <w:rStyle w:val="FootnoteReference"/>
          <w:vertAlign w:val="superscript"/>
        </w:rPr>
        <w:footnoteRef/>
      </w:r>
      <w:r>
        <w:t xml:space="preserve">  The Court of Appeals explained:</w:t>
      </w:r>
    </w:p>
    <w:p w:rsidR="00721160" w:rsidRDefault="00721160"/>
    <w:p w:rsidR="00721160" w:rsidRDefault="00721160">
      <w:pPr>
        <w:ind w:left="720" w:right="720"/>
      </w:pPr>
      <w:r>
        <w:t xml:space="preserve">We recognize that concurring and dissenting opinions in Spencer v. Kemna ... question the applicability of </w:t>
      </w:r>
      <w:r>
        <w:rPr>
          <w:i/>
          <w:iCs/>
        </w:rPr>
        <w:t>Heck</w:t>
      </w:r>
      <w:r>
        <w:t xml:space="preserve"> to an individual, such as Petit, who has no recourse under the habeas statute.... But these opinions do not affect our conclusion that </w:t>
      </w:r>
      <w:r>
        <w:rPr>
          <w:i/>
          <w:iCs/>
        </w:rPr>
        <w:t>Heck</w:t>
      </w:r>
      <w:r>
        <w:t xml:space="preserve"> applies to Petit's claims. We doubt that </w:t>
      </w:r>
      <w:r>
        <w:rPr>
          <w:i/>
          <w:iCs/>
        </w:rPr>
        <w:t>Heck</w:t>
      </w:r>
      <w:r>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Pr>
          <w:i/>
          <w:iCs/>
        </w:rPr>
        <w:t>Figueroa v. Rivera</w:t>
      </w:r>
      <w:r>
        <w:t xml:space="preserve">, 147 F.3d 77, 81 n. 3 (1st Cir. 1998) (citing </w:t>
      </w:r>
      <w:r>
        <w:rPr>
          <w:i/>
          <w:iCs/>
        </w:rPr>
        <w:t>Agostini v. Felton</w:t>
      </w:r>
      <w:r>
        <w:t xml:space="preserve">, 521 U.S. 203, 237 (1997)); </w:t>
      </w:r>
      <w:r>
        <w:rPr>
          <w:i/>
          <w:iCs/>
        </w:rPr>
        <w:t>see Randell v. Johnson</w:t>
      </w:r>
      <w:r>
        <w:t>, 227 F.3d 300, 301</w:t>
      </w:r>
      <w:r>
        <w:noBreakHyphen/>
        <w:t xml:space="preserve"> 02 (5th Cir. 2000).</w:t>
      </w:r>
    </w:p>
    <w:p w:rsidR="00721160" w:rsidRDefault="00721160"/>
    <w:p w:rsidR="00721160" w:rsidRDefault="00721160">
      <w:pPr>
        <w:spacing w:after="240"/>
      </w:pPr>
      <w:r>
        <w:rPr>
          <w:i/>
          <w:iCs/>
        </w:rPr>
        <w:t>Gilles v. Davis</w:t>
      </w:r>
      <w:r>
        <w:t>, 427 F.3d 197, 209-10 (3d Cir. 2005).</w:t>
      </w:r>
    </w:p>
  </w:footnote>
  <w:footnote w:id="260">
    <w:p w:rsidR="00721160" w:rsidRDefault="00721160">
      <w:pPr>
        <w:spacing w:after="240"/>
        <w:ind w:firstLine="720"/>
      </w:pPr>
      <w:r>
        <w:rPr>
          <w:rStyle w:val="FootnoteReference"/>
          <w:vertAlign w:val="superscript"/>
        </w:rPr>
        <w:footnoteRef/>
      </w:r>
      <w:r>
        <w:t xml:space="preserve">  However, in a nonprecedential opinion, the Court of Appeals has read </w:t>
      </w:r>
      <w:r>
        <w:rPr>
          <w:i/>
          <w:iCs/>
        </w:rPr>
        <w:t>Hector</w:t>
      </w:r>
      <w:r>
        <w:t xml:space="preserve"> to assign the burden of proof on this issue to the plaintiff.  </w:t>
      </w:r>
      <w:r>
        <w:rPr>
          <w:i/>
          <w:iCs/>
        </w:rPr>
        <w:t>See Steele v. City of Erie</w:t>
      </w:r>
      <w:r>
        <w:t xml:space="preserve">, 113 Fed. Appx. 456, 459 (3d Cir. Oct. 20, 2004) (“In </w:t>
      </w:r>
      <w:r>
        <w:rPr>
          <w:i/>
          <w:iCs/>
        </w:rPr>
        <w:t>Hector</w:t>
      </w:r>
      <w:r>
        <w:t xml:space="preserve"> . . . , we held that a plaintiff claiming malicious prosecution must prove </w:t>
      </w:r>
      <w:r>
        <w:rPr>
          <w:i/>
          <w:iCs/>
        </w:rPr>
        <w:t>actual</w:t>
      </w:r>
      <w:r>
        <w:t xml:space="preserve"> innocence as an element of his </w:t>
      </w:r>
      <w:r>
        <w:rPr>
          <w:i/>
          <w:iCs/>
        </w:rPr>
        <w:t xml:space="preserve">prima facie </w:t>
      </w:r>
      <w:r>
        <w:t>case.”).</w:t>
      </w:r>
    </w:p>
  </w:footnote>
  <w:footnote w:id="261">
    <w:p w:rsidR="00721160" w:rsidRDefault="00721160">
      <w:pPr>
        <w:spacing w:after="240"/>
        <w:ind w:firstLine="720"/>
      </w:pPr>
      <w:r>
        <w:rPr>
          <w:rStyle w:val="FootnoteReference"/>
          <w:vertAlign w:val="superscript"/>
        </w:rPr>
        <w:footnoteRef/>
      </w:r>
      <w:r>
        <w:t xml:space="preserve">  The abuse of process alleged by the plaintiff in Jennings involved the use of the prosecution as leverage for an extortion scheme.  </w:t>
      </w:r>
      <w:r>
        <w:rPr>
          <w:i/>
          <w:iCs/>
        </w:rPr>
        <w:t>Jennings</w:t>
      </w:r>
      <w:r>
        <w:t>, 567 F.2d at 1220 (“The goal of that conspiracy was extortion, to be accomplished by bringing a prosecution against him without probable cause and for an improper purpose.”).</w:t>
      </w:r>
    </w:p>
  </w:footnote>
  <w:footnote w:id="262">
    <w:p w:rsidR="00721160" w:rsidRDefault="00721160">
      <w:pPr>
        <w:spacing w:after="240"/>
        <w:ind w:firstLine="720"/>
      </w:pPr>
      <w:r>
        <w:rPr>
          <w:rStyle w:val="FootnoteReference"/>
          <w:vertAlign w:val="superscript"/>
        </w:rPr>
        <w:footnoteRef/>
      </w:r>
      <w:r>
        <w:t xml:space="preserve"> Use this phrase if the plaintiff claims harm from a third party.</w:t>
      </w:r>
    </w:p>
  </w:footnote>
  <w:footnote w:id="263">
    <w:p w:rsidR="00721160" w:rsidRDefault="00721160">
      <w:pPr>
        <w:spacing w:after="240"/>
        <w:ind w:firstLine="720"/>
      </w:pPr>
      <w:r>
        <w:rPr>
          <w:rStyle w:val="FootnoteReference"/>
          <w:vertAlign w:val="superscript"/>
        </w:rPr>
        <w:footnoteRef/>
      </w:r>
      <w:r>
        <w:t xml:space="preserve"> Use this phrase if the plaintiff claims harm from a source other than an individual (e.g., from a medical problem).</w:t>
      </w:r>
    </w:p>
  </w:footnote>
  <w:footnote w:id="264">
    <w:p w:rsidR="00721160" w:rsidRDefault="00721160">
      <w:pPr>
        <w:spacing w:after="240"/>
        <w:ind w:firstLine="720"/>
      </w:pPr>
      <w:r>
        <w:rPr>
          <w:rStyle w:val="FootnoteReference"/>
          <w:vertAlign w:val="superscript"/>
        </w:rPr>
        <w:footnoteRef/>
      </w:r>
      <w:r>
        <w:t xml:space="preserve"> Select the appropriate level of culpability.  See Comment for a discussion of this element.</w:t>
      </w:r>
    </w:p>
  </w:footnote>
  <w:footnote w:id="265">
    <w:p w:rsidR="00721160" w:rsidRDefault="00721160">
      <w:pPr>
        <w:spacing w:after="240"/>
        <w:ind w:firstLine="720"/>
      </w:pPr>
      <w:r>
        <w:rPr>
          <w:rStyle w:val="FootnoteReference"/>
          <w:vertAlign w:val="superscript"/>
        </w:rPr>
        <w:footnoteRef/>
      </w:r>
      <w:r>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6">
    <w:p w:rsidR="00721160" w:rsidRDefault="00721160">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67">
    <w:p w:rsidR="00721160" w:rsidRDefault="00721160">
      <w:pPr>
        <w:spacing w:after="240"/>
        <w:ind w:firstLine="720"/>
      </w:pPr>
      <w:r>
        <w:rPr>
          <w:rStyle w:val="FootnoteReference"/>
          <w:vertAlign w:val="superscript"/>
        </w:rPr>
        <w:footnoteRef/>
      </w:r>
      <w:r>
        <w:t xml:space="preserve">  This option is designed for use in cases where the requisite level of culpability is gross negligence or arbitrariness that shocks the conscience.  </w:t>
      </w:r>
      <w:r>
        <w:rPr>
          <w:i/>
          <w:iCs/>
        </w:rPr>
        <w:t>See</w:t>
      </w:r>
      <w:r>
        <w:t xml:space="preserve"> Comment (discussing the explanation of this standard provided in </w:t>
      </w:r>
      <w:r>
        <w:rPr>
          <w:i/>
          <w:iCs/>
        </w:rPr>
        <w:t>Ziccardi v. City of Philadelphia</w:t>
      </w:r>
      <w:r>
        <w:t>, 288 F.3d 57 (3d Cir. 2002)).</w:t>
      </w:r>
    </w:p>
  </w:footnote>
  <w:footnote w:id="268">
    <w:p w:rsidR="00721160" w:rsidRDefault="00721160">
      <w:pPr>
        <w:spacing w:after="240"/>
        <w:ind w:firstLine="720"/>
      </w:pPr>
      <w:r>
        <w:rPr>
          <w:rStyle w:val="FootnoteReference"/>
          <w:vertAlign w:val="superscript"/>
        </w:rPr>
        <w:footnoteRef/>
      </w:r>
      <w:r>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9">
    <w:p w:rsidR="00721160" w:rsidRDefault="00721160">
      <w:pPr>
        <w:spacing w:after="240"/>
        <w:ind w:firstLine="720"/>
      </w:pPr>
      <w:r>
        <w:rPr>
          <w:rStyle w:val="FootnoteReference"/>
          <w:vertAlign w:val="superscript"/>
        </w:rPr>
        <w:footnoteRef/>
      </w:r>
      <w:r>
        <w:t xml:space="preserve">  Citing </w:t>
      </w:r>
      <w:r>
        <w:rPr>
          <w:i/>
          <w:iCs/>
        </w:rPr>
        <w:t>County of Sacramento v. Lewis</w:t>
      </w:r>
      <w:r>
        <w:t xml:space="preserve">, 523 U.S. 833 (1998), the court of appeals held in </w:t>
      </w:r>
      <w:r>
        <w:rPr>
          <w:i/>
          <w:iCs/>
        </w:rPr>
        <w:t>Betts v. New Castle Youth Development Center</w:t>
      </w:r>
      <w:r>
        <w:t xml:space="preserve">, 621 F.3d 249 (3d Cir. 2010), that a plaintiff could not pursue a state-created danger claim based on the same facts as his Eighth Amendment claim, </w:t>
      </w:r>
      <w:r>
        <w:rPr>
          <w:i/>
          <w:iCs/>
        </w:rPr>
        <w:t xml:space="preserve">see id. </w:t>
      </w:r>
      <w:r>
        <w:t>at 260-61 (“Because these allegations fit squarely within the Eighth Amendment's prohibition on cruel and unusual punishment, we hold that the more</w:t>
      </w:r>
      <w:r>
        <w:noBreakHyphen/>
        <w:t>specific</w:t>
      </w:r>
      <w:r>
        <w:noBreakHyphen/>
        <w:t>provision rule forecloses Betts's substantive due process claims”).</w:t>
      </w:r>
    </w:p>
  </w:footnote>
  <w:footnote w:id="270">
    <w:p w:rsidR="00721160" w:rsidRDefault="00721160">
      <w:pPr>
        <w:spacing w:after="240"/>
        <w:ind w:firstLine="720"/>
      </w:pPr>
      <w:r>
        <w:rPr>
          <w:rStyle w:val="FootnoteReference"/>
          <w:vertAlign w:val="superscript"/>
        </w:rPr>
        <w:footnoteRef/>
      </w:r>
      <w:r>
        <w:t xml:space="preserve">  </w:t>
      </w:r>
      <w:r>
        <w:rPr>
          <w:i/>
          <w:iCs/>
        </w:rPr>
        <w:t>See also</w:t>
      </w:r>
      <w:r>
        <w:t xml:space="preserve"> </w:t>
      </w:r>
      <w:r>
        <w:rPr>
          <w:i/>
          <w:iCs/>
        </w:rPr>
        <w:t>Marasco</w:t>
      </w:r>
      <w:r>
        <w:t xml:space="preserve">, 318 F.3d at 507 (noting that </w:t>
      </w:r>
      <w:r>
        <w:rPr>
          <w:i/>
          <w:iCs/>
        </w:rPr>
        <w:t>Miller v. City of Philadelphia</w:t>
      </w:r>
      <w:r>
        <w:t>, 174 F.3d 368, 374</w:t>
      </w:r>
      <w:r>
        <w:noBreakHyphen/>
        <w:t xml:space="preserve">75 (3d Cir.1999) “suggested that the ‘shocks the conscience’ standard [applies] to all substantive due process cases”); </w:t>
      </w:r>
      <w:r>
        <w:rPr>
          <w:i/>
          <w:iCs/>
        </w:rPr>
        <w:t>Schieber v. City of Philadelphia</w:t>
      </w:r>
      <w:r>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Pr>
          <w:i/>
          <w:iCs/>
        </w:rPr>
        <w:t>id.</w:t>
      </w:r>
      <w:r>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Pr>
          <w:i/>
          <w:iCs/>
        </w:rPr>
        <w:t>see also id.</w:t>
      </w:r>
      <w:r>
        <w:t xml:space="preserve"> at 423 (Nygaard, J., concurring) (stating that he did “not disagree with [Judge Stapleton’s] analysis as far as it goes” but that the crux of the case was the plaintiff’s failure to show an affirmative act on the part of the police).</w:t>
      </w:r>
    </w:p>
  </w:footnote>
  <w:footnote w:id="271">
    <w:p w:rsidR="00721160" w:rsidRDefault="00721160">
      <w:pPr>
        <w:spacing w:after="240"/>
        <w:ind w:firstLine="720"/>
      </w:pPr>
      <w:r>
        <w:rPr>
          <w:rStyle w:val="FootnoteReference"/>
          <w:vertAlign w:val="superscript"/>
        </w:rPr>
        <w:footnoteRef/>
      </w:r>
      <w:r>
        <w:t xml:space="preserve">  In </w:t>
      </w:r>
      <w:r>
        <w:rPr>
          <w:i/>
          <w:iCs/>
        </w:rPr>
        <w:t>Phillips</w:t>
      </w:r>
      <w:r>
        <w:t>, Michalski was suspended and then fired from his job as a 911 dispatcher.  After his suspension, two of his former dispatcher colleagues gave him information that would help him to locate Phillips (Michalski’s ex</w:t>
      </w:r>
      <w:r>
        <w:noBreakHyphen/>
        <w:t>girlfriend’s new boyfriend).  After being fired, Michalski told his former colleagues that he had nothing to live for and that his ex</w:t>
      </w:r>
      <w:r>
        <w:noBreakHyphen/>
        <w:t>girlfriend and Phillips would "pay for putting him in his present situation."  The dispatchers failed to contact Phillips, the ex</w:t>
      </w:r>
      <w:r>
        <w:noBreakHyphen/>
        <w:t>girlfriend, or the police departments of the areas in which those two people were located.  Michalski then shot and killed his ex</w:t>
      </w:r>
      <w:r>
        <w:noBreakHyphen/>
        <w:t xml:space="preserve">girlfriend, her sister, and Phillips.  </w:t>
      </w:r>
      <w:r>
        <w:rPr>
          <w:i/>
          <w:iCs/>
        </w:rPr>
        <w:t>Phillips</w:t>
      </w:r>
      <w:r>
        <w:t>, 515 F.3d at 228</w:t>
      </w:r>
      <w:r>
        <w:noBreakHyphen/>
        <w:t xml:space="preserve">29.  The court of appeals held that the deliberate indifference standard applied to the dispatchers because they “had no information which would have placed them in a ‘hyperpressurized environment.’” </w:t>
      </w:r>
      <w:r>
        <w:rPr>
          <w:i/>
          <w:iCs/>
        </w:rPr>
        <w:t>Id</w:t>
      </w:r>
      <w:r>
        <w:t>. at 241.</w:t>
      </w:r>
    </w:p>
  </w:footnote>
  <w:footnote w:id="272">
    <w:p w:rsidR="00721160" w:rsidRDefault="00721160">
      <w:pPr>
        <w:spacing w:after="240"/>
        <w:ind w:firstLine="720"/>
      </w:pPr>
      <w:r>
        <w:rPr>
          <w:rStyle w:val="FootnoteReference"/>
          <w:vertAlign w:val="superscript"/>
        </w:rPr>
        <w:footnoteRef/>
      </w:r>
      <w:r>
        <w:t xml:space="preserve">  Dictum in </w:t>
      </w:r>
      <w:r>
        <w:rPr>
          <w:i/>
          <w:iCs/>
        </w:rPr>
        <w:t>Ye v. United States</w:t>
      </w:r>
      <w:r>
        <w:t xml:space="preserve">, 484 F.3d 634 (3d Cir. 2007), briefly discusses some but not all of the points along this spectrum.  </w:t>
      </w:r>
      <w:r>
        <w:rPr>
          <w:i/>
          <w:iCs/>
        </w:rPr>
        <w:t>See id.</w:t>
      </w:r>
      <w:r>
        <w:t xml:space="preserve"> at 638 n.2 (discussing “intent-to-harm,” “gross negligence,” and “gross recklessness” standards, but omitting to mention deliberate-indifference standard).</w:t>
      </w:r>
    </w:p>
  </w:footnote>
  <w:footnote w:id="273">
    <w:p w:rsidR="00721160" w:rsidRDefault="00721160">
      <w:pPr>
        <w:ind w:firstLine="720"/>
      </w:pPr>
      <w:r>
        <w:rPr>
          <w:rStyle w:val="FootnoteReference"/>
          <w:vertAlign w:val="superscript"/>
        </w:rPr>
        <w:footnoteRef/>
      </w:r>
      <w:r>
        <w:t xml:space="preserve">  Subsequently, however, in </w:t>
      </w:r>
      <w:r>
        <w:rPr>
          <w:i/>
          <w:iCs/>
        </w:rPr>
        <w:t>Nicini v. Morra</w:t>
      </w:r>
      <w:r>
        <w:t xml:space="preserve">, 212 F.3d 798 (3d Cir. 2000) (en banc), the Court of Appeals held that a family services worker’s alleged failure to investigate in connection with a foster care placement “should be judged under the deliberate indifference standard,” </w:t>
      </w:r>
      <w:r>
        <w:rPr>
          <w:i/>
          <w:iCs/>
        </w:rPr>
        <w:t>id.</w:t>
      </w:r>
      <w:r>
        <w:t xml:space="preserve"> at 811.</w:t>
      </w:r>
    </w:p>
    <w:p w:rsidR="00721160" w:rsidRDefault="00721160">
      <w:pPr>
        <w:spacing w:after="240"/>
        <w:ind w:firstLine="720"/>
      </w:pPr>
      <w:r>
        <w:t xml:space="preserve">Neither </w:t>
      </w:r>
      <w:r>
        <w:rPr>
          <w:i/>
          <w:iCs/>
        </w:rPr>
        <w:t>Nicini</w:t>
      </w:r>
      <w:r>
        <w:t xml:space="preserve"> nor </w:t>
      </w:r>
      <w:r>
        <w:rPr>
          <w:i/>
          <w:iCs/>
        </w:rPr>
        <w:t>Miller</w:t>
      </w:r>
      <w:r>
        <w:t xml:space="preserve"> was a state-created danger case (</w:t>
      </w:r>
      <w:r>
        <w:rPr>
          <w:i/>
          <w:iCs/>
        </w:rPr>
        <w:t>Nicini</w:t>
      </w:r>
      <w:r>
        <w:t xml:space="preserve"> proceeded on a “special relationship” theory, while the plaintiff in </w:t>
      </w:r>
      <w:r>
        <w:rPr>
          <w:i/>
          <w:iCs/>
        </w:rPr>
        <w:t>Miller</w:t>
      </w:r>
      <w:r>
        <w:t xml:space="preserve"> alleged that a social worker pursued a child abuse investigation without probable cause).  But both </w:t>
      </w:r>
      <w:r>
        <w:rPr>
          <w:i/>
          <w:iCs/>
        </w:rPr>
        <w:t>Nicini</w:t>
      </w:r>
      <w:r>
        <w:t xml:space="preserve"> and </w:t>
      </w:r>
      <w:r>
        <w:rPr>
          <w:i/>
          <w:iCs/>
        </w:rPr>
        <w:t>Miller</w:t>
      </w:r>
      <w:r>
        <w:t xml:space="preserve"> involved substantive due process claims and the Court of Appeals applied the </w:t>
      </w:r>
      <w:r>
        <w:rPr>
          <w:i/>
          <w:iCs/>
        </w:rPr>
        <w:t>Lewis</w:t>
      </w:r>
      <w:r>
        <w:t xml:space="preserve"> framework in both cases.  For further discussion of the “special relationship” theory, see </w:t>
      </w:r>
      <w:r>
        <w:rPr>
          <w:i/>
          <w:iCs/>
        </w:rPr>
        <w:t>infra</w:t>
      </w:r>
      <w:r>
        <w:t xml:space="preserve"> Instruction 4.16.</w:t>
      </w:r>
    </w:p>
  </w:footnote>
  <w:footnote w:id="274">
    <w:p w:rsidR="00721160" w:rsidRDefault="00721160">
      <w:pPr>
        <w:spacing w:after="240"/>
        <w:ind w:firstLine="720"/>
      </w:pPr>
      <w:r>
        <w:rPr>
          <w:rStyle w:val="FootnoteReference"/>
          <w:vertAlign w:val="superscript"/>
        </w:rPr>
        <w:footnoteRef/>
      </w:r>
      <w:r>
        <w:t xml:space="preserve">  For example, the Court of Appeals has held that emergency medical technicians “who responded to an emergency in an apartment where a middle</w:t>
      </w:r>
      <w:r>
        <w:noBreakHyphen/>
        <w:t xml:space="preserve">aged man was experiencing a seizure” would be held to have violated substantive due process only if they “consciously disregard[ed] a substantial risk that [the man] would be seriously harmed by their actions.”  </w:t>
      </w:r>
      <w:r>
        <w:rPr>
          <w:i/>
          <w:iCs/>
        </w:rPr>
        <w:t>Rivas v. City of Passaic</w:t>
      </w:r>
      <w:r>
        <w:t xml:space="preserve">, 365 F.3d 181, 184, 196 (3d Cir. 2004); </w:t>
      </w:r>
      <w:r>
        <w:rPr>
          <w:i/>
          <w:iCs/>
        </w:rPr>
        <w:t>see id.</w:t>
      </w:r>
      <w:r>
        <w:t xml:space="preserve"> at 196 (stating that this test would be met if the EMTs had falsely told police officers that the man was violent and had failed to tell the police officers that the man was suffering a seizure); </w:t>
      </w:r>
      <w:r>
        <w:rPr>
          <w:i/>
          <w:iCs/>
        </w:rPr>
        <w:t>cf.</w:t>
      </w:r>
      <w:r>
        <w:t xml:space="preserve"> </w:t>
      </w:r>
      <w:r>
        <w:rPr>
          <w:i/>
          <w:iCs/>
        </w:rPr>
        <w:t>Brown v. Commonwealth of Pennsylvania</w:t>
      </w:r>
      <w:r>
        <w:t>, 318 F.3d 473, 481 (3d Cir. 2003) (holding that “EMTs who attempted to arrive at the scene of the incident as rapidly as they could” did not behave in a way that shocks the conscience).</w:t>
      </w:r>
    </w:p>
  </w:footnote>
  <w:footnote w:id="275">
    <w:p w:rsidR="00721160" w:rsidRDefault="00721160">
      <w:pPr>
        <w:spacing w:after="240"/>
        <w:ind w:firstLine="720"/>
      </w:pPr>
      <w:r>
        <w:rPr>
          <w:rStyle w:val="FootnoteReference"/>
          <w:vertAlign w:val="superscript"/>
        </w:rPr>
        <w:footnoteRef/>
      </w:r>
      <w:r>
        <w:t xml:space="preserve">  </w:t>
      </w:r>
      <w:r>
        <w:rPr>
          <w:i/>
          <w:iCs/>
        </w:rPr>
        <w:t>See id.</w:t>
      </w:r>
      <w:r>
        <w:t xml:space="preserve"> at 66 n.6 (observing that the phrase ‘gross negligence or arbitrariness that shocks the conscience’ “is not well suited for th[e] purpose” of conveying the nature of the standard).  Though </w:t>
      </w:r>
      <w:r>
        <w:rPr>
          <w:i/>
          <w:iCs/>
        </w:rPr>
        <w:t>Ziccardi</w:t>
      </w:r>
      <w:r>
        <w:t xml:space="preserve"> is technically not a “state-created danger” case because the plaintiff alleged that the </w:t>
      </w:r>
      <w:r>
        <w:rPr>
          <w:i/>
          <w:iCs/>
        </w:rPr>
        <w:t>Ziccardi</w:t>
      </w:r>
      <w:r>
        <w:t xml:space="preserve"> defendants injured the plaintiff themselves, rather than creating the danger of injury, </w:t>
      </w:r>
      <w:r>
        <w:rPr>
          <w:i/>
          <w:iCs/>
        </w:rPr>
        <w:t>Ziccardi</w:t>
      </w:r>
      <w:r>
        <w:t xml:space="preserve"> applied the teachings of </w:t>
      </w:r>
      <w:r>
        <w:rPr>
          <w:i/>
          <w:iCs/>
        </w:rPr>
        <w:t>Lewis</w:t>
      </w:r>
      <w:r>
        <w:t xml:space="preserve"> and is thus instructive here.  </w:t>
      </w:r>
      <w:r>
        <w:rPr>
          <w:i/>
          <w:iCs/>
        </w:rPr>
        <w:t>See Ziccardi</w:t>
      </w:r>
      <w:r>
        <w:t xml:space="preserve">, 288 F.3d at 64; </w:t>
      </w:r>
      <w:r>
        <w:rPr>
          <w:i/>
          <w:iCs/>
        </w:rPr>
        <w:t>see also Estate of Smith v. Marasco</w:t>
      </w:r>
      <w:r>
        <w:t xml:space="preserve">, 430 F.3d 140, 154 n.10 (3d Cir. 2005) (“We think that the definition adopted in </w:t>
      </w:r>
      <w:r>
        <w:rPr>
          <w:i/>
          <w:iCs/>
        </w:rPr>
        <w:t>Ziccardi</w:t>
      </w:r>
      <w:r>
        <w:t xml:space="preserve"> is useful in assessing [state-created danger] claims.”).</w:t>
      </w:r>
    </w:p>
  </w:footnote>
  <w:footnote w:id="276">
    <w:p w:rsidR="00721160" w:rsidRDefault="00721160">
      <w:pPr>
        <w:spacing w:after="240"/>
        <w:ind w:firstLine="720"/>
      </w:pPr>
      <w:r>
        <w:rPr>
          <w:rStyle w:val="FootnoteReference"/>
          <w:vertAlign w:val="superscript"/>
        </w:rPr>
        <w:footnoteRef/>
      </w:r>
      <w:r>
        <w:t xml:space="preserve">  Despite stating the standard as one involving conscious disregard, the </w:t>
      </w:r>
      <w:r>
        <w:rPr>
          <w:i/>
          <w:iCs/>
        </w:rPr>
        <w:t>Sanford</w:t>
      </w:r>
      <w:r>
        <w:t xml:space="preserve"> court also noted in the next sentence – and apparently with respect to the same point on the shocks-the-conscience spectrum – that “it is possible that actual knowledge of the risk may not be necessary where the risk is ‘obvious.’” </w:t>
      </w:r>
      <w:r>
        <w:rPr>
          <w:i/>
          <w:iCs/>
        </w:rPr>
        <w:t>Sanford</w:t>
      </w:r>
      <w:r>
        <w:t xml:space="preserve">, 456 F.3d at 310.  Earlier in its opinion (as mentioned in the footnote following this one), the </w:t>
      </w:r>
      <w:r>
        <w:rPr>
          <w:i/>
          <w:iCs/>
        </w:rPr>
        <w:t>Sanford</w:t>
      </w:r>
      <w:r>
        <w:t xml:space="preserve"> court discussed a similar point in connection with the deliberate indifference standard, </w:t>
      </w:r>
      <w:r>
        <w:rPr>
          <w:i/>
          <w:iCs/>
        </w:rPr>
        <w:t>see id.</w:t>
      </w:r>
      <w:r>
        <w:t xml:space="preserve"> at 309 &amp; n.13.</w:t>
      </w:r>
    </w:p>
  </w:footnote>
  <w:footnote w:id="277">
    <w:p w:rsidR="00721160" w:rsidRDefault="00721160">
      <w:pPr>
        <w:spacing w:after="240"/>
        <w:ind w:firstLine="720"/>
      </w:pPr>
      <w:r>
        <w:rPr>
          <w:rStyle w:val="FootnoteReference"/>
          <w:vertAlign w:val="superscript"/>
        </w:rPr>
        <w:footnoteRef/>
      </w:r>
      <w:r>
        <w:t xml:space="preserve">  </w:t>
      </w:r>
      <w:r>
        <w:rPr>
          <w:i/>
          <w:iCs/>
        </w:rPr>
        <w:t>See also Sanford</w:t>
      </w:r>
      <w:r>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noBreakHyphen/>
        <w:t>created danger cases”).</w:t>
      </w:r>
    </w:p>
  </w:footnote>
  <w:footnote w:id="278">
    <w:p w:rsidR="00721160" w:rsidRDefault="00721160">
      <w:pPr>
        <w:spacing w:after="240"/>
        <w:ind w:firstLine="720"/>
      </w:pPr>
      <w:r>
        <w:rPr>
          <w:rStyle w:val="FootnoteReference"/>
          <w:vertAlign w:val="superscript"/>
        </w:rPr>
        <w:footnoteRef/>
      </w:r>
      <w:r>
        <w:t xml:space="preserve">  The plaintiffs in </w:t>
      </w:r>
      <w:r>
        <w:rPr>
          <w:i/>
          <w:iCs/>
        </w:rPr>
        <w:t>Kaucher</w:t>
      </w:r>
      <w:r>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Pr>
          <w:i/>
          <w:iCs/>
        </w:rPr>
        <w:t xml:space="preserve">See id. </w:t>
      </w:r>
      <w:r>
        <w:t xml:space="preserve">at 431.  The </w:t>
      </w:r>
      <w:r>
        <w:rPr>
          <w:i/>
          <w:iCs/>
        </w:rPr>
        <w:t>Kaucher</w:t>
      </w:r>
      <w:r>
        <w:t xml:space="preserve"> court, relying on </w:t>
      </w:r>
      <w:r>
        <w:rPr>
          <w:i/>
          <w:iCs/>
        </w:rPr>
        <w:t>Collins v. City of Harker Heights, Tex.</w:t>
      </w:r>
      <w:r>
        <w:t xml:space="preserve">, 503 U.S. 115 (1992), for the proposition “that the Constitution does not guarantee public employees a safe working environment,” </w:t>
      </w:r>
      <w:r>
        <w:rPr>
          <w:i/>
          <w:iCs/>
        </w:rPr>
        <w:t>Kaucher</w:t>
      </w:r>
      <w:r>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Pr>
          <w:i/>
          <w:iCs/>
        </w:rPr>
        <w:t>Id.</w:t>
      </w:r>
      <w:r>
        <w:t xml:space="preserve"> at 429 n.6.  More generally, the Court of Appeals noted “well recognized differences between the duties owed to prisoners and the duties owed to employees and others whose liberty is not restricted.”  </w:t>
      </w:r>
      <w:r>
        <w:rPr>
          <w:i/>
          <w:iCs/>
        </w:rPr>
        <w:t>Id.</w:t>
      </w:r>
      <w:r>
        <w:t xml:space="preserve"> at 430.</w:t>
      </w:r>
    </w:p>
  </w:footnote>
  <w:footnote w:id="279">
    <w:p w:rsidR="00721160" w:rsidRDefault="00721160">
      <w:pPr>
        <w:spacing w:after="240"/>
        <w:ind w:firstLine="720"/>
      </w:pPr>
      <w:r>
        <w:rPr>
          <w:rStyle w:val="FootnoteReference"/>
          <w:vertAlign w:val="superscript"/>
        </w:rPr>
        <w:footnoteRef/>
      </w:r>
      <w:r>
        <w:t xml:space="preserve">  </w:t>
      </w:r>
      <w:r>
        <w:rPr>
          <w:i/>
          <w:iCs/>
        </w:rPr>
        <w:t>See also Rivas</w:t>
      </w:r>
      <w:r>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0">
    <w:p w:rsidR="00721160" w:rsidRDefault="00721160">
      <w:pPr>
        <w:spacing w:after="240"/>
        <w:ind w:firstLine="720"/>
      </w:pPr>
      <w:r>
        <w:rPr>
          <w:rStyle w:val="FootnoteReference"/>
          <w:vertAlign w:val="superscript"/>
        </w:rPr>
        <w:footnoteRef/>
      </w:r>
      <w:r>
        <w:t xml:space="preserve">  </w:t>
      </w:r>
      <w:r>
        <w:rPr>
          <w:i/>
          <w:iCs/>
        </w:rPr>
        <w:t>See also Marasco</w:t>
      </w:r>
      <w:r>
        <w:t xml:space="preserve">, 318 F.3d at 507 (“In </w:t>
      </w:r>
      <w:r>
        <w:rPr>
          <w:i/>
          <w:iCs/>
        </w:rPr>
        <w:t>Morse</w:t>
      </w:r>
      <w:r>
        <w:t xml:space="preserve"> we held that the third requirement – a relationship between the state and the plaintiff – ultimately depends on whether the plaintiff was a foreseeable victim, either individually or as part of a discrete class of foreseeable victims.”); </w:t>
      </w:r>
      <w:r>
        <w:rPr>
          <w:i/>
          <w:iCs/>
        </w:rPr>
        <w:t>Bright</w:t>
      </w:r>
      <w:r>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1">
    <w:p w:rsidR="00721160" w:rsidRDefault="00721160">
      <w:pPr>
        <w:spacing w:after="240"/>
        <w:ind w:firstLine="720"/>
      </w:pPr>
      <w:r>
        <w:rPr>
          <w:rStyle w:val="FootnoteReference"/>
          <w:vertAlign w:val="superscript"/>
        </w:rPr>
        <w:footnoteRef/>
      </w:r>
      <w:r>
        <w:t xml:space="preserve">  </w:t>
      </w:r>
      <w:r>
        <w:rPr>
          <w:i/>
          <w:iCs/>
        </w:rPr>
        <w:t>See also Rivas</w:t>
      </w:r>
      <w:r>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2">
    <w:p w:rsidR="00721160" w:rsidRDefault="00721160">
      <w:pPr>
        <w:spacing w:after="240"/>
        <w:ind w:firstLine="720"/>
      </w:pPr>
      <w:r>
        <w:rPr>
          <w:rStyle w:val="FootnoteReference"/>
          <w:vertAlign w:val="superscript"/>
        </w:rPr>
        <w:footnoteRef/>
      </w:r>
      <w:r>
        <w:t xml:space="preserve">  </w:t>
      </w:r>
      <w:r>
        <w:rPr>
          <w:i/>
          <w:iCs/>
        </w:rPr>
        <w:t>Compare</w:t>
      </w:r>
      <w:r>
        <w:t xml:space="preserve"> </w:t>
      </w:r>
      <w:r>
        <w:rPr>
          <w:i/>
          <w:iCs/>
        </w:rPr>
        <w:t>Kneipp</w:t>
      </w:r>
      <w:r>
        <w:t>, 95 F.3d at 1210 (concluding that a reasonable jury could find the fourth element satisfied where “[t]he affirmative acts of the police officers ... created a dangerous situation”).</w:t>
      </w:r>
    </w:p>
  </w:footnote>
  <w:footnote w:id="283">
    <w:p w:rsidR="00721160" w:rsidRDefault="00721160">
      <w:pPr>
        <w:spacing w:after="240"/>
        <w:ind w:firstLine="720"/>
      </w:pPr>
      <w:r>
        <w:rPr>
          <w:rStyle w:val="FootnoteReference"/>
          <w:vertAlign w:val="superscript"/>
        </w:rPr>
        <w:footnoteRef/>
      </w:r>
      <w:r>
        <w:t xml:space="preserve">  </w:t>
      </w:r>
      <w:r>
        <w:rPr>
          <w:i/>
          <w:iCs/>
        </w:rPr>
        <w:t>See also</w:t>
      </w:r>
      <w:r>
        <w:t> </w:t>
      </w:r>
      <w:r>
        <w:rPr>
          <w:i/>
          <w:iCs/>
        </w:rPr>
        <w:t>Burella v. City of Philadelphia</w:t>
      </w:r>
      <w:r>
        <w:t>, 501 F.3d 134, 146 (3d Cir. 2007) (“Jill Burella cannot succeed on her state</w:t>
      </w:r>
      <w:r>
        <w:noBreakHyphen/>
        <w:t xml:space="preserve">created danger claim because she fails to allege any facts that would show that the officers </w:t>
      </w:r>
      <w:r>
        <w:rPr>
          <w:i/>
          <w:iCs/>
        </w:rPr>
        <w:t xml:space="preserve">affirmatively </w:t>
      </w:r>
      <w:r>
        <w:t xml:space="preserve">exercised their authority in a way that rendered her more vulnerable to her husband's abuse....  As in </w:t>
      </w:r>
      <w:r>
        <w:rPr>
          <w:i/>
          <w:iCs/>
        </w:rPr>
        <w:t>Bright</w:t>
      </w:r>
      <w:r>
        <w:t xml:space="preserve">, Jill Burella does not allege any facts that would establish that the officers did anything other than fail to act.”); </w:t>
      </w:r>
      <w:r>
        <w:rPr>
          <w:i/>
          <w:iCs/>
        </w:rPr>
        <w:t>Jiminez v. All American Rathskeller, Inc.</w:t>
      </w:r>
      <w:r>
        <w:t xml:space="preserve">, 503 F.3d 247, 255-56 (3d Cir. 2007) (following </w:t>
      </w:r>
      <w:r>
        <w:rPr>
          <w:i/>
          <w:iCs/>
        </w:rPr>
        <w:t>Bright</w:t>
      </w:r>
      <w:r>
        <w:t>);</w:t>
      </w:r>
      <w:r>
        <w:rPr>
          <w:i/>
          <w:iCs/>
        </w:rPr>
        <w:t xml:space="preserve"> Phillips v. County of Allegheny</w:t>
      </w:r>
      <w:r>
        <w:t>, 515 F.3d 224, 236 (3d Cir. 2008) (same).</w:t>
      </w:r>
    </w:p>
  </w:footnote>
  <w:footnote w:id="284">
    <w:p w:rsidR="00721160" w:rsidRDefault="00721160">
      <w:pPr>
        <w:spacing w:after="240"/>
        <w:ind w:firstLine="720"/>
      </w:pPr>
      <w:r>
        <w:rPr>
          <w:rStyle w:val="FootnoteReference"/>
          <w:vertAlign w:val="superscript"/>
        </w:rPr>
        <w:footnoteRef/>
      </w:r>
      <w:r>
        <w:t xml:space="preserve">  The dissent in </w:t>
      </w:r>
      <w:r>
        <w:rPr>
          <w:i/>
          <w:iCs/>
        </w:rPr>
        <w:t>Bright</w:t>
      </w:r>
      <w:r>
        <w:t xml:space="preserve">, by contrast, argued that the fourth element can be satisfied by combining an action with subsequent omissions.  </w:t>
      </w:r>
      <w:r>
        <w:rPr>
          <w:i/>
          <w:iCs/>
        </w:rPr>
        <w:t>See Bright</w:t>
      </w:r>
      <w:r>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5">
    <w:p w:rsidR="00721160" w:rsidRDefault="00721160">
      <w:pPr>
        <w:spacing w:after="240"/>
        <w:ind w:firstLine="720"/>
      </w:pPr>
      <w:r>
        <w:rPr>
          <w:rStyle w:val="FootnoteReference"/>
          <w:vertAlign w:val="superscript"/>
        </w:rPr>
        <w:footnoteRef/>
      </w:r>
      <w:r>
        <w:t xml:space="preserve">  </w:t>
      </w:r>
      <w:r>
        <w:rPr>
          <w:i/>
          <w:iCs/>
        </w:rPr>
        <w:t>See Phillips</w:t>
      </w:r>
      <w:r>
        <w:t xml:space="preserve">, 515 F.3d at 236 (following </w:t>
      </w:r>
      <w:r>
        <w:rPr>
          <w:i/>
          <w:iCs/>
        </w:rPr>
        <w:t>Kaucher</w:t>
      </w:r>
      <w:r>
        <w:t xml:space="preserve">).  The requirement of a causal relationship between the affirmative act and the plaintiff’s harm appears to have been the dispositive problem for a state-created danger claim dismissed in </w:t>
      </w:r>
      <w:r>
        <w:rPr>
          <w:i/>
          <w:iCs/>
        </w:rPr>
        <w:t>Bennett v. City of Philadelphia</w:t>
      </w:r>
      <w:r>
        <w:t xml:space="preserve">, 499 F.3d 281 (3d Cir. 2007).  In </w:t>
      </w:r>
      <w:r>
        <w:rPr>
          <w:i/>
          <w:iCs/>
        </w:rPr>
        <w:t>Bennett</w:t>
      </w:r>
      <w:r>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Pr>
          <w:i/>
          <w:iCs/>
        </w:rPr>
        <w:t>Bennett</w:t>
      </w:r>
      <w:r>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Pr>
          <w:i/>
          <w:iCs/>
        </w:rPr>
        <w:t>Id.</w:t>
      </w:r>
    </w:p>
  </w:footnote>
  <w:footnote w:id="286">
    <w:p w:rsidR="00721160" w:rsidRDefault="00721160">
      <w:pPr>
        <w:spacing w:after="240"/>
        <w:ind w:firstLine="720"/>
      </w:pPr>
      <w:r>
        <w:rPr>
          <w:rStyle w:val="FootnoteReference"/>
          <w:vertAlign w:val="superscript"/>
        </w:rPr>
        <w:footnoteRef/>
      </w:r>
      <w:r>
        <w:t xml:space="preserve">  Having set forth the first sub-element (requiring exercise of government authority), the </w:t>
      </w:r>
      <w:r>
        <w:rPr>
          <w:i/>
          <w:iCs/>
        </w:rPr>
        <w:t>Ye</w:t>
      </w:r>
      <w:r>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Pr>
          <w:i/>
          <w:iCs/>
        </w:rPr>
        <w:t>Id.</w:t>
      </w:r>
      <w:r>
        <w:t xml:space="preserve"> at 640.</w:t>
      </w:r>
    </w:p>
  </w:footnote>
  <w:footnote w:id="287">
    <w:p w:rsidR="00721160" w:rsidRDefault="00721160">
      <w:pPr>
        <w:ind w:firstLine="720"/>
      </w:pPr>
      <w:r>
        <w:rPr>
          <w:rStyle w:val="FootnoteReference"/>
          <w:vertAlign w:val="superscript"/>
        </w:rPr>
        <w:footnoteRef/>
      </w:r>
      <w:r>
        <w:t xml:space="preserve">  Such claims will be governed by substantive due process rather than Fourth Amendment standards, because there is no “seizure” for Fourth Amendment purposes either during a high-speed chase or even when the police accidentally crash into a suspect.  </w:t>
      </w:r>
      <w:r>
        <w:rPr>
          <w:i/>
          <w:iCs/>
        </w:rPr>
        <w:t>See Lewis</w:t>
      </w:r>
      <w:r>
        <w:t xml:space="preserve">, 523 U.S. at 843-44; compare infra note [xxx]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Pr>
          <w:i/>
          <w:iCs/>
        </w:rPr>
        <w:t>Brower v. County of Inyo</w:t>
      </w:r>
      <w:r>
        <w:t xml:space="preserve">, 489 U.S. 593, 599 (1989); </w:t>
      </w:r>
      <w:r>
        <w:rPr>
          <w:i/>
          <w:iCs/>
        </w:rPr>
        <w:t>see also</w:t>
      </w:r>
      <w:r>
        <w:t xml:space="preserve"> </w:t>
      </w:r>
      <w:r>
        <w:rPr>
          <w:i/>
          <w:iCs/>
        </w:rPr>
        <w:t>Scott v. Harris</w:t>
      </w:r>
      <w:r>
        <w:t>, 127 S. Ct. 1769, 1776 (2007) (noting that law enforcement officer defendant did not dispute “that his decision to terminate the car chase by ramming his bumper into respondent's vehicle constituted a [Fourth Amendment] ‘seizure’”).</w:t>
      </w:r>
    </w:p>
    <w:p w:rsidR="00721160" w:rsidRDefault="00721160">
      <w:pPr>
        <w:ind w:firstLine="720"/>
      </w:pPr>
      <w:r>
        <w:t xml:space="preserve">Prior to the Supreme Court’s decision in </w:t>
      </w:r>
      <w:r>
        <w:rPr>
          <w:i/>
          <w:iCs/>
        </w:rPr>
        <w:t>Lewis</w:t>
      </w:r>
      <w:r>
        <w:t xml:space="preserve">, the Court of Appeals had already applied the “shocks the conscience” standard to police pursuit claims.  </w:t>
      </w:r>
      <w:r>
        <w:rPr>
          <w:i/>
          <w:iCs/>
        </w:rPr>
        <w:t>See</w:t>
      </w:r>
      <w:r>
        <w:t xml:space="preserve"> </w:t>
      </w:r>
      <w:r>
        <w:rPr>
          <w:i/>
          <w:iCs/>
        </w:rPr>
        <w:t>Fagan v. City of Vineland</w:t>
      </w:r>
      <w:r>
        <w:t xml:space="preserve">, 22 F.3d 1296, 1308-09 (3d Cir. 1994) (en banc).  Because </w:t>
      </w:r>
      <w:r>
        <w:rPr>
          <w:i/>
          <w:iCs/>
        </w:rPr>
        <w:t>Lewis</w:t>
      </w:r>
      <w:r>
        <w:t xml:space="preserve"> provides a more specific articulation of the “shocks the conscience” standard as applied to police pursuit cases, the model instruction follows </w:t>
      </w:r>
      <w:r>
        <w:rPr>
          <w:i/>
          <w:iCs/>
        </w:rPr>
        <w:t>Lewis</w:t>
      </w:r>
      <w:r>
        <w:t>.</w:t>
      </w:r>
    </w:p>
    <w:p w:rsidR="00721160" w:rsidRDefault="00721160">
      <w:pPr>
        <w:spacing w:after="240"/>
      </w:pPr>
    </w:p>
  </w:footnote>
  <w:footnote w:id="288">
    <w:p w:rsidR="00721160" w:rsidRDefault="00721160">
      <w:pPr>
        <w:ind w:firstLine="720"/>
      </w:pPr>
      <w:r>
        <w:rPr>
          <w:rStyle w:val="FootnoteReference"/>
          <w:vertAlign w:val="superscript"/>
        </w:rPr>
        <w:footnoteRef/>
      </w:r>
      <w:r>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Pr>
          <w:i/>
          <w:iCs/>
        </w:rPr>
        <w:t>through means intentionally applied</w:t>
      </w:r>
      <w:r>
        <w:t xml:space="preserve">,” </w:t>
      </w:r>
      <w:r>
        <w:rPr>
          <w:i/>
          <w:iCs/>
        </w:rPr>
        <w:t>Brower</w:t>
      </w:r>
      <w:r>
        <w:t>, 489 U.S. at 597, the Court gave the following example:</w:t>
      </w:r>
    </w:p>
    <w:p w:rsidR="00721160" w:rsidRDefault="00721160"/>
    <w:p w:rsidR="00721160" w:rsidRDefault="00721160">
      <w:pPr>
        <w:ind w:left="720" w:right="720"/>
      </w:pPr>
      <w:r>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rsidR="00721160" w:rsidRDefault="00721160"/>
    <w:p w:rsidR="00721160" w:rsidRDefault="00721160">
      <w:pPr>
        <w:spacing w:after="240"/>
      </w:pPr>
      <w:r>
        <w:rPr>
          <w:i/>
          <w:iCs/>
        </w:rPr>
        <w:t>Id</w:t>
      </w:r>
      <w:r>
        <w:t xml:space="preserve">.; </w:t>
      </w:r>
      <w:r>
        <w:rPr>
          <w:i/>
          <w:iCs/>
        </w:rPr>
        <w:t>see also</w:t>
      </w:r>
      <w:r>
        <w:t xml:space="preserve"> </w:t>
      </w:r>
      <w:r>
        <w:rPr>
          <w:i/>
          <w:iCs/>
        </w:rPr>
        <w:t>Scott v. Harris</w:t>
      </w:r>
      <w:r>
        <w:t>, 127 S. Ct. 1769, 1777-79 (2007) (using Fourth Amendment excessive force analysis to assess claim arising from county deputy’s decision to ram fleeing suspect’s car with his bumper in order to end the chase).</w:t>
      </w:r>
    </w:p>
  </w:footnote>
  <w:footnote w:id="289">
    <w:p w:rsidR="00721160" w:rsidRDefault="00721160">
      <w:pPr>
        <w:spacing w:after="240"/>
        <w:ind w:firstLine="720"/>
      </w:pPr>
      <w:r>
        <w:rPr>
          <w:rStyle w:val="FootnoteReference"/>
          <w:vertAlign w:val="superscript"/>
        </w:rPr>
        <w:footnoteRef/>
      </w:r>
      <w:r>
        <w:t xml:space="preserve">  If the plaintiff is someone other than the child, then the child’s name (rather than the plaintiff’s name) should be inserted in appropriate places in this instruction.</w:t>
      </w:r>
    </w:p>
  </w:footnote>
  <w:footnote w:id="290">
    <w:p w:rsidR="00721160" w:rsidRDefault="00721160">
      <w:pPr>
        <w:spacing w:after="240"/>
        <w:ind w:firstLine="720"/>
      </w:pPr>
      <w:r>
        <w:rPr>
          <w:rStyle w:val="FootnoteReference"/>
          <w:vertAlign w:val="superscript"/>
        </w:rPr>
        <w:footnoteRef/>
      </w:r>
      <w:r>
        <w:t xml:space="preserve">  It is unclear who has the burden of proof with respect to a defendant’s claim of lack of awareness of an obvious risk.  </w:t>
      </w:r>
      <w:r>
        <w:rPr>
          <w:i/>
          <w:iCs/>
        </w:rPr>
        <w:t>See</w:t>
      </w:r>
      <w:r>
        <w:t xml:space="preserve"> Comment 4.11.1.</w:t>
      </w:r>
    </w:p>
  </w:footnote>
  <w:footnote w:id="291">
    <w:p w:rsidR="00721160" w:rsidRDefault="00721160">
      <w:pPr>
        <w:spacing w:after="240"/>
        <w:ind w:firstLine="720"/>
      </w:pPr>
      <w:r>
        <w:rPr>
          <w:rStyle w:val="FootnoteReference"/>
          <w:vertAlign w:val="superscript"/>
        </w:rPr>
        <w:footnoteRef/>
      </w:r>
      <w:r>
        <w:t xml:space="preserve">  This paragraph provides a subjective definition of “deliberate indifference,” drawn from the Eighth Amendment standard discussed in </w:t>
      </w:r>
      <w:r>
        <w:rPr>
          <w:i/>
          <w:iCs/>
        </w:rPr>
        <w:t>Farmer v. Brennan</w:t>
      </w:r>
      <w:r>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2">
    <w:p w:rsidR="00721160" w:rsidRDefault="00721160">
      <w:pPr>
        <w:spacing w:after="240"/>
        <w:ind w:firstLine="720"/>
      </w:pPr>
      <w:r>
        <w:rPr>
          <w:rStyle w:val="FootnoteReference"/>
          <w:vertAlign w:val="superscript"/>
        </w:rPr>
        <w:footnoteRef/>
      </w:r>
      <w:r>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Pr>
          <w:i/>
          <w:iCs/>
        </w:rPr>
        <w:t>Jordan v. City of Philadelphia</w:t>
      </w:r>
      <w:r>
        <w:t xml:space="preserve">, 66 F. Supp. 2d 638, 646 (E.D. Pa. 1999) (quoting </w:t>
      </w:r>
      <w:r>
        <w:rPr>
          <w:i/>
          <w:iCs/>
        </w:rPr>
        <w:t>Wendy H. v. City of Philadelphia</w:t>
      </w:r>
      <w:r>
        <w:t xml:space="preserve">, 849 F. Supp. 367, 372 (E.D. Pa. 1994) (quoting </w:t>
      </w:r>
      <w:r>
        <w:rPr>
          <w:i/>
          <w:iCs/>
        </w:rPr>
        <w:t>Youngberg v. Romeo</w:t>
      </w:r>
      <w:r>
        <w:t xml:space="preserve">, 457 U.S. 307, 323 (1982))).  The Court of Appeals in </w:t>
      </w:r>
      <w:r>
        <w:rPr>
          <w:i/>
          <w:iCs/>
        </w:rPr>
        <w:t>Nicini</w:t>
      </w:r>
      <w:r>
        <w:t xml:space="preserve"> declined to “decide whether, consistent with </w:t>
      </w:r>
      <w:r>
        <w:rPr>
          <w:i/>
          <w:iCs/>
        </w:rPr>
        <w:t>Lewis</w:t>
      </w:r>
      <w:r>
        <w:t xml:space="preserve">, [the professional judgment] standard could be applied to” substantive due process claims for failure to protect a child in foster care.  </w:t>
      </w:r>
      <w:r>
        <w:rPr>
          <w:i/>
          <w:iCs/>
        </w:rPr>
        <w:t>Nicini</w:t>
      </w:r>
      <w:r>
        <w:t>, 212 F.3d at 811 n. 9.</w:t>
      </w:r>
    </w:p>
  </w:footnote>
  <w:footnote w:id="293">
    <w:p w:rsidR="00721160" w:rsidRDefault="00721160">
      <w:pPr>
        <w:spacing w:after="240"/>
        <w:ind w:firstLine="720"/>
      </w:pPr>
      <w:r>
        <w:rPr>
          <w:rStyle w:val="FootnoteReference"/>
          <w:vertAlign w:val="superscript"/>
        </w:rPr>
        <w:footnoteRef/>
      </w:r>
      <w:r>
        <w:t xml:space="preserve">  </w:t>
      </w:r>
      <w:r>
        <w:rPr>
          <w:i/>
          <w:iCs/>
        </w:rPr>
        <w:t>Compare</w:t>
      </w:r>
      <w:r>
        <w:t xml:space="preserve"> </w:t>
      </w:r>
      <w:r>
        <w:rPr>
          <w:i/>
          <w:iCs/>
        </w:rPr>
        <w:t>Miller v. City of Philadelphia</w:t>
      </w:r>
      <w:r>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974573">
        <w:rPr>
          <w:i/>
        </w:rPr>
        <w:t>B.S. v. Somerset County</w:t>
      </w:r>
      <w:r w:rsidRPr="00974573">
        <w:t xml:space="preserve">, 704 F.3d 250, 267-68 (3d Cir. 2013) (applying </w:t>
      </w:r>
      <w:r w:rsidRPr="00974573">
        <w:rPr>
          <w:i/>
        </w:rPr>
        <w:t>Miller</w:t>
      </w:r>
      <w:r w:rsidRPr="00974573">
        <w:t xml:space="preserve"> and holding that child welfare worker’s actions in obtaining court order and removing daughter from mother’s custody did not “shock the conscience”); </w:t>
      </w:r>
      <w:r w:rsidRPr="00974573">
        <w:rPr>
          <w:i/>
        </w:rPr>
        <w:t>Mulholland v. Government County of Berks</w:t>
      </w:r>
      <w:r w:rsidRPr="00974573">
        <w:t xml:space="preserve">, 706 F.3d 227, 234, 241-44 (3d Cir. 2013) (applying </w:t>
      </w:r>
      <w:r w:rsidRPr="00974573">
        <w:rPr>
          <w:i/>
        </w:rPr>
        <w:t>Miller</w:t>
      </w:r>
      <w:r w:rsidRPr="00974573">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4">
    <w:p w:rsidR="00721160" w:rsidRDefault="00721160">
      <w:pPr>
        <w:ind w:firstLine="720"/>
      </w:pPr>
      <w:r>
        <w:rPr>
          <w:rStyle w:val="FootnoteReference"/>
          <w:vertAlign w:val="superscript"/>
        </w:rPr>
        <w:footnoteRef/>
      </w:r>
      <w:r>
        <w:t xml:space="preserve">  For a discussion of this standard, see the Comment to Instruction 4.11, supra.</w:t>
      </w:r>
    </w:p>
    <w:p w:rsidR="00721160" w:rsidRDefault="00721160">
      <w:pPr>
        <w:spacing w:after="240"/>
        <w:ind w:firstLine="720"/>
      </w:pPr>
      <w:r>
        <w:t xml:space="preserve">A number of circuits have adopted a subjective standard.  </w:t>
      </w:r>
      <w:r>
        <w:rPr>
          <w:i/>
          <w:iCs/>
        </w:rPr>
        <w:t>See, e.g.</w:t>
      </w:r>
      <w:r>
        <w:t xml:space="preserve">, </w:t>
      </w:r>
      <w:r>
        <w:rPr>
          <w:i/>
          <w:iCs/>
        </w:rPr>
        <w:t>Hernandez ex rel. Hernandez v. Texas Dept. of Protective and Regulatory Services</w:t>
      </w:r>
      <w:r>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Pr>
          <w:i/>
          <w:iCs/>
        </w:rPr>
        <w:t>Lewis v. Anderson</w:t>
      </w:r>
      <w:r>
        <w:t xml:space="preserve">, 308 F.3d 768, 775-76 (7th Cir. 2002) (“If state actors are to be held liable for the abuse perpetrated by a screened foster parent, under K.H. the plaintiffs must present evidence that the state officials knew or suspected that abuse was occurring or likely.”); </w:t>
      </w:r>
      <w:r>
        <w:rPr>
          <w:i/>
          <w:iCs/>
        </w:rPr>
        <w:t>Ray v. Foltz</w:t>
      </w:r>
      <w:r>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rsidR="00721160" w:rsidRPr="004D71D9" w:rsidRDefault="00721160" w:rsidP="00FD2011">
    <w:pPr>
      <w:pStyle w:val="Header"/>
      <w:jc w:val="right"/>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rsidR="00721160" w:rsidRPr="004D71D9" w:rsidRDefault="00721160" w:rsidP="002379FB">
    <w:pPr>
      <w:pStyle w:val="Header"/>
      <w:jc w:val="center"/>
      <w:rPr>
        <w:b/>
        <w:sz w:val="20"/>
        <w:szCs w:val="20"/>
      </w:rP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rsidR="00721160" w:rsidRPr="004D71D9" w:rsidRDefault="00721160" w:rsidP="002379FB">
    <w:pPr>
      <w:pStyle w:val="Header"/>
      <w:jc w:val="center"/>
      <w:rPr>
        <w:b/>
        <w:sz w:val="20"/>
        <w:szCs w:val="20"/>
      </w:rP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rsidR="00721160" w:rsidRPr="004D71D9" w:rsidRDefault="00721160" w:rsidP="003618F6">
    <w:pPr>
      <w:pStyle w:val="Header"/>
      <w:jc w:val="right"/>
      <w:rPr>
        <w:b/>
        <w:sz w:val="20"/>
        <w:szCs w:val="20"/>
      </w:rPr>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3618F6"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rsidR="00721160" w:rsidRPr="004D71D9" w:rsidRDefault="00721160" w:rsidP="003618F6">
    <w:pPr>
      <w:pStyle w:val="Header"/>
      <w:jc w:val="right"/>
      <w:rPr>
        <w:b/>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3618F6"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rsidR="00721160" w:rsidRPr="004D71D9" w:rsidRDefault="00721160" w:rsidP="003618F6">
    <w:pPr>
      <w:pStyle w:val="Header"/>
      <w:jc w:val="right"/>
      <w:rPr>
        <w:b/>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rsidR="00721160" w:rsidRPr="004D71D9" w:rsidRDefault="00721160" w:rsidP="003618F6">
    <w:pPr>
      <w:pStyle w:val="Header"/>
      <w:jc w:val="center"/>
      <w:rPr>
        <w:b/>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rsidR="00721160" w:rsidRPr="004D71D9" w:rsidRDefault="00721160" w:rsidP="003618F6">
    <w:pPr>
      <w:pStyle w:val="Header"/>
      <w:jc w:val="center"/>
      <w:rPr>
        <w:b/>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rsidR="00721160" w:rsidRPr="004D71D9" w:rsidRDefault="00721160" w:rsidP="003618F6">
    <w:pPr>
      <w:pStyle w:val="Header"/>
      <w:jc w:val="center"/>
      <w:rPr>
        <w:b/>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rsidR="00721160" w:rsidRPr="004D71D9" w:rsidRDefault="00721160" w:rsidP="003618F6">
    <w:pPr>
      <w:pStyle w:val="Header"/>
      <w:jc w:val="center"/>
      <w:rPr>
        <w:b/>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rsidR="00721160" w:rsidRPr="004D71D9" w:rsidRDefault="00721160" w:rsidP="003618F6">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rsidR="00721160" w:rsidRPr="004D71D9" w:rsidRDefault="00721160" w:rsidP="00FD2011">
    <w:pPr>
      <w:pStyle w:val="Header"/>
      <w:jc w:val="right"/>
      <w:rPr>
        <w:b/>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rsidR="00721160" w:rsidRPr="004D71D9" w:rsidRDefault="00721160" w:rsidP="003618F6">
    <w:pPr>
      <w:pStyle w:val="Header"/>
      <w:jc w:val="center"/>
      <w:rPr>
        <w:b/>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rsidR="00721160" w:rsidRPr="004D71D9" w:rsidRDefault="00721160" w:rsidP="003618F6">
    <w:pPr>
      <w:pStyle w:val="Header"/>
      <w:jc w:val="center"/>
      <w:rPr>
        <w:b/>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rsidR="00721160" w:rsidRPr="004D71D9" w:rsidRDefault="00721160" w:rsidP="003618F6">
    <w:pPr>
      <w:pStyle w:val="Header"/>
      <w:jc w:val="center"/>
      <w:rPr>
        <w:b/>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rsidR="00721160" w:rsidRPr="004D71D9" w:rsidRDefault="00721160" w:rsidP="003618F6">
    <w:pPr>
      <w:pStyle w:val="Header"/>
      <w:jc w:val="center"/>
      <w:rPr>
        <w:b/>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rsidR="00721160" w:rsidRPr="004D71D9" w:rsidRDefault="00721160" w:rsidP="003618F6">
    <w:pPr>
      <w:pStyle w:val="Header"/>
      <w:jc w:val="center"/>
      <w:rPr>
        <w:b/>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rsidR="00721160" w:rsidRPr="004D71D9" w:rsidRDefault="00721160" w:rsidP="003618F6">
    <w:pPr>
      <w:pStyle w:val="Header"/>
      <w:jc w:val="center"/>
      <w:rPr>
        <w:b/>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rsidR="00721160" w:rsidRPr="004D71D9" w:rsidRDefault="00721160" w:rsidP="003618F6">
    <w:pPr>
      <w:pStyle w:val="Header"/>
      <w:jc w:val="center"/>
      <w:rPr>
        <w:b/>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rsidR="00721160" w:rsidRPr="004D71D9" w:rsidRDefault="00721160" w:rsidP="003618F6">
    <w:pPr>
      <w:pStyle w:val="Header"/>
      <w:jc w:val="center"/>
      <w:rPr>
        <w:b/>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rsidR="00721160" w:rsidRPr="004D71D9" w:rsidRDefault="00721160" w:rsidP="003618F6">
    <w:pPr>
      <w:pStyle w:val="Header"/>
      <w:jc w:val="center"/>
      <w:rPr>
        <w:b/>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rsidR="00721160" w:rsidRPr="004D71D9" w:rsidRDefault="00721160" w:rsidP="003618F6">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sidR="001A144C">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rsidR="00721160" w:rsidRPr="004D71D9" w:rsidRDefault="00721160" w:rsidP="00FD2011">
    <w:pPr>
      <w:pStyle w:val="Header"/>
      <w:jc w:val="right"/>
      <w:rPr>
        <w:b/>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rsidR="00721160" w:rsidRPr="004D71D9" w:rsidRDefault="00721160" w:rsidP="003618F6">
    <w:pPr>
      <w:pStyle w:val="Header"/>
      <w:jc w:val="center"/>
      <w:rPr>
        <w:b/>
        <w:sz w:val="20"/>
        <w:szCs w:val="2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7D4BAE" w:rsidRDefault="0072116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rsidR="00721160" w:rsidRPr="004D71D9" w:rsidRDefault="00721160" w:rsidP="003618F6">
    <w:pPr>
      <w:pStyle w:val="Header"/>
      <w:jc w:val="center"/>
      <w:rPr>
        <w:b/>
        <w:sz w:val="20"/>
        <w:szCs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rsidR="00721160" w:rsidRPr="004D71D9" w:rsidRDefault="00721160" w:rsidP="007E6D03">
    <w:pPr>
      <w:pStyle w:val="Header"/>
      <w:jc w:val="right"/>
      <w:rPr>
        <w:b/>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rsidR="00721160" w:rsidRPr="004D71D9" w:rsidRDefault="00721160" w:rsidP="007E6D03">
    <w:pPr>
      <w:pStyle w:val="Header"/>
      <w:jc w:val="right"/>
      <w:rPr>
        <w:b/>
        <w:sz w:val="20"/>
        <w:szCs w:val="2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rsidR="00721160" w:rsidRPr="004D71D9" w:rsidRDefault="00721160" w:rsidP="007E6D03">
    <w:pPr>
      <w:pStyle w:val="Header"/>
      <w:jc w:val="right"/>
      <w:rPr>
        <w:b/>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rsidR="00721160" w:rsidRPr="004D71D9" w:rsidRDefault="00721160" w:rsidP="007E6D03">
    <w:pPr>
      <w:pStyle w:val="Header"/>
      <w:jc w:val="right"/>
      <w:rPr>
        <w:b/>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rsidR="00721160" w:rsidRPr="004D71D9" w:rsidRDefault="00721160" w:rsidP="007E6D03">
    <w:pPr>
      <w:pStyle w:val="Header"/>
      <w:jc w:val="right"/>
      <w:rPr>
        <w:b/>
        <w:sz w:val="20"/>
        <w:szCs w:val="2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rsidR="00721160" w:rsidRPr="004D71D9" w:rsidRDefault="00721160" w:rsidP="007E6D03">
    <w:pPr>
      <w:pStyle w:val="Header"/>
      <w:jc w:val="right"/>
      <w:rPr>
        <w:b/>
        <w:sz w:val="20"/>
        <w:szCs w:val="2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rsidR="00721160" w:rsidRPr="004D71D9" w:rsidRDefault="00721160" w:rsidP="007E6D03">
    <w:pPr>
      <w:pStyle w:val="Header"/>
      <w:jc w:val="right"/>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rsidR="00721160" w:rsidRPr="004D71D9" w:rsidRDefault="00721160" w:rsidP="00FD2011">
    <w:pPr>
      <w:pStyle w:val="Header"/>
      <w:jc w:val="right"/>
      <w:rPr>
        <w:b/>
        <w:sz w:val="20"/>
        <w:szCs w:val="20"/>
      </w:rPr>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rsidR="00721160" w:rsidRPr="004D71D9" w:rsidRDefault="00721160" w:rsidP="00FD2011">
    <w:pPr>
      <w:pStyle w:val="Header"/>
      <w:jc w:val="right"/>
      <w:rPr>
        <w:b/>
        <w:sz w:val="20"/>
        <w:szCs w:val="20"/>
      </w:rPr>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4D71D9" w:rsidRDefault="00721160"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rsidR="00721160" w:rsidRPr="004D71D9" w:rsidRDefault="00721160" w:rsidP="00FD2011">
    <w:pPr>
      <w:pStyle w:val="Header"/>
      <w:jc w:val="right"/>
      <w:rPr>
        <w:b/>
        <w:sz w:val="20"/>
        <w:szCs w:val="20"/>
      </w:rPr>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rsidR="00721160" w:rsidRPr="004D71D9" w:rsidRDefault="00721160" w:rsidP="00FD2011">
    <w:pPr>
      <w:pStyle w:val="Header"/>
      <w:jc w:val="right"/>
      <w:rPr>
        <w:b/>
        <w:sz w:val="20"/>
        <w:szCs w:val="20"/>
      </w:rPr>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Pr="004D71D9" w:rsidRDefault="00721160"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rsidR="00721160" w:rsidRDefault="00721160" w:rsidP="00FD2011">
    <w:pPr>
      <w:pStyle w:val="Header"/>
      <w:jc w:val="right"/>
      <w:rPr>
        <w:rFonts w:ascii="Century Schoolbook" w:hAnsi="Century Schoolbook"/>
        <w:b/>
        <w:bCs/>
        <w:sz w:val="20"/>
        <w:szCs w:val="20"/>
      </w:rPr>
    </w:pPr>
  </w:p>
  <w:p w:rsidR="00721160" w:rsidRPr="004D71D9" w:rsidRDefault="00721160" w:rsidP="00FD2011">
    <w:pPr>
      <w:pStyle w:val="Header"/>
      <w:jc w:val="right"/>
      <w:rPr>
        <w:b/>
        <w:sz w:val="20"/>
        <w:szCs w:val="20"/>
      </w:rPr>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0" w:rsidRDefault="0072116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rsidR="00721160" w:rsidRPr="004D71D9" w:rsidRDefault="00721160" w:rsidP="002379FB">
    <w:pPr>
      <w:pStyle w:val="Header"/>
      <w:jc w:val="center"/>
      <w:rPr>
        <w:b/>
        <w:sz w:val="20"/>
        <w:szCs w:val="20"/>
      </w:rP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3A01"/>
    <w:rsid w:val="000111B7"/>
    <w:rsid w:val="00013A2B"/>
    <w:rsid w:val="00013CD6"/>
    <w:rsid w:val="00014EF5"/>
    <w:rsid w:val="00016403"/>
    <w:rsid w:val="000218C3"/>
    <w:rsid w:val="000232F5"/>
    <w:rsid w:val="00025F17"/>
    <w:rsid w:val="00045400"/>
    <w:rsid w:val="000578AD"/>
    <w:rsid w:val="00066435"/>
    <w:rsid w:val="00071EFD"/>
    <w:rsid w:val="00073595"/>
    <w:rsid w:val="0007447F"/>
    <w:rsid w:val="00074C87"/>
    <w:rsid w:val="000759A6"/>
    <w:rsid w:val="00077674"/>
    <w:rsid w:val="000826F5"/>
    <w:rsid w:val="000842C8"/>
    <w:rsid w:val="00087183"/>
    <w:rsid w:val="00090421"/>
    <w:rsid w:val="000A3E7C"/>
    <w:rsid w:val="000B45C0"/>
    <w:rsid w:val="000D09A4"/>
    <w:rsid w:val="000D3FBC"/>
    <w:rsid w:val="000E077A"/>
    <w:rsid w:val="000E258F"/>
    <w:rsid w:val="000F489C"/>
    <w:rsid w:val="000F720A"/>
    <w:rsid w:val="001113F7"/>
    <w:rsid w:val="001237D8"/>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2A83"/>
    <w:rsid w:val="001C4E24"/>
    <w:rsid w:val="001C7410"/>
    <w:rsid w:val="001D04F4"/>
    <w:rsid w:val="001D2816"/>
    <w:rsid w:val="001D2BFF"/>
    <w:rsid w:val="001D344E"/>
    <w:rsid w:val="001F40F6"/>
    <w:rsid w:val="0020251F"/>
    <w:rsid w:val="0021264F"/>
    <w:rsid w:val="00214208"/>
    <w:rsid w:val="00222FF7"/>
    <w:rsid w:val="002264A7"/>
    <w:rsid w:val="002379FB"/>
    <w:rsid w:val="002478ED"/>
    <w:rsid w:val="00261053"/>
    <w:rsid w:val="00262A6F"/>
    <w:rsid w:val="00286EA6"/>
    <w:rsid w:val="002955FD"/>
    <w:rsid w:val="002A4023"/>
    <w:rsid w:val="002D1D62"/>
    <w:rsid w:val="002D65B8"/>
    <w:rsid w:val="002D6C64"/>
    <w:rsid w:val="002E3699"/>
    <w:rsid w:val="002E3EA5"/>
    <w:rsid w:val="003000E3"/>
    <w:rsid w:val="003054F7"/>
    <w:rsid w:val="00313559"/>
    <w:rsid w:val="00314D4A"/>
    <w:rsid w:val="0032651A"/>
    <w:rsid w:val="00326D5E"/>
    <w:rsid w:val="0033112A"/>
    <w:rsid w:val="003412A2"/>
    <w:rsid w:val="00356C5B"/>
    <w:rsid w:val="00357E4D"/>
    <w:rsid w:val="003618F6"/>
    <w:rsid w:val="003707DE"/>
    <w:rsid w:val="0037120C"/>
    <w:rsid w:val="00372245"/>
    <w:rsid w:val="003779BC"/>
    <w:rsid w:val="003941F6"/>
    <w:rsid w:val="003A2442"/>
    <w:rsid w:val="003A4103"/>
    <w:rsid w:val="003A4153"/>
    <w:rsid w:val="003A4271"/>
    <w:rsid w:val="003A4828"/>
    <w:rsid w:val="003A690C"/>
    <w:rsid w:val="003B14BB"/>
    <w:rsid w:val="003B6D6B"/>
    <w:rsid w:val="003B78A0"/>
    <w:rsid w:val="003C45A6"/>
    <w:rsid w:val="003C7F4A"/>
    <w:rsid w:val="003D23F7"/>
    <w:rsid w:val="003D68F7"/>
    <w:rsid w:val="003D6D3C"/>
    <w:rsid w:val="003E1C61"/>
    <w:rsid w:val="003E6E50"/>
    <w:rsid w:val="004101F4"/>
    <w:rsid w:val="00413A7C"/>
    <w:rsid w:val="00417646"/>
    <w:rsid w:val="0042151A"/>
    <w:rsid w:val="00430018"/>
    <w:rsid w:val="00434E7C"/>
    <w:rsid w:val="00436C4C"/>
    <w:rsid w:val="00436F3D"/>
    <w:rsid w:val="00452FE2"/>
    <w:rsid w:val="00453E56"/>
    <w:rsid w:val="00454648"/>
    <w:rsid w:val="004576EA"/>
    <w:rsid w:val="00474DE6"/>
    <w:rsid w:val="004808A7"/>
    <w:rsid w:val="00492A8B"/>
    <w:rsid w:val="004A2100"/>
    <w:rsid w:val="004C0251"/>
    <w:rsid w:val="004C2023"/>
    <w:rsid w:val="004C58B3"/>
    <w:rsid w:val="004D583E"/>
    <w:rsid w:val="004D71D9"/>
    <w:rsid w:val="004E27CA"/>
    <w:rsid w:val="004F02ED"/>
    <w:rsid w:val="0050288B"/>
    <w:rsid w:val="00514F00"/>
    <w:rsid w:val="00531E99"/>
    <w:rsid w:val="00533B63"/>
    <w:rsid w:val="00533ED3"/>
    <w:rsid w:val="00534ECE"/>
    <w:rsid w:val="0053679F"/>
    <w:rsid w:val="00563600"/>
    <w:rsid w:val="00567C4C"/>
    <w:rsid w:val="0057364E"/>
    <w:rsid w:val="00573AA9"/>
    <w:rsid w:val="0058314A"/>
    <w:rsid w:val="005A5A64"/>
    <w:rsid w:val="005B19B4"/>
    <w:rsid w:val="005C03F8"/>
    <w:rsid w:val="005C6D57"/>
    <w:rsid w:val="005E0AE1"/>
    <w:rsid w:val="006000BA"/>
    <w:rsid w:val="006016E5"/>
    <w:rsid w:val="00601AF0"/>
    <w:rsid w:val="006043E4"/>
    <w:rsid w:val="00625E9D"/>
    <w:rsid w:val="0062691A"/>
    <w:rsid w:val="00637E70"/>
    <w:rsid w:val="00640A0E"/>
    <w:rsid w:val="00640B5E"/>
    <w:rsid w:val="00650F70"/>
    <w:rsid w:val="00652F55"/>
    <w:rsid w:val="006623E3"/>
    <w:rsid w:val="00663CA4"/>
    <w:rsid w:val="006733CE"/>
    <w:rsid w:val="006821BC"/>
    <w:rsid w:val="006848AA"/>
    <w:rsid w:val="006B55D6"/>
    <w:rsid w:val="006C49DD"/>
    <w:rsid w:val="006C7E46"/>
    <w:rsid w:val="006D0074"/>
    <w:rsid w:val="006D5690"/>
    <w:rsid w:val="006D6099"/>
    <w:rsid w:val="006E1D86"/>
    <w:rsid w:val="006E5BE5"/>
    <w:rsid w:val="006F5B99"/>
    <w:rsid w:val="00704C38"/>
    <w:rsid w:val="007073DC"/>
    <w:rsid w:val="00721160"/>
    <w:rsid w:val="00730BE4"/>
    <w:rsid w:val="00733FCD"/>
    <w:rsid w:val="007367F0"/>
    <w:rsid w:val="00747378"/>
    <w:rsid w:val="007508F2"/>
    <w:rsid w:val="007514A3"/>
    <w:rsid w:val="00753106"/>
    <w:rsid w:val="0076126A"/>
    <w:rsid w:val="0076408F"/>
    <w:rsid w:val="00765475"/>
    <w:rsid w:val="007662ED"/>
    <w:rsid w:val="00770281"/>
    <w:rsid w:val="0077088E"/>
    <w:rsid w:val="00773F35"/>
    <w:rsid w:val="00782A0F"/>
    <w:rsid w:val="00784ECC"/>
    <w:rsid w:val="007A02A6"/>
    <w:rsid w:val="007B6322"/>
    <w:rsid w:val="007C4573"/>
    <w:rsid w:val="007C5AE4"/>
    <w:rsid w:val="007D4BAE"/>
    <w:rsid w:val="007E1FBF"/>
    <w:rsid w:val="007E6D03"/>
    <w:rsid w:val="00802411"/>
    <w:rsid w:val="00802CC2"/>
    <w:rsid w:val="00803DF5"/>
    <w:rsid w:val="0080651D"/>
    <w:rsid w:val="008077E6"/>
    <w:rsid w:val="00812EC9"/>
    <w:rsid w:val="00814B56"/>
    <w:rsid w:val="00817BDE"/>
    <w:rsid w:val="008214B2"/>
    <w:rsid w:val="0082313A"/>
    <w:rsid w:val="00830DA4"/>
    <w:rsid w:val="00833121"/>
    <w:rsid w:val="008359B4"/>
    <w:rsid w:val="008547A7"/>
    <w:rsid w:val="00860958"/>
    <w:rsid w:val="008628F1"/>
    <w:rsid w:val="00870297"/>
    <w:rsid w:val="00877FBF"/>
    <w:rsid w:val="00880DD8"/>
    <w:rsid w:val="00881089"/>
    <w:rsid w:val="008A0E5B"/>
    <w:rsid w:val="008A5C7E"/>
    <w:rsid w:val="008A70C8"/>
    <w:rsid w:val="008B1780"/>
    <w:rsid w:val="008B5850"/>
    <w:rsid w:val="008D05CB"/>
    <w:rsid w:val="008E2F38"/>
    <w:rsid w:val="008F1869"/>
    <w:rsid w:val="00901960"/>
    <w:rsid w:val="00901CEA"/>
    <w:rsid w:val="00914F9C"/>
    <w:rsid w:val="00930D23"/>
    <w:rsid w:val="00930E04"/>
    <w:rsid w:val="00941010"/>
    <w:rsid w:val="009510BB"/>
    <w:rsid w:val="009537BF"/>
    <w:rsid w:val="00953EB1"/>
    <w:rsid w:val="00955670"/>
    <w:rsid w:val="00957CD0"/>
    <w:rsid w:val="0096466E"/>
    <w:rsid w:val="00965EE0"/>
    <w:rsid w:val="009677AB"/>
    <w:rsid w:val="00974573"/>
    <w:rsid w:val="009758E3"/>
    <w:rsid w:val="00976B6B"/>
    <w:rsid w:val="009914F8"/>
    <w:rsid w:val="009B6489"/>
    <w:rsid w:val="009D11C1"/>
    <w:rsid w:val="009D3FDE"/>
    <w:rsid w:val="009D45C6"/>
    <w:rsid w:val="009D4885"/>
    <w:rsid w:val="009D73C7"/>
    <w:rsid w:val="009E28BB"/>
    <w:rsid w:val="009F4A3B"/>
    <w:rsid w:val="00A01CBF"/>
    <w:rsid w:val="00A0507F"/>
    <w:rsid w:val="00A10C34"/>
    <w:rsid w:val="00A16BEB"/>
    <w:rsid w:val="00A22D7C"/>
    <w:rsid w:val="00A50425"/>
    <w:rsid w:val="00A514A2"/>
    <w:rsid w:val="00A574CC"/>
    <w:rsid w:val="00A610BD"/>
    <w:rsid w:val="00A659B1"/>
    <w:rsid w:val="00A67D7B"/>
    <w:rsid w:val="00A77A48"/>
    <w:rsid w:val="00A81979"/>
    <w:rsid w:val="00A8690A"/>
    <w:rsid w:val="00A9540A"/>
    <w:rsid w:val="00A96551"/>
    <w:rsid w:val="00AA5CDE"/>
    <w:rsid w:val="00AC4E13"/>
    <w:rsid w:val="00AE5F0F"/>
    <w:rsid w:val="00AF4681"/>
    <w:rsid w:val="00B05F5D"/>
    <w:rsid w:val="00B0720B"/>
    <w:rsid w:val="00B16960"/>
    <w:rsid w:val="00B469F3"/>
    <w:rsid w:val="00B5136B"/>
    <w:rsid w:val="00B558F3"/>
    <w:rsid w:val="00B6244C"/>
    <w:rsid w:val="00B628AA"/>
    <w:rsid w:val="00B67AC1"/>
    <w:rsid w:val="00B76862"/>
    <w:rsid w:val="00B84B0F"/>
    <w:rsid w:val="00B8746B"/>
    <w:rsid w:val="00BA14BF"/>
    <w:rsid w:val="00BB35A4"/>
    <w:rsid w:val="00BB42BC"/>
    <w:rsid w:val="00BB6929"/>
    <w:rsid w:val="00BD4BAC"/>
    <w:rsid w:val="00BD4C3C"/>
    <w:rsid w:val="00BD7231"/>
    <w:rsid w:val="00BF053A"/>
    <w:rsid w:val="00BF2C99"/>
    <w:rsid w:val="00BF493F"/>
    <w:rsid w:val="00BF76C1"/>
    <w:rsid w:val="00C16C16"/>
    <w:rsid w:val="00C2313F"/>
    <w:rsid w:val="00C44EE8"/>
    <w:rsid w:val="00C46C30"/>
    <w:rsid w:val="00C54522"/>
    <w:rsid w:val="00C54A5F"/>
    <w:rsid w:val="00C72E41"/>
    <w:rsid w:val="00C94BBF"/>
    <w:rsid w:val="00CC3881"/>
    <w:rsid w:val="00CC557D"/>
    <w:rsid w:val="00CD69C6"/>
    <w:rsid w:val="00CE3EA6"/>
    <w:rsid w:val="00CE7D91"/>
    <w:rsid w:val="00CF75F6"/>
    <w:rsid w:val="00D01140"/>
    <w:rsid w:val="00D20C61"/>
    <w:rsid w:val="00D24CBD"/>
    <w:rsid w:val="00D34725"/>
    <w:rsid w:val="00D36FB8"/>
    <w:rsid w:val="00D413BD"/>
    <w:rsid w:val="00D54B7B"/>
    <w:rsid w:val="00D56A7C"/>
    <w:rsid w:val="00D65882"/>
    <w:rsid w:val="00D86B93"/>
    <w:rsid w:val="00D92663"/>
    <w:rsid w:val="00D95514"/>
    <w:rsid w:val="00D95F6F"/>
    <w:rsid w:val="00DA1B57"/>
    <w:rsid w:val="00DA74E6"/>
    <w:rsid w:val="00DB0116"/>
    <w:rsid w:val="00DC065C"/>
    <w:rsid w:val="00DC19C1"/>
    <w:rsid w:val="00DC19C7"/>
    <w:rsid w:val="00DC386C"/>
    <w:rsid w:val="00DE5D73"/>
    <w:rsid w:val="00DF0742"/>
    <w:rsid w:val="00E0190E"/>
    <w:rsid w:val="00E078C5"/>
    <w:rsid w:val="00E40B24"/>
    <w:rsid w:val="00E51BA7"/>
    <w:rsid w:val="00E719F0"/>
    <w:rsid w:val="00E77A12"/>
    <w:rsid w:val="00E8413F"/>
    <w:rsid w:val="00E87C3A"/>
    <w:rsid w:val="00E96842"/>
    <w:rsid w:val="00E96D45"/>
    <w:rsid w:val="00E97E18"/>
    <w:rsid w:val="00EA10BE"/>
    <w:rsid w:val="00EA7978"/>
    <w:rsid w:val="00EB06CC"/>
    <w:rsid w:val="00EB2319"/>
    <w:rsid w:val="00EC30F2"/>
    <w:rsid w:val="00ED1C04"/>
    <w:rsid w:val="00ED3C1A"/>
    <w:rsid w:val="00EE59D3"/>
    <w:rsid w:val="00EE6773"/>
    <w:rsid w:val="00EF672B"/>
    <w:rsid w:val="00F02197"/>
    <w:rsid w:val="00F25ECC"/>
    <w:rsid w:val="00F34231"/>
    <w:rsid w:val="00F544AB"/>
    <w:rsid w:val="00F62695"/>
    <w:rsid w:val="00F73B5F"/>
    <w:rsid w:val="00F9150D"/>
    <w:rsid w:val="00F93C71"/>
    <w:rsid w:val="00F95913"/>
    <w:rsid w:val="00FA393D"/>
    <w:rsid w:val="00FA4637"/>
    <w:rsid w:val="00FC0BD8"/>
    <w:rsid w:val="00FC3CFC"/>
    <w:rsid w:val="00FC47FC"/>
    <w:rsid w:val="00FC4822"/>
    <w:rsid w:val="00FD2011"/>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D24CBD"/>
    <w:rPr>
      <w:sz w:val="20"/>
      <w:szCs w:val="20"/>
    </w:rPr>
  </w:style>
  <w:style w:type="character" w:customStyle="1" w:styleId="FootnoteTextChar">
    <w:name w:val="Footnote Text Char"/>
    <w:basedOn w:val="DefaultParagraphFont"/>
    <w:link w:val="FootnoteText"/>
    <w:uiPriority w:val="99"/>
    <w:semiHidden/>
    <w:rsid w:val="00D24CBD"/>
    <w:rPr>
      <w:rFonts w:ascii="Times New Roman" w:hAnsi="Times New Roman"/>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14B5-7F77-4DC6-8F25-871042E8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769C2C52.dotm</Template>
  <TotalTime>0</TotalTime>
  <Pages>203</Pages>
  <Words>56573</Words>
  <Characters>303112</Characters>
  <Application>Microsoft Office Word</Application>
  <DocSecurity>0</DocSecurity>
  <Lines>2525</Lines>
  <Paragraphs>717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2014-11-07T19:36:00Z</dcterms:created>
  <dcterms:modified xsi:type="dcterms:W3CDTF">2014-11-07T19:36:00Z</dcterms:modified>
</cp:coreProperties>
</file>