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Instructions For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6"/>
          <w:headerReference w:type="default" r:id="rId7"/>
          <w:footerReference w:type="even" r:id="rId8"/>
          <w:footerReference w:type="default" r:id="rId9"/>
          <w:headerReference w:type="first" r:id="rId10"/>
          <w:footerReference w:type="first" r:id="rId11"/>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26D76E9"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Victorelli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2601(b)(1), (2)).</w:t>
      </w:r>
    </w:p>
    <w:p w14:paraId="137C5621" w14:textId="31316BE7" w:rsidR="006154EC" w:rsidRPr="001E4102" w:rsidRDefault="006154EC" w:rsidP="009C6F31">
      <w:pPr>
        <w:spacing w:after="240"/>
        <w:jc w:val="both"/>
      </w:pPr>
      <w:r w:rsidRPr="001E4102">
        <w:tab/>
        <w:t xml:space="preserve">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2612(a)(1). During the 12 week leave period, the employer must maintain the employee's group health coverage. § 2614(c)(1). Leave must be granted, when "medically necessary," on an intermittent or part-time basis. § 2612(b)(1). Upon the employee's timely return, the employer must reinstate the employee to his or her former position or an equivalent, § </w:t>
      </w:r>
      <w:r w:rsidRPr="001E4102">
        <w:lastRenderedPageBreak/>
        <w:t>2614(a)(1),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  2617(a)(1).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Special Provisions Concerning Servicemembers</w:t>
      </w:r>
    </w:p>
    <w:p w14:paraId="52D24A81" w14:textId="5E9857D4"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The amendments added to Section 2612(a)’s list of leave entitlements leave “[b]ecause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 29 U.S.C. § 2612(a)(1)(E). The amendments also created an entitlement to servicemember family leave: “Subject to section 2613 of this title, an eligible employee who is the spouse, son, daughter, parent, or next of kin of a covered servicemember shall be entitled to a total of 26 workweeks of leave during a 12-month period to care for the servicemember. The leave described in this paragraph shall only be available during a single 12-month period.”  </w:t>
      </w:r>
      <w:r w:rsidRPr="001E4102">
        <w:rPr>
          <w:i/>
        </w:rPr>
        <w:t>Id.</w:t>
      </w:r>
      <w:r w:rsidRPr="001E4102">
        <w:t xml:space="preserve"> § </w:t>
      </w:r>
      <w:r w:rsidRPr="001E4102">
        <w:lastRenderedPageBreak/>
        <w:t xml:space="preserve">2612(a)(3).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2612(a)(4).</w:t>
      </w:r>
    </w:p>
    <w:p w14:paraId="68810BE8" w14:textId="37B5B615"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2008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4"/>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2611(4)(A)(i); 29 C.F.R. § 825.104(</w:t>
      </w:r>
      <w:r w:rsidR="00021735" w:rsidRPr="001E4102">
        <w:t>a</w:t>
      </w:r>
      <w:r w:rsidRPr="001E4102">
        <w:t>).</w:t>
      </w:r>
    </w:p>
    <w:p w14:paraId="07B5860A" w14:textId="3DFA5264" w:rsidR="006154EC" w:rsidRPr="001E4102" w:rsidRDefault="006154EC" w:rsidP="009C6F31">
      <w:pPr>
        <w:spacing w:after="240"/>
        <w:jc w:val="both"/>
      </w:pPr>
      <w:r w:rsidRPr="001E4102">
        <w:tab/>
        <w:t xml:space="preserve">29 U.S.C. § 2611(4)(A)(iii)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U.S.C.A.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r w:rsidRPr="001E4102">
        <w:t xml:space="preserve">at 1338 (plurality opinion); </w:t>
      </w:r>
      <w:r w:rsidRPr="001E4102">
        <w:rPr>
          <w:i/>
        </w:rPr>
        <w:t>id.</w:t>
      </w:r>
      <w:r w:rsidRPr="001E4102">
        <w:t xml:space="preserve"> at 1338-39 (Scalia, J., concurring in the judgment).</w:t>
      </w:r>
      <w:r w:rsidRPr="001E4102">
        <w:tab/>
      </w:r>
    </w:p>
    <w:p w14:paraId="59E3E1A2" w14:textId="77777777" w:rsidR="006154EC" w:rsidRPr="001E4102" w:rsidRDefault="006154EC" w:rsidP="009C6F31">
      <w:pPr>
        <w:spacing w:after="240"/>
        <w:jc w:val="both"/>
      </w:pPr>
      <w:r w:rsidRPr="001E4102">
        <w:tab/>
        <w:t xml:space="preserve">29 U.S.C. § 2611(4)(A)(ii)(I)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responsible in whole or part for the alleged violation’ while acting in the employer's interest.”  </w:t>
      </w:r>
      <w:r w:rsidRPr="001E4102">
        <w:rPr>
          <w:i/>
        </w:rPr>
        <w:t>Haybarger v. Lawrence Cnty. Adult Prob. &amp; Parole</w:t>
      </w:r>
      <w:r w:rsidRPr="001E4102">
        <w:t xml:space="preserve">, 667 F.3d 408, 417 (3d Cir. 2012) (quoting </w:t>
      </w:r>
      <w:r w:rsidRPr="001E4102">
        <w:rPr>
          <w:i/>
        </w:rPr>
        <w:lastRenderedPageBreak/>
        <w:t>Riordan v. Kempiners</w:t>
      </w:r>
      <w:r w:rsidRPr="001E4102">
        <w:t xml:space="preserve">, 831 F.2d 690, 694 (7th Cir. 1987)).  The </w:t>
      </w:r>
      <w:r w:rsidRPr="001E4102">
        <w:rPr>
          <w:i/>
        </w:rPr>
        <w:t xml:space="preserve">Haybarger </w:t>
      </w:r>
      <w:r w:rsidRPr="001E4102">
        <w:t xml:space="preserve">court held that this liability extends to supervisors in public agencies.  </w:t>
      </w:r>
      <w:r w:rsidRPr="008E7FCC">
        <w:rPr>
          <w:i/>
        </w:rPr>
        <w:t>See id</w:t>
      </w:r>
      <w:r w:rsidRPr="001E4102">
        <w:t>. at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 xml:space="preserve">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825.120(a)(3).  29 U.S.C. § 2612(f)(2) sets special provisions concerning servicemember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4F4DB220"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 xml:space="preserve">The FMLA defines “spouse” as “a husband or wife, as the case may be.”  29 U.S.C. § 2611(13). As of </w:t>
      </w:r>
      <w:r w:rsidR="0086723D">
        <w:t>spring 2016</w:t>
      </w:r>
      <w:r w:rsidR="005C2882">
        <w:t>,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 § 2611(12); 29 C.F.R. § 825.122(</w:t>
      </w:r>
      <w:r w:rsidR="00021735" w:rsidRPr="001E4102">
        <w:t>d</w:t>
      </w:r>
      <w:r w:rsidRPr="001E4102">
        <w:t xml:space="preserve">). Persons with “in loco parentis” status under the FMLA </w:t>
      </w:r>
      <w:r w:rsidRPr="001E4102">
        <w:lastRenderedPageBreak/>
        <w:t>include those who had day-to-day responsibility to care for and financially support the employee when the employee was a child. 29 C.F.R. § 825.122(</w:t>
      </w:r>
      <w:r w:rsidR="005C1C73" w:rsidRPr="001E4102">
        <w:t>d</w:t>
      </w:r>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r w:rsidRPr="001E4102">
        <w:t>)(1). “Activities of daily living” include adaptive activities such as caring appropriately for one’s grooming and hygiene, bathing, dressing and eating. Id. “Instrumental activities of daily living”</w:t>
      </w:r>
      <w:r w:rsidR="00371FEC" w:rsidRPr="001E4102">
        <w:t xml:space="preserve"> </w:t>
      </w:r>
      <w:r w:rsidRPr="001E4102">
        <w:t>include cooking, cleaning, shopping, taking public transportation, paying bills, maintaining a residence, using telephones and directories, using a post office, etc. Id. “Physical or mental disability” means a physical or mental impairment that substantially limits one or more of the major life activities of an individual. 29 C.F.R. § 825.122(</w:t>
      </w:r>
      <w:r w:rsidR="005C1C73" w:rsidRPr="001E4102">
        <w:t>d</w:t>
      </w:r>
      <w:r w:rsidRPr="001E4102">
        <w:t>)(2). These terms are defined in the same manner as they are under the Americans with Disabilities Act. Id.</w:t>
      </w:r>
    </w:p>
    <w:p w14:paraId="3B180510" w14:textId="61D89DC9"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“[p]arent means a biological, adoptive, step or foster father or mother, or any other individual who stood in loco parentis to the employee when the employee was a son or daughter as defined in paragraph (d) of this section. This term does not include parents ‘in law.’”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r w:rsidRPr="001E4102">
        <w:rPr>
          <w:i/>
        </w:rPr>
        <w:t>Stekloff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0A0797ED" w:rsidR="006154EC" w:rsidRPr="001E4102" w:rsidRDefault="006154EC" w:rsidP="00E01AA2">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id. § 2613(d) (providing for “[r]esolution of conflicting opinions”); </w:t>
      </w:r>
      <w:r w:rsidR="004F1FE7" w:rsidRPr="001E4102">
        <w:rPr>
          <w:i/>
        </w:rPr>
        <w:t>id</w:t>
      </w:r>
      <w:r w:rsidR="004F1FE7" w:rsidRPr="001E4102">
        <w:t xml:space="preserve">. § 2613(e) (authorizing employer to “require ... subsequent recertifications on a reasonable basis”); </w:t>
      </w:r>
      <w:r w:rsidR="004F1FE7" w:rsidRPr="001E4102">
        <w:rPr>
          <w:i/>
        </w:rPr>
        <w:t>id</w:t>
      </w:r>
      <w:r w:rsidR="004F1FE7" w:rsidRPr="001E4102">
        <w:t xml:space="preserve">. § 2613(f) (addressing certifications relating to service in the Armed Forces).  As of </w:t>
      </w:r>
      <w:r w:rsidR="00536E3F">
        <w:t>spring 2016</w:t>
      </w:r>
      <w:r w:rsidR="004F1FE7" w:rsidRPr="001E4102">
        <w:t xml:space="preserve">, the regulations fleshing out the certification mechanism can be found at 29 C.F.R. §§ 825.305 – 825.313. </w:t>
      </w:r>
      <w:r w:rsidR="00E01AA2">
        <w:t xml:space="preserve">“If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 </w:t>
      </w:r>
      <w:r w:rsidR="00E01AA2" w:rsidRPr="00E01AA2">
        <w:rPr>
          <w:i/>
        </w:rPr>
        <w:t>Hansler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r w:rsidR="004F1FE7" w:rsidRPr="001E4102">
        <w:rPr>
          <w:i/>
        </w:rPr>
        <w:t>Budhun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r w:rsidR="004F1FE7" w:rsidRPr="001E4102">
        <w:rPr>
          <w:i/>
        </w:rPr>
        <w:t>Budhun</w:t>
      </w:r>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7777777" w:rsidR="006154EC" w:rsidRPr="001E4102" w:rsidRDefault="006154EC" w:rsidP="009C6F31">
      <w:pPr>
        <w:spacing w:after="240"/>
        <w:jc w:val="both"/>
      </w:pPr>
      <w:r w:rsidRPr="001E4102">
        <w:tab/>
        <w:t>29 U.S.C. § 2613(f) provides: “An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xml:space="preserve">, 132 S. Ct. 694, 702, 709 n.4 (2012).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at 710 (“The case before us is an employment discrimination suit brought on behalf of a minister, challenging her church's decision to fire her…. [T]he ministerial exception bars such a suit.”).  For further discussion of the ministerial exception, see Comment 5.0.</w:t>
      </w:r>
    </w:p>
    <w:p w14:paraId="08DC1F30" w14:textId="77777777" w:rsidR="00456D9D" w:rsidRPr="001E4102" w:rsidRDefault="00456D9D" w:rsidP="009C6F31">
      <w:pPr>
        <w:spacing w:after="240"/>
        <w:jc w:val="both"/>
        <w:sectPr w:rsidR="00456D9D" w:rsidRPr="001E4102" w:rsidSect="0072581A">
          <w:headerReference w:type="default" r:id="rId12"/>
          <w:pgSz w:w="12240" w:h="15840"/>
          <w:pgMar w:top="1920" w:right="1440" w:bottom="1920" w:left="1440" w:header="900" w:footer="1440" w:gutter="0"/>
          <w:lnNumType w:countBy="1" w:distance="576" w:restart="newSection"/>
          <w:cols w:space="720"/>
          <w:docGrid w:linePitch="326"/>
        </w:sectPr>
      </w:pP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Elements of an FMLA Claim— Interference With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5"/>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6"/>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[if [plaintiff] could foresee the need for leave, [he/she] notified [defendant] at least 30 days before the leave was to begin]</w:t>
      </w:r>
      <w:r w:rsidR="00587C7F" w:rsidRPr="001E4102">
        <w:rPr>
          <w:rStyle w:val="FootnoteReference"/>
        </w:rPr>
        <w:footnoteReference w:id="7"/>
      </w:r>
      <w:r w:rsidRPr="001E4102">
        <w:t xml:space="preserve"> </w:t>
      </w:r>
    </w:p>
    <w:p w14:paraId="355453EF"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Medical Leave Act, nor was [plaintiff] required to mention that Act in the notice. Nor was </w:t>
      </w:r>
      <w:r w:rsidRPr="001E4102">
        <w:lastRenderedPageBreak/>
        <w:t>[plaintiff]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1) terminating employment;</w:t>
      </w:r>
      <w:r w:rsidR="00DE3881" w:rsidRPr="001E4102">
        <w:rPr>
          <w:rStyle w:val="FootnoteReference"/>
        </w:rPr>
        <w:footnoteReference w:id="8"/>
      </w:r>
    </w:p>
    <w:p w14:paraId="7A451E7F" w14:textId="77777777" w:rsidR="006154EC" w:rsidRPr="001E4102" w:rsidRDefault="006154EC" w:rsidP="009C6F31">
      <w:pPr>
        <w:spacing w:after="240"/>
        <w:ind w:left="1440"/>
        <w:jc w:val="both"/>
      </w:pPr>
      <w:r w:rsidRPr="001E4102">
        <w:t>2) refusing to allow an employee to return to his or her job, or to an equivalent position, upon return from leave;</w:t>
      </w:r>
      <w:r w:rsidRPr="001E4102">
        <w:rPr>
          <w:rStyle w:val="FootnoteReference"/>
        </w:rPr>
        <w:footnoteReference w:id="9"/>
      </w:r>
    </w:p>
    <w:p w14:paraId="48AFDDEE" w14:textId="77777777" w:rsidR="006154EC" w:rsidRPr="001E4102" w:rsidRDefault="006154EC" w:rsidP="009C6F31">
      <w:pPr>
        <w:spacing w:after="240"/>
        <w:ind w:left="1440"/>
        <w:jc w:val="both"/>
      </w:pPr>
      <w:r w:rsidRPr="001E4102">
        <w:t>3) ordering an employee not to take leave or discouraging an employee from taking leave; and</w:t>
      </w:r>
    </w:p>
    <w:p w14:paraId="1DE1CD9A" w14:textId="77777777" w:rsidR="006154EC" w:rsidRPr="001E4102" w:rsidRDefault="006154EC" w:rsidP="009C6F31">
      <w:pPr>
        <w:spacing w:after="240"/>
        <w:ind w:left="1440"/>
        <w:jc w:val="both"/>
      </w:pPr>
      <w:r w:rsidRPr="001E4102">
        <w:t>4) failing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lastRenderedPageBreak/>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E4102">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Ross v. Gilhuly</w:t>
      </w:r>
      <w:r w:rsidR="00F970EA" w:rsidRPr="001E4102">
        <w:t xml:space="preserve">, 755 F.3d 185, 191-92 (3d Cir. 2014) (quoting </w:t>
      </w:r>
      <w:r w:rsidR="00F970EA" w:rsidRPr="001E4102">
        <w:rPr>
          <w:i/>
        </w:rPr>
        <w:t>Johnson v. Cmty. Coll. of Allegheny Cnty.</w:t>
      </w:r>
      <w:r w:rsidR="00F970EA" w:rsidRPr="001E4102">
        <w:t>, 566 F. Supp. 2d 405, 446 (W.D. Pa. 2008)).</w:t>
      </w:r>
      <w:r w:rsidR="00F970EA" w:rsidRPr="001E4102">
        <w:rPr>
          <w:rStyle w:val="FootnoteReference"/>
        </w:rPr>
        <w:footnoteReference w:id="10"/>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38710DB4"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Supp.2d 478, 483 (D.N.J. 2002), provides helpful background on the gravamen of a claim brought under § 2615(a)(1):</w:t>
      </w:r>
    </w:p>
    <w:p w14:paraId="1E56F2C2" w14:textId="32077631" w:rsidR="006154EC" w:rsidRPr="001E4102" w:rsidRDefault="006154EC" w:rsidP="009C6F31">
      <w:pPr>
        <w:spacing w:after="240"/>
        <w:ind w:left="720"/>
        <w:jc w:val="both"/>
      </w:pPr>
      <w:r w:rsidRPr="001E4102">
        <w:tab/>
        <w:t>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2614(a)(1). . . .</w:t>
      </w:r>
    </w:p>
    <w:p w14:paraId="08ABC503" w14:textId="0D572428" w:rsidR="006154EC" w:rsidRPr="001E4102" w:rsidRDefault="006154EC" w:rsidP="009C6F31">
      <w:pPr>
        <w:spacing w:after="240"/>
        <w:ind w:left="720"/>
        <w:jc w:val="both"/>
      </w:pPr>
      <w:r w:rsidRPr="001E4102">
        <w:lastRenderedPageBreak/>
        <w:tab/>
        <w:t>An employee can allege that an employer has violated the FMLA because she was denied the entitlements due her under the Act.  29 U.S.C. § 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Callison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77777777"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Shenango, Inc., </w:t>
      </w:r>
      <w:r w:rsidRPr="001E4102">
        <w:t xml:space="preserve">986 F. Supp. 309, 317 (W.D.Pa. 1997) (finding that “a claim under §  2615(a)(1) is governed by a strict liability standard”); </w:t>
      </w:r>
      <w:r w:rsidRPr="001E4102">
        <w:rPr>
          <w:i/>
        </w:rPr>
        <w:t>Moorer v. Baptist Memorial Health Care</w:t>
      </w:r>
      <w:r w:rsidRPr="001E4102">
        <w:t>, 398 F.3d 469, 487 (6</w:t>
      </w:r>
      <w:r w:rsidRPr="001E4102">
        <w:rPr>
          <w:vertAlign w:val="superscript"/>
        </w:rPr>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Pr="001E4102">
        <w:rPr>
          <w:vertAlign w:val="superscript"/>
        </w:rPr>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825.216(a)(1).  The court continued its analysis as follows:</w:t>
      </w:r>
    </w:p>
    <w:p w14:paraId="655ECC5D" w14:textId="2D61163D" w:rsidR="006154EC" w:rsidRPr="001E4102" w:rsidRDefault="006154EC" w:rsidP="009C6F31">
      <w:pPr>
        <w:spacing w:after="240"/>
        <w:ind w:left="720"/>
        <w:jc w:val="both"/>
      </w:pPr>
      <w:r w:rsidRPr="001E4102">
        <w:t xml:space="preserve">The Third Circuit has not considered whether this regulation places the burden on the employer. The Tenth Circuit has held that it does and functions like an affirmative defense.  </w:t>
      </w:r>
      <w:r w:rsidRPr="001E4102">
        <w:rPr>
          <w:i/>
        </w:rPr>
        <w:t>Smith v. Diffee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w:t>
      </w:r>
      <w:r w:rsidRPr="001E4102">
        <w:lastRenderedPageBreak/>
        <w:t xml:space="preserve">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4722175F" w:rsidR="006154EC" w:rsidRPr="001E4102" w:rsidRDefault="006154EC" w:rsidP="009C6F31">
      <w:pPr>
        <w:spacing w:after="240"/>
        <w:jc w:val="both"/>
      </w:pPr>
      <w:r w:rsidRPr="001E4102">
        <w:t xml:space="preserve">234 F. Supp.2d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Throneberry v. McGehee Desha County Hosp., </w:t>
      </w:r>
      <w:r w:rsidRPr="001E4102">
        <w:t>403 F.3d 972 (8</w:t>
      </w:r>
      <w:r w:rsidRPr="001E4102">
        <w:rPr>
          <w:vertAlign w:val="superscript"/>
        </w:rPr>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7D56E4D6" w:rsidR="006154EC" w:rsidRPr="001E4102" w:rsidRDefault="006154EC" w:rsidP="009C6F31">
      <w:pPr>
        <w:spacing w:after="240"/>
        <w:jc w:val="both"/>
      </w:pPr>
      <w:r w:rsidRPr="001E4102">
        <w:tab/>
        <w:t xml:space="preserve">“[F]iring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r w:rsidR="00A55ED6" w:rsidRPr="001E4102">
        <w:rPr>
          <w:i/>
        </w:rPr>
        <w:t>Budhun</w:t>
      </w:r>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w:t>
      </w:r>
      <w:r w:rsidRPr="001E4102">
        <w:lastRenderedPageBreak/>
        <w:t xml:space="preserve">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Gilhuly</w:t>
      </w:r>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p>
    <w:p w14:paraId="159FF047" w14:textId="77777777" w:rsidR="006154EC" w:rsidRPr="001E4102" w:rsidRDefault="006154EC" w:rsidP="009C6F31">
      <w:pPr>
        <w:spacing w:after="240"/>
        <w:jc w:val="both"/>
      </w:pPr>
      <w:r w:rsidRPr="001E4102">
        <w:tab/>
        <w:t>Courts have held that conduct discouraging employees from taking FMLA leave constitutes interference, even if the employee ends up taking the leave. For example, in</w:t>
      </w:r>
      <w:r w:rsidRPr="001E4102">
        <w:rPr>
          <w:i/>
        </w:rPr>
        <w:t xml:space="preserve"> Shtab v. The Greate Bay Hotel and Casino, </w:t>
      </w:r>
      <w:r w:rsidRPr="001E4102">
        <w:t xml:space="preserve">173 F. Supp.2d 255 (D.N.J. 2001), the court found that an employee could establish an interference claim by proving that when he brought up the subject of FMLA leave, the employer tried to persuade him to delay the leave because it was an especially busy period. The plaintiff did not delay the leave, and the defendant argued that there was no ground of recovery for interference because the plaintiff suffered no adverse employment action. But the court disagreed, relying on 29 C.F.R. §  825.220 (b), which  defines "interference" as including "not only refusing to authorize FMLA leave, but discouraging an employee from using such leave.” </w:t>
      </w:r>
      <w:r w:rsidRPr="001E4102">
        <w:rPr>
          <w:i/>
        </w:rPr>
        <w:t xml:space="preserve">See also Williams v. Shenango, Inc., </w:t>
      </w:r>
      <w:r w:rsidRPr="001E4102">
        <w:t>986 F. Supp. 309, 320-21 (W.D. Pa. 1997) (employer's motion for summary judgment denied where "reasonable persons could conclude that the initial denial of leave and the suggestion of rescheduling leave may, in fact, constitute 'interference with' FMLA rights").</w:t>
      </w:r>
    </w:p>
    <w:p w14:paraId="33D18C5D" w14:textId="4AFE3354" w:rsidR="006154EC" w:rsidRPr="001E4102" w:rsidRDefault="006154EC" w:rsidP="009C6F31">
      <w:pPr>
        <w:spacing w:after="240"/>
        <w:jc w:val="both"/>
      </w:pPr>
      <w:r w:rsidRPr="001E4102">
        <w:tab/>
        <w:t xml:space="preserve">The FMLA does not, however, prohibit reasonable attempts by the employer to protect against abuses in taking leave. Thus, in </w:t>
      </w:r>
      <w:r w:rsidRPr="001E4102">
        <w:rPr>
          <w:i/>
        </w:rPr>
        <w:t xml:space="preserve">Callison v. City of Philadelphia, </w:t>
      </w:r>
      <w:r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disagreed, stating that the FMLA does not prevent employers “from ensuring that employees who are on leave from work do not abuse their leave.”  Bracketed material in the instruction is consistent with the </w:t>
      </w:r>
      <w:r w:rsidRPr="001E4102">
        <w:rPr>
          <w:i/>
        </w:rPr>
        <w:t xml:space="preserve">Callison </w:t>
      </w:r>
      <w:r w:rsidRPr="001E4102">
        <w:t>decision.</w:t>
      </w:r>
    </w:p>
    <w:p w14:paraId="3FB162AA" w14:textId="6CA5F61D" w:rsidR="00CA3155" w:rsidRPr="001E4102" w:rsidRDefault="00CA3155" w:rsidP="009C6F31">
      <w:pPr>
        <w:spacing w:after="240"/>
        <w:ind w:firstLine="720"/>
        <w:jc w:val="both"/>
      </w:pPr>
      <w:r w:rsidRPr="001E4102">
        <w:t xml:space="preserve">The Court of Appeals addressed interference with the employee’s right to return to work in </w:t>
      </w:r>
      <w:r w:rsidRPr="001E4102">
        <w:rPr>
          <w:i/>
        </w:rPr>
        <w:t>Budhun v. Reading Hosp. &amp; Med. Ctr.</w:t>
      </w:r>
      <w:r w:rsidRPr="001E4102">
        <w:t xml:space="preserve">, </w:t>
      </w:r>
      <w:r w:rsidR="00DF5020" w:rsidRPr="001E4102">
        <w:t xml:space="preserve">765 F.3d 245 </w:t>
      </w:r>
      <w:r w:rsidRPr="001E4102">
        <w:t xml:space="preserve">(3d Cir. 2014).  Viewing the facts in the light most favorable to Budhun, the Court of Appeals held that Budhun invoked her right to return by stating in an August 12 email that she would return on August 16 and by attaching a doctor’s note stating that she had no restrictions.  </w:t>
      </w:r>
      <w:r w:rsidRPr="001E4102">
        <w:rPr>
          <w:i/>
        </w:rPr>
        <w:t>See id.</w:t>
      </w:r>
      <w:r w:rsidR="00E8599D" w:rsidRPr="001E4102">
        <w:t xml:space="preserve"> at 249</w:t>
      </w:r>
      <w:r w:rsidRPr="001E4102">
        <w:t xml:space="preserve">, </w:t>
      </w:r>
      <w:r w:rsidR="00E8599D" w:rsidRPr="001E4102">
        <w:t>252.</w:t>
      </w:r>
      <w:r w:rsidRPr="001E4102">
        <w:t xml:space="preserve">  The fact that the doctor’s note spoke only in general terms (and did not address Budhun’s ability to perform specific tasks) did not make the certification inadequate, because Budhun’s employer had not included (in its individualized FMLA notice to Budhun) “a list of essential functions” for Budhun’s job.  </w:t>
      </w:r>
      <w:r w:rsidRPr="001E4102">
        <w:rPr>
          <w:i/>
        </w:rPr>
        <w:t>Id</w:t>
      </w:r>
      <w:r w:rsidRPr="001E4102">
        <w:t xml:space="preserve">. at </w:t>
      </w:r>
      <w:r w:rsidR="00841CB5" w:rsidRPr="001E4102">
        <w:t>253</w:t>
      </w:r>
      <w:r w:rsidRPr="001E4102">
        <w:t xml:space="preserve">.  Moreover, a subsequent equivocation by the doctor (stating that Budhun should instead be off work until September 8) did not alter the analysis because that statement post-dated the employer’s directive to Budhun “that she could not return to work until she had full use of all ten fingers.”  </w:t>
      </w:r>
      <w:r w:rsidRPr="001E4102">
        <w:rPr>
          <w:i/>
        </w:rPr>
        <w:t>Id.</w:t>
      </w:r>
      <w:r w:rsidRPr="001E4102">
        <w:t xml:space="preserve">  (The </w:t>
      </w:r>
      <w:r w:rsidRPr="001E4102">
        <w:rPr>
          <w:i/>
        </w:rPr>
        <w:lastRenderedPageBreak/>
        <w:t>Budhun</w:t>
      </w:r>
      <w:r w:rsidRPr="001E4102">
        <w:t xml:space="preserve"> court was applying </w:t>
      </w:r>
      <w:r w:rsidR="006154EC" w:rsidRPr="001E4102">
        <w:t>29 C.F.R. §</w:t>
      </w:r>
      <w:r w:rsidRPr="001E4102">
        <w:t xml:space="preserve"> 825.312 as it stood in 2010, </w:t>
      </w:r>
      <w:r w:rsidRPr="001E4102">
        <w:rPr>
          <w:i/>
        </w:rPr>
        <w:t>see Budhun</w:t>
      </w:r>
      <w:r w:rsidRPr="001E4102">
        <w:t xml:space="preserve">, </w:t>
      </w:r>
      <w:r w:rsidR="00841CB5" w:rsidRPr="001E4102">
        <w:t>765 F.3d at 251</w:t>
      </w:r>
      <w:r w:rsidRPr="001E4102">
        <w:t xml:space="preserve"> n.1; the version in effect as of </w:t>
      </w:r>
      <w:r w:rsidR="00931970">
        <w:t>spring 2016</w:t>
      </w:r>
      <w:r w:rsidRPr="001E4102">
        <w:t xml:space="preserve">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r w:rsidRPr="001E4102">
        <w:t xml:space="preserve">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r w:rsidRPr="001E4102">
        <w:rPr>
          <w:i/>
        </w:rPr>
        <w:t>Conoshenti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r w:rsidRPr="001E4102">
        <w:rPr>
          <w:i/>
        </w:rPr>
        <w:t>Lupyan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2A10685F" w:rsidR="006154EC" w:rsidRPr="001E4102" w:rsidRDefault="00FE6A36" w:rsidP="009C6F31">
      <w:pPr>
        <w:spacing w:after="240"/>
        <w:ind w:firstLine="720"/>
        <w:jc w:val="both"/>
      </w:pPr>
      <w:r w:rsidRPr="001E4102">
        <w:lastRenderedPageBreak/>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1"/>
      </w:r>
      <w:r w:rsidRPr="001E4102">
        <w:t xml:space="preserve">  As of </w:t>
      </w:r>
      <w:r w:rsidR="009274A6">
        <w:t>spring 2016</w:t>
      </w:r>
      <w:r w:rsidRPr="001E4102">
        <w:t xml:space="preserve">,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r w:rsidR="006154EC" w:rsidRPr="001E4102">
        <w:rPr>
          <w:i/>
        </w:rPr>
        <w:t xml:space="preserve">Sarnowski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r w:rsidR="006154EC" w:rsidRPr="001E4102">
        <w:rPr>
          <w:i/>
        </w:rPr>
        <w:t>Sarnowski</w:t>
      </w:r>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With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r w:rsidRPr="001E4102">
        <w:rPr>
          <w:i/>
        </w:rPr>
        <w:t>Conoshenti v. Public Service Electric &amp; Gas Co.</w:t>
      </w:r>
      <w:r w:rsidRPr="001E4102">
        <w:t xml:space="preserve">, 364 F.3d 135, 143 (3d Cir. 2004).  </w:t>
      </w:r>
      <w:r w:rsidRPr="001E4102">
        <w:lastRenderedPageBreak/>
        <w:t xml:space="preserve">The </w:t>
      </w:r>
      <w:r w:rsidRPr="001E4102">
        <w:rPr>
          <w:i/>
        </w:rPr>
        <w:t xml:space="preserve">Conoshenti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  825.301(b)(1), (c)). The plaintiff in </w:t>
      </w:r>
      <w:r w:rsidRPr="001E4102">
        <w:rPr>
          <w:i/>
        </w:rPr>
        <w:t xml:space="preserve">Conoshenti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See also Lupyan</w:t>
      </w:r>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w:t>
      </w:r>
      <w:r>
        <w:lastRenderedPageBreak/>
        <w:t xml:space="preserve">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3"/>
          <w:pgSz w:w="12240" w:h="15840"/>
          <w:pgMar w:top="1920" w:right="1440" w:bottom="1920" w:left="1440" w:header="900" w:footer="1440" w:gutter="0"/>
          <w:lnNumType w:countBy="1" w:distance="576" w:restart="newSection"/>
          <w:cols w:space="720"/>
          <w:docGrid w:linePitch="326"/>
        </w:sectPr>
      </w:pPr>
      <w:r w:rsidRPr="00896394">
        <w:rPr>
          <w:i/>
        </w:rPr>
        <w:t>Hansler v. Lehigh Valley Hosp. Network</w:t>
      </w:r>
      <w:r>
        <w:t>, 798 F.3d 149, 157 (3d Cir. 2015)</w:t>
      </w:r>
      <w:r w:rsidR="007F32F8" w:rsidRPr="007F32F8">
        <w:t xml:space="preserve">; </w:t>
      </w:r>
      <w:r w:rsidR="007F32F8" w:rsidRPr="00CD3164">
        <w:rPr>
          <w:i/>
        </w:rPr>
        <w:t>id</w:t>
      </w:r>
      <w:r w:rsidR="007F32F8" w:rsidRPr="007F32F8">
        <w:t>. at 156 (“Assuming that she can prove she was denied benefits to which she was otherwise entitled, Hansler may premise her interference claim on these alleged regulatory violations.”)</w:t>
      </w:r>
      <w:r>
        <w:t>.</w:t>
      </w:r>
    </w:p>
    <w:p w14:paraId="18CFD9AE" w14:textId="7AB6EE2B" w:rsidR="006154EC" w:rsidRPr="001E4102" w:rsidRDefault="006154EC" w:rsidP="009C6F31">
      <w:pPr>
        <w:spacing w:after="240"/>
        <w:jc w:val="both"/>
      </w:pPr>
      <w:r w:rsidRPr="001E4102">
        <w:rPr>
          <w:b/>
          <w:sz w:val="28"/>
        </w:rPr>
        <w:lastRenderedPageBreak/>
        <w:t>10.1.2  Elements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79F48A55"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 in [defendant's] decision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2"/>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3"/>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w:t>
      </w:r>
      <w:r w:rsidRPr="001E4102">
        <w:lastRenderedPageBreak/>
        <w:t>notice” is whether the information given to [defendant] was sufficient to reasonably apprise it of [plaintiff’s] request to take time off for a serious health condition.</w:t>
      </w:r>
    </w:p>
    <w:p w14:paraId="7A6C8374" w14:textId="0ECE5AA4"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4"/>
      </w:r>
      <w:r w:rsidRPr="001E4102">
        <w:t xml:space="preserve"> [was terminated after returning from leave] [was demoted after returning from leave].</w:t>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[plaintiff].</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5"/>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E4102">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1A9CF897"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 xml:space="preserve">“The [FMLA’s] prohibition against interference </w:t>
      </w:r>
      <w:r w:rsidR="00F27D8C" w:rsidRPr="001E4102">
        <w:lastRenderedPageBreak/>
        <w:t>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16"/>
      </w:r>
      <w:r w:rsidR="00F27D8C" w:rsidRPr="001E4102">
        <w:t xml:space="preserve">  Although dictum in </w:t>
      </w:r>
      <w:r w:rsidR="00F27D8C" w:rsidRPr="001E4102">
        <w:rPr>
          <w:i/>
          <w:iCs/>
        </w:rPr>
        <w:t xml:space="preserve">Callison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more recently cited Section 2615(a)(2) as the basis for such claims, </w:t>
      </w:r>
      <w:r w:rsidR="00F27D8C" w:rsidRPr="001E4102">
        <w:rPr>
          <w:i/>
        </w:rPr>
        <w:t>see</w:t>
      </w:r>
      <w:r w:rsidR="00F27D8C" w:rsidRPr="001E4102">
        <w:t xml:space="preserve"> </w:t>
      </w:r>
      <w:r w:rsidR="00F27D8C" w:rsidRPr="001E4102">
        <w:rPr>
          <w:i/>
        </w:rPr>
        <w:t>Lupyan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if an employer retaliates against an employee for exercising her FMLA rights”), in four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 xml:space="preserve">[R]etaliation for taking an FMLA leave does not come within the literal scope of the sections of the FMLA directed to retaliation: § 2615(a)(2),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4FB7F33F" w:rsidR="00F27D8C" w:rsidRPr="001E4102" w:rsidRDefault="00F27D8C" w:rsidP="00263C2B">
      <w:pPr>
        <w:spacing w:after="240"/>
        <w:jc w:val="both"/>
        <w:rPr>
          <w:u w:val="single"/>
        </w:rPr>
      </w:pPr>
      <w:r w:rsidRPr="001E4102">
        <w:rPr>
          <w:i/>
        </w:rPr>
        <w:t>Conoshenti v. Pub. Serv. Elec. &amp; Gas Co.</w:t>
      </w:r>
      <w:r w:rsidRPr="001E4102">
        <w:t xml:space="preserve">, 364 F.3d 135, 146 n. 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r w:rsidRPr="001E4102">
        <w:rPr>
          <w:i/>
        </w:rPr>
        <w:t>Conoshenti</w:t>
      </w:r>
      <w:r w:rsidRPr="001E4102">
        <w:t xml:space="preserve">’s reliance on the regulation); </w:t>
      </w:r>
      <w:r w:rsidRPr="001E4102">
        <w:rPr>
          <w:i/>
        </w:rPr>
        <w:t>Budhun v. Reading Hosp. &amp; Med. Ctr.</w:t>
      </w:r>
      <w:r w:rsidRPr="001E4102">
        <w:t xml:space="preserve">, No. 11-4625, </w:t>
      </w:r>
      <w:r w:rsidR="00F2194B" w:rsidRPr="001E4102">
        <w:t>765 F.3d 245</w:t>
      </w:r>
      <w:r w:rsidRPr="001E4102">
        <w:t xml:space="preserve">, </w:t>
      </w:r>
      <w:r w:rsidR="00F2194B" w:rsidRPr="001E4102">
        <w:t>256</w:t>
      </w:r>
      <w:r w:rsidRPr="001E4102">
        <w:t xml:space="preserve"> (3d Cir. 2014) (“FMLA retaliation </w:t>
      </w:r>
      <w:r w:rsidRPr="001E4102">
        <w:lastRenderedPageBreak/>
        <w:t xml:space="preserve">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r w:rsidR="00263C2B" w:rsidRPr="00263C2B">
        <w:rPr>
          <w:i/>
        </w:rPr>
        <w:t>Hansler v. Lehigh Valley Hosp. Network</w:t>
      </w:r>
      <w:r w:rsidR="00263C2B">
        <w:t>, 798 F.3d 149, 158 (3d Cir. 2015)</w:t>
      </w:r>
      <w:r w:rsidR="00E6348F" w:rsidRPr="00E6348F">
        <w:t xml:space="preserve"> (citing both Section 2615(a)(2) and 29 C.F.R. § 825.220(c) as authority for a retaliation-for-exercise claim).</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7777777" w:rsidR="00127A0C" w:rsidRPr="001E4102" w:rsidRDefault="003F2443" w:rsidP="009C6F31">
      <w:pPr>
        <w:spacing w:after="240"/>
        <w:jc w:val="both"/>
      </w:pPr>
      <w:r w:rsidRPr="001E4102">
        <w:rPr>
          <w:i/>
          <w:iCs/>
        </w:rPr>
        <w:t>Questions concerning a</w:t>
      </w:r>
      <w:r w:rsidR="00127A0C" w:rsidRPr="001E4102">
        <w:rPr>
          <w:i/>
          <w:iCs/>
        </w:rPr>
        <w:t>vailability of a mixed-motive framework for FMLA claims</w:t>
      </w:r>
    </w:p>
    <w:p w14:paraId="1640E0C3" w14:textId="6A8676A6" w:rsidR="006154EC" w:rsidRPr="001E4102" w:rsidRDefault="00557504" w:rsidP="009C6F31">
      <w:pPr>
        <w:spacing w:after="240"/>
        <w:ind w:firstLine="720"/>
        <w:jc w:val="both"/>
      </w:pPr>
      <w:r w:rsidRPr="001E4102">
        <w:t xml:space="preserve">Before employing Instruction 10.1.2, users of these instructions should consider what effect, if any, the Supreme Court’s decisions in </w:t>
      </w:r>
      <w:r w:rsidRPr="001E4102">
        <w:rPr>
          <w:i/>
        </w:rPr>
        <w:t xml:space="preserve">University of Texas Southwestern </w:t>
      </w:r>
      <w:r w:rsidR="006154EC" w:rsidRPr="001E4102">
        <w:rPr>
          <w:i/>
        </w:rPr>
        <w:t xml:space="preserve">Medical </w:t>
      </w:r>
      <w:r w:rsidRPr="001E4102">
        <w:rPr>
          <w:i/>
        </w:rPr>
        <w:t>Center v. Nassar</w:t>
      </w:r>
      <w:r w:rsidRPr="001E4102">
        <w:t xml:space="preserve">, 133 S. </w:t>
      </w:r>
      <w:r w:rsidR="006154EC" w:rsidRPr="001E4102">
        <w:t xml:space="preserve">Ct. </w:t>
      </w:r>
      <w:r w:rsidRPr="001E4102">
        <w:t xml:space="preserve">2517, 2533 (2013), and </w:t>
      </w:r>
      <w:r w:rsidRPr="001E4102">
        <w:rPr>
          <w:i/>
        </w:rPr>
        <w:t xml:space="preserve">Gross v. </w:t>
      </w:r>
      <w:r w:rsidR="006154EC" w:rsidRPr="001E4102">
        <w:rPr>
          <w:i/>
        </w:rPr>
        <w:t>FBL Financial Services, Inc</w:t>
      </w:r>
      <w:r w:rsidR="006154EC" w:rsidRPr="001E4102">
        <w:t xml:space="preserve">., </w:t>
      </w:r>
      <w:r w:rsidRPr="001E4102">
        <w:t xml:space="preserve">557 </w:t>
      </w:r>
      <w:r w:rsidR="006154EC" w:rsidRPr="001E4102">
        <w:t>U.S.</w:t>
      </w:r>
      <w:r w:rsidRPr="001E4102">
        <w:t xml:space="preserve"> 167 (2009), may have on earlier lower-</w:t>
      </w:r>
      <w:r w:rsidR="006154EC" w:rsidRPr="001E4102">
        <w:t xml:space="preserve">court </w:t>
      </w:r>
      <w:r w:rsidRPr="001E4102">
        <w:t>decisions recognizing</w:t>
      </w:r>
      <w:r w:rsidR="006154EC" w:rsidRPr="001E4102">
        <w:t xml:space="preserve"> a mixed-motive framework for FMLA claims</w:t>
      </w:r>
      <w:r w:rsidRPr="001E4102">
        <w:t>.</w:t>
      </w:r>
    </w:p>
    <w:p w14:paraId="7D3EB450" w14:textId="12C52A50" w:rsidR="00127A0C" w:rsidRPr="001E4102" w:rsidRDefault="00475D22" w:rsidP="009C6F31">
      <w:pPr>
        <w:spacing w:after="240"/>
        <w:ind w:firstLine="720"/>
        <w:jc w:val="both"/>
      </w:pPr>
      <w:r w:rsidRPr="001E4102">
        <w:t xml:space="preserve">Prior to </w:t>
      </w:r>
      <w:r w:rsidRPr="001E4102">
        <w:rPr>
          <w:i/>
        </w:rPr>
        <w:t xml:space="preserve">Nassar </w:t>
      </w:r>
      <w:r w:rsidRPr="001E4102">
        <w:t xml:space="preserve">and </w:t>
      </w:r>
      <w:r w:rsidRPr="001E4102">
        <w:rPr>
          <w:i/>
        </w:rPr>
        <w:t>Gross</w:t>
      </w:r>
      <w:r w:rsidRPr="001E4102">
        <w:t>, 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See generally Wilson v. Lemington Home for the Aged</w:t>
      </w:r>
      <w:r w:rsidR="006154EC" w:rsidRPr="001E4102">
        <w:t xml:space="preserve">, 159 F. Supp.2d 186, 195 (W.D.Pa. 2001) (“In analyzing claims made for retaliation under the FMLA, courts look to the legal framework established for Title VII claims. . . . Thus, a plaintiff may prove FMLA retaliation by direct evidence as set forth in </w:t>
      </w:r>
      <w:r w:rsidR="006154EC" w:rsidRPr="001E4102">
        <w:rPr>
          <w:i/>
        </w:rPr>
        <w:t>Price Waterhouse v. Hopkins</w:t>
      </w:r>
      <w:r w:rsidR="006154EC" w:rsidRPr="001E4102">
        <w:t>, 490 U.S. 228, 244-46 (1989), or indirectly through the burden shifting analysis set forth by the Supreme Court in</w:t>
      </w:r>
      <w:r w:rsidR="006154EC" w:rsidRPr="001E4102">
        <w:rPr>
          <w:i/>
        </w:rPr>
        <w:t xml:space="preserve"> McDonnell Douglas Corp. v. Green,</w:t>
      </w:r>
      <w:r w:rsidR="006154EC" w:rsidRPr="001E4102">
        <w:t xml:space="preserve"> 411 U.S. 792 (1973).”);</w:t>
      </w:r>
      <w:r w:rsidR="006154EC" w:rsidRPr="001E4102">
        <w:rPr>
          <w:i/>
        </w:rPr>
        <w:t xml:space="preserve"> </w:t>
      </w:r>
      <w:r w:rsidR="00127A0C" w:rsidRPr="001E4102">
        <w:rPr>
          <w:i/>
          <w:iCs/>
        </w:rPr>
        <w:t>Baltuskonis v. U.S. Airways, Inc</w:t>
      </w:r>
      <w:r w:rsidR="00127A0C" w:rsidRPr="001E4102">
        <w:t>., 60 F. Supp. 2d 445, 448 (E.D. Pa. 1999) (same).</w:t>
      </w:r>
    </w:p>
    <w:p w14:paraId="30AB9119" w14:textId="39EA1563" w:rsidR="006154EC" w:rsidRPr="001E4102" w:rsidRDefault="00AA2BAD" w:rsidP="009C6F31">
      <w:pPr>
        <w:spacing w:after="240"/>
        <w:ind w:firstLine="720"/>
        <w:jc w:val="both"/>
        <w:rPr>
          <w:i/>
        </w:rPr>
      </w:pPr>
      <w:r w:rsidRPr="001E4102">
        <w:t>Assuming that a mixed-motive test is available for FMLA discrimination/retaliation claims, the</w:t>
      </w:r>
      <w:r w:rsidR="006154EC" w:rsidRPr="001E4102">
        <w:t xml:space="preserve"> distinction between “mixed-motive” cases and “pretext” cases is generally determined by whether the plaintiff produces direct rather than circumstantial evidence of discrimination. If the plaintiff produces direct evidence of discrimination, this is sufficient to show that the defendant’s activity was motivated at least in part by discriminatory animus, and therefore this “mixed-motive” instruction should be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accordingly Instruction 10.1.3 should be given. </w:t>
      </w:r>
      <w:r w:rsidR="006154EC" w:rsidRPr="001E4102">
        <w:rPr>
          <w:i/>
        </w:rPr>
        <w:t xml:space="preserve">See generally Conoshenti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in which direct evidence of discrimination was presented).  </w:t>
      </w:r>
    </w:p>
    <w:p w14:paraId="40EA4579" w14:textId="77777777" w:rsidR="006154EC" w:rsidRPr="001E4102" w:rsidRDefault="006154EC" w:rsidP="009C6F31">
      <w:pPr>
        <w:spacing w:after="240"/>
        <w:jc w:val="both"/>
      </w:pPr>
      <w:r w:rsidRPr="001E4102">
        <w:rPr>
          <w:i/>
        </w:rPr>
        <w:lastRenderedPageBreak/>
        <w:tab/>
      </w:r>
      <w:r w:rsidRPr="001E4102">
        <w:t xml:space="preserve">The court in </w:t>
      </w:r>
      <w:r w:rsidRPr="001E4102">
        <w:rPr>
          <w:i/>
        </w:rPr>
        <w:t>Miller v. Cigna Corp</w:t>
      </w:r>
      <w:r w:rsidRPr="001E4102">
        <w:t>., 47 F.3d 586, 597 (3d Cir. 1995) (en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decisionmaking process and that it had a determinative effect on the outcome of that process.</w:t>
      </w:r>
    </w:p>
    <w:p w14:paraId="74D233D3" w14:textId="5BAAC687" w:rsidR="006154EC" w:rsidRPr="001E4102" w:rsidRDefault="006154EC" w:rsidP="009C6F31">
      <w:pPr>
        <w:spacing w:after="240"/>
        <w:jc w:val="both"/>
      </w:pPr>
      <w:r w:rsidRPr="001E4102">
        <w:rPr>
          <w:i/>
        </w:rPr>
        <w:t>See also</w:t>
      </w:r>
      <w:r w:rsidRPr="001E4102">
        <w:t xml:space="preserve"> </w:t>
      </w:r>
      <w:r w:rsidRPr="001E4102">
        <w:rPr>
          <w:i/>
        </w:rPr>
        <w:t xml:space="preserve">Starceski v. Westinghouse Electric Corp., </w:t>
      </w:r>
      <w:r w:rsidRPr="001E4102">
        <w:t xml:space="preserve">54 F.3d 1089, 1096, </w:t>
      </w:r>
      <w:r w:rsidR="00127A0C" w:rsidRPr="001E4102">
        <w:t>n</w:t>
      </w:r>
      <w:r w:rsidR="00FC3741" w:rsidRPr="001E4102">
        <w:t>.</w:t>
      </w:r>
      <w:r w:rsidR="00127A0C" w:rsidRPr="001E4102">
        <w:t>4</w:t>
      </w:r>
      <w:r w:rsidRPr="001E4102">
        <w:t xml:space="preserve"> (3d Cir. 1995) (ADEA case):</w:t>
      </w:r>
    </w:p>
    <w:p w14:paraId="3F1B1811" w14:textId="77777777" w:rsidR="006154EC" w:rsidRPr="001E4102" w:rsidRDefault="006154EC" w:rsidP="009C6F31">
      <w:pPr>
        <w:spacing w:after="240"/>
        <w:ind w:left="720"/>
        <w:jc w:val="both"/>
      </w:pPr>
      <w:r w:rsidRPr="001E4102">
        <w:tab/>
        <w:t xml:space="preserve">An employment discrimination case may be advanced on either a pretext or "mixed-motives" theory. In a pretext case, once the employee has made a prima facie showing of discrimination, the burden of going forward shifts to the employer who must articulate a legitimate, nondiscriminatory reason for the adverse employment decision.  If the employer does produce evidence showing a legitimate, nondiscriminatory reason for the discharge, the burden of production shifts back to the employee who must show that the employer's proffered explanation is incredible. At all times the burden of proof or risk of non-persuasion, including the burden of proving "but for" causation or causation in fact, remains on the employee.  In a "mixed-motives" or </w:t>
      </w:r>
      <w:r w:rsidRPr="001E4102">
        <w:rPr>
          <w:i/>
        </w:rPr>
        <w:t xml:space="preserve">Price Waterhouse </w:t>
      </w:r>
      <w:r w:rsidRPr="001E4102">
        <w:t xml:space="preserve">case, the employee must produce direct evidence of discrimination, i.e., more direct evidence than is required for the </w:t>
      </w:r>
      <w:r w:rsidRPr="001E4102">
        <w:rPr>
          <w:i/>
        </w:rPr>
        <w:t>McDonnell Douglas/Burdine</w:t>
      </w:r>
      <w:r w:rsidRPr="001E4102">
        <w:t xml:space="preserve"> prima facie case.  If the employee does produce direct evidence of discriminatory animus, the employer must then produce evidence sufficient to show that it would have made the same decision if illegal bias had played no role in the employment decision.  In short, direct proof of discriminatory animus leaves the employer only an affirmative defense on the question of "but for" cause or cause in fact. (Citations omitted). </w:t>
      </w:r>
    </w:p>
    <w:p w14:paraId="0D772C1B" w14:textId="0AAD3604" w:rsidR="006154EC" w:rsidRPr="001E4102" w:rsidRDefault="006154EC" w:rsidP="009C6F31">
      <w:pPr>
        <w:spacing w:after="240"/>
        <w:jc w:val="both"/>
      </w:pPr>
      <w:r w:rsidRPr="001E4102">
        <w:tab/>
        <w:t xml:space="preserve">To the extent that </w:t>
      </w:r>
      <w:r w:rsidRPr="001E4102">
        <w:rPr>
          <w:i/>
        </w:rPr>
        <w:t xml:space="preserve">Miller </w:t>
      </w:r>
      <w:r w:rsidRPr="001E4102">
        <w:t xml:space="preserve">and </w:t>
      </w:r>
      <w:r w:rsidRPr="001E4102">
        <w:rPr>
          <w:i/>
        </w:rPr>
        <w:t xml:space="preserve">Starceski </w:t>
      </w:r>
      <w:r w:rsidRPr="001E4102">
        <w:t xml:space="preserve">held that a mixed-motive framework is available in ADEA cases, they have been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1BF856FB" w14:textId="77777777"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 xml:space="preserve">See Univ. of Tex. Sw. Med. Ctr. v. </w:t>
      </w:r>
      <w:r w:rsidRPr="001E4102">
        <w:rPr>
          <w:i/>
        </w:rPr>
        <w:lastRenderedPageBreak/>
        <w:t>Nassar</w:t>
      </w:r>
      <w:r w:rsidRPr="001E4102">
        <w:t xml:space="preserve">, 133 S.Ct.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12D8D2A" w14:textId="77777777" w:rsidR="00127A0C" w:rsidRPr="001E4102" w:rsidRDefault="00127A0C" w:rsidP="009C6F31">
      <w:pPr>
        <w:spacing w:after="240"/>
        <w:ind w:firstLine="720"/>
        <w:jc w:val="both"/>
      </w:pPr>
      <w:r w:rsidRPr="001E4102">
        <w:t xml:space="preserve">It is not clear what effect, if any, </w:t>
      </w:r>
      <w:r w:rsidRPr="001E4102">
        <w:rPr>
          <w:i/>
          <w:iCs/>
        </w:rPr>
        <w:t xml:space="preserve">Gross </w:t>
      </w:r>
      <w:r w:rsidR="009B1E6D" w:rsidRPr="001E4102">
        <w:rPr>
          <w:iCs/>
        </w:rPr>
        <w:t xml:space="preserve">and </w:t>
      </w:r>
      <w:r w:rsidR="009B1E6D" w:rsidRPr="001E4102">
        <w:rPr>
          <w:i/>
          <w:iCs/>
        </w:rPr>
        <w:t>Nassar</w:t>
      </w:r>
      <w:r w:rsidR="009B1E6D" w:rsidRPr="001E4102">
        <w:rPr>
          <w:iCs/>
        </w:rPr>
        <w:t xml:space="preserve"> </w:t>
      </w:r>
      <w:r w:rsidRPr="001E4102">
        <w:t>will have on existing precedents recognizing a mixed</w:t>
      </w:r>
      <w:r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p>
    <w:p w14:paraId="2FE3B8D0" w14:textId="77777777" w:rsidR="006154EC" w:rsidRPr="001E4102" w:rsidRDefault="006154EC" w:rsidP="009C6F31">
      <w:pPr>
        <w:spacing w:after="240"/>
        <w:jc w:val="both"/>
      </w:pPr>
      <w:r w:rsidRPr="001E4102">
        <w:rPr>
          <w:i/>
        </w:rPr>
        <w:t>“Same Decision” Affirmative Defense</w:t>
      </w:r>
    </w:p>
    <w:p w14:paraId="4E35D575" w14:textId="14AC1330" w:rsidR="006154EC" w:rsidRPr="001E4102" w:rsidRDefault="006154EC" w:rsidP="009C6F31">
      <w:pPr>
        <w:spacing w:after="240"/>
        <w:jc w:val="both"/>
      </w:pPr>
      <w:r w:rsidRPr="001E4102">
        <w:tab/>
        <w:t xml:space="preserve">Section 107 of the Civil Rights Act of 1991 (42 U.S.C. §2000e-(5)(g)(2)(B)) changed the law on “mixed-motive” liability in Title VII actions. Previously, a defendant could escape liability by proving the “same decision” would have been made even without a discriminatory motive. The Civil Rights Act of 1991 provides that a “same decision” defense precludes an award for money damages, but not liability. </w:t>
      </w:r>
    </w:p>
    <w:p w14:paraId="024AD7CD" w14:textId="050C4C7E" w:rsidR="006154EC" w:rsidRPr="001E4102" w:rsidRDefault="006154EC" w:rsidP="009C6F31">
      <w:pPr>
        <w:spacing w:after="240"/>
        <w:jc w:val="both"/>
      </w:pPr>
      <w:r w:rsidRPr="001E4102">
        <w:tab/>
        <w:t xml:space="preserve">There is no indication in the FMLA of an intent to incorporate the “same decision” revision of the Civil Rights Act of 1991. The 1991 amendments apply specifically to actions brought under Title VII, and Title VII does not prohibit discrimination for taking unpaid leave. Accordingly, the pattern instruction sets forth the “same decision” defense as one that precludes liability, and thus differentiates it from the “same decision” defense in Title VII mixed-motive actions. </w:t>
      </w:r>
      <w:r w:rsidRPr="001E4102">
        <w:rPr>
          <w:i/>
        </w:rPr>
        <w:t>See</w:t>
      </w:r>
      <w:r w:rsidRPr="001E4102">
        <w:t xml:space="preserve"> </w:t>
      </w:r>
      <w:r w:rsidR="00C61BE6" w:rsidRPr="001E4102">
        <w:t>Note</w:t>
      </w:r>
      <w:r w:rsidRPr="001E4102">
        <w:t xml:space="preserve"> to Eighth Circuit Pattern Jury Instruction </w:t>
      </w:r>
      <w:r w:rsidR="00C61BE6" w:rsidRPr="001E4102">
        <w:t>14.10</w:t>
      </w:r>
      <w:r w:rsidR="00127A0C" w:rsidRPr="001E4102">
        <w:t>.</w:t>
      </w:r>
      <w:r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Animus of Employee Who Was Not the Ultimate Decisionmaker</w:t>
      </w:r>
    </w:p>
    <w:p w14:paraId="7C73A277" w14:textId="77777777" w:rsidR="00AB03C3" w:rsidRPr="001E4102" w:rsidRDefault="006154EC" w:rsidP="009C6F31">
      <w:pPr>
        <w:spacing w:after="240"/>
        <w:jc w:val="both"/>
      </w:pPr>
      <w:r w:rsidRPr="001E4102">
        <w:lastRenderedPageBreak/>
        <w:tab/>
        <w:t xml:space="preserve">For a discussion of the Court’s treatment in </w:t>
      </w:r>
      <w:r w:rsidRPr="001E4102">
        <w:rPr>
          <w:i/>
        </w:rPr>
        <w:t>Staub v. Proctor Hosp.</w:t>
      </w:r>
      <w:r w:rsidRPr="001E4102">
        <w:t xml:space="preserve">, 131 S. Ct. 1186 (2011), of the animus of an employee who was not the ultimate decisionmaker, see Comment 5.1.7.  </w:t>
      </w:r>
      <w:r w:rsidRPr="001E4102">
        <w:rPr>
          <w:i/>
        </w:rPr>
        <w:t>Staub</w:t>
      </w:r>
      <w:r w:rsidRPr="001E4102">
        <w:t xml:space="preserve"> concerned a statute that used the term “motivating factor,” and it is unclear whether the ruling in </w:t>
      </w:r>
      <w:r w:rsidRPr="001E4102">
        <w:rPr>
          <w:i/>
        </w:rPr>
        <w:t>Staub</w:t>
      </w:r>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7"/>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8"/>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w:t>
      </w:r>
      <w:r w:rsidRPr="001E4102">
        <w:lastRenderedPageBreak/>
        <w:t>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77777777"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19"/>
      </w:r>
      <w:r w:rsidRPr="001E4102">
        <w:t xml:space="preserve"> [was terminated after returning from leave] [was demoted after returning from leave].</w:t>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18D49CB1" w:rsidR="006154EC" w:rsidRPr="001E4102" w:rsidRDefault="006154EC" w:rsidP="009C6F31">
      <w:pPr>
        <w:spacing w:after="240"/>
        <w:jc w:val="both"/>
      </w:pPr>
      <w:r w:rsidRPr="001E4102">
        <w:tab/>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the other evidence received in the case in deciding whether [defendant] intentionally discriminated against [plaintiff]].</w:t>
      </w:r>
    </w:p>
    <w:p w14:paraId="449399AA" w14:textId="4930CBC5" w:rsidR="006154EC" w:rsidRPr="001E4102" w:rsidRDefault="006154EC" w:rsidP="009C6F31">
      <w:pPr>
        <w:spacing w:after="240"/>
        <w:jc w:val="both"/>
      </w:pPr>
      <w:r w:rsidRPr="001E4102">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6D7AE453" w14:textId="6C683174"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decision.] “Determinative factor” means that if not for [plaintiff 's]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lastRenderedPageBreak/>
        <w:t>Comment</w:t>
      </w:r>
    </w:p>
    <w:p w14:paraId="256B52E7" w14:textId="2CF563A9" w:rsidR="006154EC" w:rsidRPr="001E4102" w:rsidRDefault="006154EC" w:rsidP="009C6F31">
      <w:pPr>
        <w:spacing w:after="240"/>
        <w:jc w:val="both"/>
      </w:pPr>
      <w:r w:rsidRPr="001E4102">
        <w:tab/>
        <w:t xml:space="preserve">This instruction is to be used when the plaintiff’s proof of discrimination is circumstantial rather than direct. </w:t>
      </w:r>
      <w:r w:rsidR="00CD55AD" w:rsidRPr="001E4102">
        <w:rPr>
          <w:i/>
        </w:rPr>
        <w:t>See Budhun v. Reading Hosp. &amp; Med. Ctr</w:t>
      </w:r>
      <w:r w:rsidR="00CD55AD" w:rsidRPr="001E4102">
        <w:t xml:space="preserve">., 765 F.3d 245, 256 (3d Cir. 2014) (“FMLA retaliation claims based on circumstantial evidence are governed by the burden-shifting framework established by </w:t>
      </w:r>
      <w:r w:rsidR="00CD55AD" w:rsidRPr="001E4102">
        <w:rPr>
          <w:i/>
        </w:rPr>
        <w:t>McDonnell Douglas Corp. v. Green…</w:t>
      </w:r>
      <w:r w:rsidR="00CD55AD" w:rsidRPr="001E4102">
        <w:t>.”).</w:t>
      </w:r>
      <w:r w:rsidR="00127A0C" w:rsidRPr="001E4102">
        <w:t xml:space="preserve"> </w:t>
      </w:r>
      <w:r w:rsidRPr="001E4102">
        <w:t xml:space="preserve">In </w:t>
      </w:r>
      <w:r w:rsidRPr="001E4102">
        <w:rPr>
          <w:i/>
        </w:rPr>
        <w:t xml:space="preserve">Miller v. Cigna Corp., </w:t>
      </w:r>
      <w:r w:rsidRPr="001E4102">
        <w:t>47 F.3d 586, 597 (3d Cir. 1995) (en banc), an ADEA case, the court discussed the proper instruction to be given in a circumstantial evidence/pretext case:</w:t>
      </w:r>
    </w:p>
    <w:p w14:paraId="21583878" w14:textId="41B5E22E"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Pr="001E4102">
        <w:rPr>
          <w:i/>
        </w:rPr>
        <w:t xml:space="preserve">Price Waterhouse </w:t>
      </w:r>
      <w:r w:rsidRPr="001E4102">
        <w:t xml:space="preserve">[i.e., a “mixed-motive” case] has the burden of persuading the trier of fact by a preponderance of the evidence that there is a "but-for" causal connection between the plaintiff's age and the employer's adverse action -- i.e., that age "actually played a role in [the employer's decisionmaking] process and had a determinative influence on the outcome" of that process. (Quoting </w:t>
      </w:r>
      <w:r w:rsidRPr="001E4102">
        <w:rPr>
          <w:i/>
        </w:rPr>
        <w:t xml:space="preserve">Hazen Paper Co. v. Biggins, </w:t>
      </w:r>
      <w:r w:rsidRPr="001E4102">
        <w:t xml:space="preserve">507 U.S. 604, 611 (1993)). </w:t>
      </w:r>
    </w:p>
    <w:p w14:paraId="507B2830" w14:textId="786493D7" w:rsidR="006154EC" w:rsidRPr="001E4102" w:rsidRDefault="006154EC" w:rsidP="009C6F31">
      <w:pPr>
        <w:spacing w:after="240"/>
        <w:jc w:val="both"/>
      </w:pPr>
      <w:r w:rsidRPr="001E4102">
        <w:t xml:space="preserve">(To the extent that </w:t>
      </w:r>
      <w:r w:rsidRPr="001E4102">
        <w:rPr>
          <w:i/>
        </w:rPr>
        <w:t xml:space="preserve">Miller </w:t>
      </w:r>
      <w:r w:rsidRPr="001E4102">
        <w:t xml:space="preserve">contemplated the use of the </w:t>
      </w:r>
      <w:r w:rsidRPr="001E4102">
        <w:rPr>
          <w:i/>
        </w:rPr>
        <w:t xml:space="preserve">Price Waterhouse </w:t>
      </w:r>
      <w:r w:rsidRPr="001E4102">
        <w:t xml:space="preserve">framework for ADEA claims, it has been overruled by </w:t>
      </w:r>
      <w:r w:rsidRPr="001E4102">
        <w:rPr>
          <w:i/>
        </w:rPr>
        <w:t>Gross v. FBL Financial Services, Inc.</w:t>
      </w:r>
      <w:r w:rsidRPr="001E4102">
        <w:t>, 129 S. Ct. 2343 (2009).  For a discussion of mixed-motive claims under the FMLA, see Comment 10.1.2.)</w:t>
      </w:r>
    </w:p>
    <w:p w14:paraId="1FC1960D" w14:textId="77777777" w:rsidR="006154EC" w:rsidRPr="001E4102" w:rsidRDefault="006154EC" w:rsidP="009C6F31">
      <w:pPr>
        <w:spacing w:after="240"/>
        <w:jc w:val="both"/>
      </w:pPr>
      <w:r w:rsidRPr="001E4102">
        <w:tab/>
        <w:t xml:space="preserve">The Court in </w:t>
      </w:r>
      <w:r w:rsidRPr="001E4102">
        <w:rPr>
          <w:i/>
        </w:rPr>
        <w:t xml:space="preserve">Miller </w:t>
      </w:r>
      <w:r w:rsidRPr="001E4102">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 </w:t>
      </w:r>
      <w:r w:rsidRPr="001E4102">
        <w:rPr>
          <w:i/>
        </w:rPr>
        <w:t>See Alifano v. Merck &amp; Co., Inc</w:t>
      </w:r>
      <w:r w:rsidRPr="001E4102">
        <w:t xml:space="preserve">., 175 F. Supp.2d 792, 794 (E.D.Pa. 2001) (applying the </w:t>
      </w:r>
      <w:r w:rsidRPr="001E4102">
        <w:rPr>
          <w:i/>
        </w:rPr>
        <w:t xml:space="preserve">McDonnell-Douglas </w:t>
      </w:r>
      <w:r w:rsidRPr="001E4102">
        <w:t xml:space="preserve">analysis to an FMLA claim). </w:t>
      </w:r>
    </w:p>
    <w:p w14:paraId="60A637AE" w14:textId="5BF5006A" w:rsidR="006154EC" w:rsidRPr="001E4102" w:rsidRDefault="006154EC" w:rsidP="00193AB4">
      <w:pPr>
        <w:spacing w:after="240"/>
        <w:jc w:val="both"/>
      </w:pPr>
      <w:r w:rsidRPr="001E4102">
        <w:tab/>
        <w:t>If the plaintiff establishes a prima facie case of discrimination,</w:t>
      </w:r>
      <w:r w:rsidR="00B57782" w:rsidRPr="001E4102">
        <w:rPr>
          <w:rStyle w:val="FootnoteReference"/>
        </w:rPr>
        <w:footnoteReference w:id="20"/>
      </w:r>
      <w:r w:rsidRPr="001E4102">
        <w:t xml:space="preserve"> the burden shifts to the defendant to produce evidence of a legitimate nondiscriminatory reason for the challenged </w:t>
      </w:r>
      <w:r w:rsidRPr="001E4102">
        <w:lastRenderedPageBreak/>
        <w:t xml:space="preserve">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Burdine, </w:t>
      </w:r>
      <w:r w:rsidRPr="001E4102">
        <w:t>450 U.S. 248, 253 (1981).</w:t>
      </w:r>
      <w:r w:rsidR="00F408ED" w:rsidRPr="001E4102">
        <w:rPr>
          <w:rStyle w:val="FootnoteReference"/>
        </w:rPr>
        <w:footnoteReference w:id="21"/>
      </w:r>
      <w:r w:rsidRPr="001E4102">
        <w:t xml:space="preserve"> The </w:t>
      </w:r>
      <w:r w:rsidRPr="001E4102">
        <w:lastRenderedPageBreak/>
        <w:t xml:space="preserve">plaintiff retains the ultimate burden of proving intentional discrimination. </w:t>
      </w:r>
      <w:r w:rsidRPr="001E4102">
        <w:rPr>
          <w:i/>
        </w:rPr>
        <w:t>Chipol</w:t>
      </w:r>
      <w:r w:rsidR="0034624F">
        <w:rPr>
          <w:i/>
        </w:rPr>
        <w:t>l</w:t>
      </w:r>
      <w:r w:rsidRPr="001E4102">
        <w:rPr>
          <w:i/>
        </w:rPr>
        <w:t xml:space="preserve">ini v. Spencer Gifts, Inc., </w:t>
      </w:r>
      <w:r w:rsidRPr="001E4102">
        <w:t xml:space="preserve">814 F.2d 893, 897 (3d Cir. 1987) (en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1E4102">
        <w:rPr>
          <w:i/>
        </w:rPr>
        <w:t>Chipo</w:t>
      </w:r>
      <w:r w:rsidR="0034624F">
        <w:rPr>
          <w:i/>
        </w:rPr>
        <w:t>l</w:t>
      </w:r>
      <w:r w:rsidRPr="001E4102">
        <w:rPr>
          <w:i/>
        </w:rPr>
        <w:t xml:space="preserve">lini v. Spencer Gifts, Inc., </w:t>
      </w:r>
      <w:r w:rsidRPr="001E4102">
        <w:t xml:space="preserve">814 F.2d 893 (3d Cir. 1987) (en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Orix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r w:rsidR="00193AB4" w:rsidRPr="00193AB4">
        <w:rPr>
          <w:i/>
        </w:rPr>
        <w:t>Hansler v. Lehigh Valley Hosp. Network</w:t>
      </w:r>
      <w:r w:rsidR="00193AB4" w:rsidRPr="00193AB4">
        <w:t>, 798 F.3d 149, 159 (3d Cir. 2015)</w:t>
      </w:r>
      <w:r w:rsidR="00193AB4">
        <w:t xml:space="preserve"> (“Hansler alleges she attempted to invoke her right to leave, she was not advised of deficiencies in her medical certification, she was not provided a cure period, and she was fired a few weeks later as a result of her leave request. Through discovery, Hansler might be able to show that Lehigh Valley had a retaliatory motive and that the stated reason for termination was pretextual.”)</w:t>
      </w:r>
      <w:r w:rsidR="002969FE" w:rsidRPr="001E4102">
        <w:t>.</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2"/>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3"/>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r w:rsidR="006154EC" w:rsidRPr="001E4102">
        <w:t>has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r w:rsidR="006154EC" w:rsidRPr="001E4102">
        <w:t>has testified, or is about to testify, in any inquiry or proceeding relating to any right provided under [the FMLA].</w:t>
      </w:r>
    </w:p>
    <w:p w14:paraId="0DAD099E" w14:textId="30726747"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a “retaliation” </w:t>
      </w:r>
      <w:r w:rsidR="00820F46" w:rsidRPr="001E4102">
        <w:t>claims</w:t>
      </w:r>
      <w:r w:rsidRPr="001E4102">
        <w:t xml:space="preserve">, but </w:t>
      </w:r>
      <w:r w:rsidR="00820F46" w:rsidRPr="001E4102">
        <w:t>those claims seek</w:t>
      </w:r>
      <w:r w:rsidRPr="001E4102">
        <w:t xml:space="preserve"> recovery for the plaintiff’s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24"/>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5B0D582C" w:rsidR="006154EC" w:rsidRPr="001E4102" w:rsidRDefault="006154EC" w:rsidP="009C6F31">
      <w:pPr>
        <w:widowControl w:val="0"/>
        <w:spacing w:after="240"/>
        <w:jc w:val="both"/>
      </w:pPr>
      <w:r w:rsidRPr="001E4102">
        <w:tab/>
        <w:t xml:space="preserve">The literal terms of 29 U.S.C. § 2615(b) would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6A757356" w:rsidR="006154EC" w:rsidRPr="001E4102" w:rsidRDefault="006154EC" w:rsidP="009C6F31">
      <w:pPr>
        <w:widowControl w:val="0"/>
        <w:spacing w:after="240"/>
        <w:jc w:val="both"/>
      </w:pPr>
      <w:r w:rsidRPr="001E4102">
        <w:tab/>
        <w:t>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See the commentary to Instruction 11.1.2.</w:t>
      </w:r>
      <w:r w:rsidR="00311C3E" w:rsidRPr="001E4102">
        <w:rPr>
          <w:rStyle w:val="FootnoteReference"/>
        </w:rPr>
        <w:footnoteReference w:id="25"/>
      </w:r>
      <w:r w:rsidRPr="001E4102">
        <w:t xml:space="preserve"> This instruction therefore includes informal complaints as protected activity. See</w:t>
      </w:r>
      <w:r w:rsidRPr="001E4102">
        <w:rPr>
          <w:i/>
        </w:rPr>
        <w:t xml:space="preserve"> Sabbrese v. Lowe’s Home Centers, Inc</w:t>
      </w:r>
      <w:r w:rsidRPr="001E4102">
        <w:t xml:space="preserve">., 320 F. Supp.2d 311, 324 (W.D.Pa. 2004) (finding a valid retaliation claim when the plaintiff was discharged after informally complaining to the employer about being disciplined for taking leave). </w:t>
      </w:r>
    </w:p>
    <w:p w14:paraId="7ED1451B" w14:textId="036B7ACC" w:rsidR="00B4511C" w:rsidRPr="001E4102" w:rsidRDefault="00157F9F" w:rsidP="009C6F31">
      <w:pPr>
        <w:spacing w:after="240"/>
        <w:ind w:firstLine="720"/>
        <w:jc w:val="both"/>
      </w:pPr>
      <w:r w:rsidRPr="001E4102">
        <w:t xml:space="preserve">In accord with the retaliation instructions in other Chapters (see, e.g., Instruction 5.1.7 concerning Title VII retaliation claims), Instruction 10.1.4 requires a “reasonable, good faith belief” that an FMLA violation occurred.  The statute itself does not explicitly require reasonableness and good faith.  As of </w:t>
      </w:r>
      <w:r w:rsidR="004633B0">
        <w:t>spring 2016</w:t>
      </w:r>
      <w:r w:rsidRPr="001E4102">
        <w:t xml:space="preserve">,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a cause of action for retaliation under Title VII lies whenever the employer responds to protected </w:t>
      </w:r>
      <w:r w:rsidRPr="001E4102">
        <w:lastRenderedPageBreak/>
        <w:t>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r w:rsidRPr="001E4102">
        <w:rPr>
          <w:i/>
        </w:rPr>
        <w:t>Oncale</w:t>
      </w:r>
      <w:r w:rsidRPr="001E4102">
        <w:t xml:space="preserve"> v.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r w:rsidRPr="001E4102">
        <w:rPr>
          <w:i/>
        </w:rPr>
        <w:t>Suders,</w:t>
      </w:r>
      <w:r w:rsidRPr="001E4102">
        <w:t xml:space="preserve"> 542 U.S., at 141, 124 S. Ct. 2342, 159 L. Ed. 2d 204 (constructive discharge doctrine); </w:t>
      </w:r>
      <w:r w:rsidRPr="001E4102">
        <w:rPr>
          <w:i/>
        </w:rPr>
        <w:t>Harris</w:t>
      </w:r>
      <w:r w:rsidRPr="001E4102">
        <w:t xml:space="preserve"> v.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w:t>
      </w:r>
      <w:r w:rsidRPr="001E4102">
        <w:lastRenderedPageBreak/>
        <w:t>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26"/>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27"/>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r w:rsidR="00127A0C" w:rsidRPr="001E4102">
        <w:t>discriminat</w:t>
      </w:r>
      <w:r w:rsidRPr="001E4102">
        <w:t>[</w:t>
      </w:r>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w:t>
      </w:r>
      <w:r w:rsidR="006154EC" w:rsidRPr="001E4102">
        <w:lastRenderedPageBreak/>
        <w:t xml:space="preserve">employment action. </w:t>
      </w:r>
      <w:r w:rsidR="006154EC" w:rsidRPr="001E4102">
        <w:rPr>
          <w:i/>
        </w:rPr>
        <w:t>See, e.g., Nelson v. Upsala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Lloyd v. Wyoming Valley Health Care Sys</w:t>
      </w:r>
      <w:r w:rsidRPr="001E4102">
        <w:t xml:space="preserve">., 994 F. Supp. 288, 291 (M.D. Pa. 1998) .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See Univ. of Tex. Sw. Med. Ctr. v. Nassar</w:t>
      </w:r>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4955B17" w14:textId="77777777" w:rsidR="00127A0C" w:rsidRPr="001E4102" w:rsidRDefault="003E6682" w:rsidP="009C6F31">
      <w:pPr>
        <w:spacing w:after="240"/>
        <w:ind w:firstLine="720"/>
        <w:jc w:val="both"/>
      </w:pPr>
      <w:r w:rsidRPr="001E4102">
        <w:t xml:space="preserve">In light of </w:t>
      </w:r>
      <w:r w:rsidRPr="001E4102">
        <w:rPr>
          <w:i/>
        </w:rPr>
        <w:t>Nassar</w:t>
      </w:r>
      <w:r w:rsidRPr="001E4102">
        <w:t xml:space="preserve"> and </w:t>
      </w:r>
      <w:r w:rsidRPr="001E4102">
        <w:rPr>
          <w:i/>
        </w:rPr>
        <w:t>Gross v. FBL Financial Services, Inc.</w:t>
      </w:r>
      <w:r w:rsidRPr="001E4102">
        <w:t>, 557 U.S. 167 (2009),</w:t>
      </w:r>
      <w:r w:rsidRPr="001E4102">
        <w:rPr>
          <w:rStyle w:val="FootnoteReference"/>
        </w:rPr>
        <w:footnoteReference w:id="28"/>
      </w:r>
      <w:r w:rsidRPr="001E4102">
        <w:t xml:space="preserve"> it</w:t>
      </w:r>
      <w:r w:rsidR="00127A0C" w:rsidRPr="001E4102">
        <w:t xml:space="preserve"> is unclear whether a mixed</w:t>
      </w:r>
      <w:r w:rsidR="00127A0C" w:rsidRPr="001E4102">
        <w:noBreakHyphen/>
        <w:t xml:space="preserve">motive framework can appropriately apply to FMLA retaliation claims under Section 2615(b).  </w:t>
      </w:r>
    </w:p>
    <w:p w14:paraId="2452427C" w14:textId="77777777" w:rsidR="006154EC" w:rsidRPr="001E4102" w:rsidRDefault="006154EC" w:rsidP="009C6F31">
      <w:pPr>
        <w:widowControl w:val="0"/>
        <w:spacing w:after="240"/>
        <w:jc w:val="both"/>
      </w:pPr>
      <w:r w:rsidRPr="001E4102">
        <w:rPr>
          <w:i/>
        </w:rPr>
        <w:lastRenderedPageBreak/>
        <w:t>Timing</w:t>
      </w:r>
    </w:p>
    <w:p w14:paraId="02CD5E06" w14:textId="404A67BC"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see, e.g., Sabbrese v. Lowe’s Home Centers, Inc</w:t>
      </w:r>
      <w:r w:rsidRPr="001E4102">
        <w:t>., 320 F. Supp.2d 311, 324 (W.D.Pa.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6"/>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46AAE43C"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 xml:space="preserve">As of </w:t>
      </w:r>
      <w:r w:rsidR="00A420A9">
        <w:t>spring 2016</w:t>
      </w:r>
      <w:r w:rsidR="006B72E4">
        <w:t>,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See generally Bonkowski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29"/>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See Bonkowski</w:t>
      </w:r>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t>id</w:t>
      </w:r>
      <w:r>
        <w:t xml:space="preserve">. at 210 (not deciding what would count as a “substantial period” but suggesting that “a minimum </w:t>
      </w:r>
      <w:r>
        <w:lastRenderedPageBreak/>
        <w:t>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 xml:space="preserve">(3) The requirement in paragraphs (a)(1)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“an employee may satisfy her burden of proving three days of incapacitation through a </w:t>
      </w:r>
      <w:r w:rsidRPr="001E4102">
        <w:lastRenderedPageBreak/>
        <w:t xml:space="preserve">combination of expert medical and lay testimony.”  </w:t>
      </w:r>
      <w:r w:rsidRPr="001E4102">
        <w:rPr>
          <w:i/>
        </w:rPr>
        <w:t>Schaar v. Lehigh Valley Health Services, Inc.</w:t>
      </w:r>
      <w:r w:rsidRPr="001E4102">
        <w:t xml:space="preserve">, 598 F.3d 156, 161 (3d Cir. 2010).  The Committee has not attempted to determine whether the </w:t>
      </w:r>
      <w:r w:rsidRPr="001E4102">
        <w:rPr>
          <w:i/>
        </w:rPr>
        <w:t>Schaar</w:t>
      </w:r>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t>Health care provider</w:t>
      </w:r>
    </w:p>
    <w:p w14:paraId="5B757AEB" w14:textId="68FECAB2" w:rsidR="006154EC" w:rsidRPr="001E4102" w:rsidRDefault="006154EC" w:rsidP="009C6F31">
      <w:pPr>
        <w:widowControl w:val="0"/>
        <w:spacing w:after="240"/>
        <w:jc w:val="both"/>
      </w:pPr>
      <w:r w:rsidRPr="001E4102">
        <w:lastRenderedPageBreak/>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(A) a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(B) any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0B722829"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see, e.g., Victorelli v. Shadyside Hospital,</w:t>
      </w:r>
      <w:r w:rsidRPr="001E4102">
        <w:t xml:space="preserve"> 128 F.3d 184, 190 (3d Cir. 1997)(“A factfinder may be able reasonably to find that Victorelli suffers from something more severe than a ‘minor ulcer’ and as such is entitled to FMLA protection.”); </w:t>
      </w:r>
      <w:r w:rsidRPr="001E4102">
        <w:rPr>
          <w:i/>
        </w:rPr>
        <w:t>Marrero v. Camden County Board of Social Services</w:t>
      </w:r>
      <w:r w:rsidRPr="001E4102">
        <w:t>, 164 F. Supp.2d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7"/>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48CF902E"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see Oby v. Baton Rouge Marriott</w:t>
      </w:r>
      <w:r w:rsidRPr="001E4102">
        <w:t>, 329 F. Supp.2d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8"/>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Your verdict must be for [defendant] if [defendant] proves all of  the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such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7777777"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see Oby v. Baton Rouge Marriott</w:t>
      </w:r>
      <w:r w:rsidRPr="001E4102">
        <w:t>, 329 F. Supp.2d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19"/>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280E71F" w:rsidR="006154EC" w:rsidRPr="001E4102" w:rsidRDefault="006154EC" w:rsidP="009C6F31">
      <w:pPr>
        <w:widowControl w:val="0"/>
        <w:spacing w:after="240"/>
        <w:jc w:val="both"/>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95E4F37" w:rsidR="006154EC" w:rsidRPr="001E4102" w:rsidRDefault="006154EC" w:rsidP="009C6F31">
      <w:pPr>
        <w:widowControl w:val="0"/>
        <w:spacing w:after="240"/>
        <w:jc w:val="both"/>
      </w:pPr>
      <w:r w:rsidRPr="001E4102">
        <w:tab/>
        <w:t xml:space="preserve">“[T]he accrual period for backpay [under the FMLA] is limited by the Act's 2-year statute of limitations (extended to three years only for willful violations), §§ 2617(c)(1) and (2).”  </w:t>
      </w:r>
      <w:r w:rsidRPr="001E4102">
        <w:rPr>
          <w:i/>
        </w:rPr>
        <w:t>Nevada Dept. of Human Resources v. Hibbs</w:t>
      </w:r>
      <w:r w:rsidRPr="001E4102">
        <w:t xml:space="preserve">, 538 U.S. 721, 740 (2003).  As the </w:t>
      </w:r>
      <w:r w:rsidRPr="001E4102">
        <w:rPr>
          <w:i/>
        </w:rPr>
        <w:t xml:space="preserve">Hibbs </w:t>
      </w:r>
      <w:r w:rsidRPr="001E4102">
        <w:t xml:space="preserve">Court noted, the statute of limitations for recovery under the FMLA is two years, but it is extended to three years if the employer’s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xml:space="preserve">§ 2617(a)(1)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(A) for damages equal to</w:t>
      </w:r>
      <w:r w:rsidR="00CD1ABC" w:rsidRPr="001E4102">
        <w:t>—</w:t>
      </w:r>
    </w:p>
    <w:p w14:paraId="1E3267F7" w14:textId="532387FE" w:rsidR="00CD1ABC" w:rsidRPr="001E4102" w:rsidRDefault="006154EC" w:rsidP="00CD1ABC">
      <w:pPr>
        <w:widowControl w:val="0"/>
        <w:spacing w:after="240"/>
        <w:ind w:left="2160"/>
        <w:jc w:val="both"/>
      </w:pPr>
      <w:r w:rsidRPr="001E4102">
        <w:t>(i) the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2612(a)(3) of this title) of wages or salary for the employee;</w:t>
      </w:r>
    </w:p>
    <w:p w14:paraId="2ADA5262" w14:textId="77777777" w:rsidR="00613CDE" w:rsidRPr="001E4102" w:rsidRDefault="006154EC" w:rsidP="00613CDE">
      <w:pPr>
        <w:widowControl w:val="0"/>
        <w:spacing w:after="240"/>
        <w:ind w:left="2160"/>
        <w:jc w:val="both"/>
      </w:pPr>
      <w:r w:rsidRPr="001E4102">
        <w:t>(ii) the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 xml:space="preserve">938 F.2d 1048, 1051 (9th Cir. </w:t>
      </w:r>
      <w:r w:rsidRPr="001E4102">
        <w:lastRenderedPageBreak/>
        <w:t>1991)).</w:t>
      </w:r>
    </w:p>
    <w:p w14:paraId="0AF95AEF" w14:textId="77777777" w:rsidR="00F20709" w:rsidRPr="001E4102" w:rsidRDefault="00F20709" w:rsidP="009C6F31">
      <w:pPr>
        <w:widowControl w:val="0"/>
        <w:spacing w:after="240"/>
        <w:jc w:val="both"/>
        <w:sectPr w:rsidR="00F20709" w:rsidRPr="001E4102" w:rsidSect="004774F3">
          <w:headerReference w:type="default" r:id="rId20"/>
          <w:pgSz w:w="12240" w:h="15840"/>
          <w:pgMar w:top="1920" w:right="1440" w:bottom="1920" w:left="1440" w:header="900" w:footer="1440" w:gutter="0"/>
          <w:lnNumType w:countBy="1" w:distance="576" w:restart="newSection"/>
          <w:cols w:space="720"/>
          <w:docGrid w:linePitch="326"/>
        </w:sectPr>
      </w:pPr>
    </w:p>
    <w:p w14:paraId="0445514C" w14:textId="0C3AC733" w:rsidR="006154EC" w:rsidRPr="001E4102" w:rsidRDefault="006154EC" w:rsidP="009C6F31">
      <w:pPr>
        <w:widowControl w:val="0"/>
        <w:spacing w:after="240"/>
        <w:jc w:val="both"/>
        <w:rPr>
          <w:b/>
          <w:sz w:val="28"/>
        </w:rPr>
      </w:pPr>
      <w:r w:rsidRPr="001E4102">
        <w:rPr>
          <w:b/>
          <w:sz w:val="28"/>
        </w:rPr>
        <w:lastRenderedPageBreak/>
        <w:t>10.4.2    FMLA Damages — Back Pay–</w:t>
      </w:r>
      <w:r w:rsidRPr="001E4102">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which will be no more than two years  before the date the lawsuit was filed] through the date of </w:t>
      </w:r>
      <w:r w:rsidRPr="001E4102">
        <w:lastRenderedPageBreak/>
        <w:t>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432B8139" w:rsidR="006154EC" w:rsidRPr="001E4102" w:rsidRDefault="006154EC" w:rsidP="009C6F31">
      <w:pPr>
        <w:widowControl w:val="0"/>
        <w:spacing w:after="240"/>
        <w:jc w:val="both"/>
        <w:rPr>
          <w:b/>
        </w:rPr>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77777777" w:rsidR="006154EC" w:rsidRPr="001E4102" w:rsidRDefault="006154EC" w:rsidP="009C6F31">
      <w:pPr>
        <w:widowControl w:val="0"/>
        <w:spacing w:after="240"/>
        <w:jc w:val="both"/>
      </w:pPr>
      <w:r w:rsidRPr="001E4102">
        <w:t xml:space="preserve">The Family and Medical Leave Act provides recovery for two years of lost wages and benefits if the defendant’s violation was non-willful; it extends the recovery of damages to a third year if the defendant’s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wilfulness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(A) for damages equal to</w:t>
      </w:r>
      <w:r w:rsidR="004071A0" w:rsidRPr="001E4102">
        <w:t>—</w:t>
      </w:r>
    </w:p>
    <w:p w14:paraId="04B13563" w14:textId="41FCE22A" w:rsidR="004071A0" w:rsidRPr="001E4102" w:rsidRDefault="006154EC" w:rsidP="004071A0">
      <w:pPr>
        <w:widowControl w:val="0"/>
        <w:spacing w:after="240"/>
        <w:ind w:left="2160"/>
        <w:jc w:val="both"/>
      </w:pPr>
      <w:r w:rsidRPr="001E4102">
        <w:t>(i) the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14:paraId="161BECDF" w14:textId="77777777" w:rsidR="004071A0" w:rsidRPr="001E4102" w:rsidRDefault="006154EC" w:rsidP="004071A0">
      <w:pPr>
        <w:widowControl w:val="0"/>
        <w:spacing w:after="240"/>
        <w:ind w:left="2160"/>
        <w:jc w:val="both"/>
      </w:pPr>
      <w:r w:rsidRPr="001E4102">
        <w:t>(ii) the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t xml:space="preserve">(iii) an additional amount as liquidated damages equal to the sum of the amount described in clause (i)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1"/>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0"/>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w:t>
      </w:r>
      <w:r w:rsidRPr="001E4102">
        <w:lastRenderedPageBreak/>
        <w:t>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77777777"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xml:space="preserve">., 994 F. Supp. 288, 291 (M.D. Pa. 1998) (reasoning that “the statute itself by including ‘actual monetary compensation’ as a separate item of damage places a limited definition on ‘other compensation’”;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 xml:space="preserve">281 F. Supp.2d 250, 254 (D.D.C. 2003) :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w:t>
      </w:r>
      <w:r w:rsidRPr="001E4102">
        <w:lastRenderedPageBreak/>
        <w:t xml:space="preserve">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4FDC7722" w:rsidR="006154EC" w:rsidRPr="001E4102" w:rsidRDefault="006154EC" w:rsidP="009C6F31">
      <w:pPr>
        <w:widowControl w:val="0"/>
        <w:spacing w:after="240"/>
        <w:jc w:val="both"/>
      </w:pPr>
      <w:r w:rsidRPr="001E4102">
        <w:tab/>
        <w:t xml:space="preserve">Punitive damages cannot be recovered under the FMLA. </w:t>
      </w:r>
      <w:r w:rsidRPr="001E4102">
        <w:rPr>
          <w:i/>
        </w:rPr>
        <w:t>Zawadowicz v. CVS Corp</w:t>
      </w:r>
      <w:r w:rsidRPr="001E4102">
        <w:t>., 99 F. Supp.2d 518, 534 (D.N.J. 2000)</w:t>
      </w:r>
      <w:r w:rsidRPr="001E4102">
        <w:rPr>
          <w:i/>
        </w:rPr>
        <w:t xml:space="preserve"> </w:t>
      </w:r>
      <w:r w:rsidRPr="001E4102">
        <w:t>(noting that nothing in the FMLA damages provision,   29 U.S.C. § 2617, authorizes an award of punitive damages)</w:t>
      </w:r>
      <w:r w:rsidRPr="001E4102">
        <w:rPr>
          <w:i/>
        </w:rPr>
        <w:t>; Oby v. Baton Rouge Marriott</w:t>
      </w:r>
      <w:r w:rsidRPr="001E4102">
        <w:t>, 329 F. Supp.2d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77777777"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r w:rsidRPr="001E4102">
        <w:rPr>
          <w:i/>
        </w:rPr>
        <w:t>Zawadowicz v. CVS Corp.</w:t>
      </w:r>
      <w:r w:rsidRPr="001E4102">
        <w:t xml:space="preserve">, 99 F. Supp.2d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3"/>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77777777"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Pr="001E4102">
        <w:rPr>
          <w:vertAlign w:val="superscript"/>
        </w:rPr>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Cianci v. Pettibone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1" w:name="1107-1278"/>
      <w:bookmarkStart w:id="2" w:name="a1107_1278"/>
      <w:bookmarkEnd w:id="1"/>
      <w:bookmarkEnd w:id="2"/>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 xml:space="preserve">Walker's attempted argument by analogy fails because of the critical difference in statutory language between [29 U.S.C.] Section 2617(a)(1) and the amended Section 1981a. In contrast to the latter, </w:t>
      </w:r>
      <w:r w:rsidR="00127A0C" w:rsidRPr="001E4102">
        <w:t>.</w:t>
      </w:r>
      <w:r w:rsidRPr="001E4102">
        <w:t xml:space="preserve">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9A0FC90"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xml:space="preserve">, 102 F. Supp.2d 266, 269 (M.D.Pa. 2000) (while plaintiff had a cause of action for interference, she suffered no wage or other monetary loss, therefore “she cannot obtain relief under the FMLA and her claim must be dismissed.”);  </w:t>
      </w:r>
      <w:r w:rsidRPr="001E4102">
        <w:rPr>
          <w:i/>
        </w:rPr>
        <w:t>Oby v. Baton Rouge Marriott</w:t>
      </w:r>
      <w:r w:rsidRPr="001E4102">
        <w:t>, 329 F. Supp.2d 772, 788 (M.D.La. 2004) (“It is clear that nominal damages are not available under the FMLA because the statutory language of the FMLA specifically limits recovery to actual monetary losses.”).</w:t>
      </w:r>
    </w:p>
    <w:sectPr w:rsidR="006154EC" w:rsidRPr="00374CF1" w:rsidSect="00F20709">
      <w:headerReference w:type="default" r:id="rId24"/>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6AE9" w14:textId="77777777" w:rsidR="00AD462F" w:rsidRDefault="00AD462F">
      <w:r>
        <w:separator/>
      </w:r>
    </w:p>
  </w:endnote>
  <w:endnote w:type="continuationSeparator" w:id="0">
    <w:p w14:paraId="725549BD" w14:textId="77777777" w:rsidR="00AD462F" w:rsidRDefault="00AD462F">
      <w:r>
        <w:continuationSeparator/>
      </w:r>
    </w:p>
  </w:endnote>
  <w:endnote w:type="continuationNotice" w:id="1">
    <w:p w14:paraId="4E6608F6" w14:textId="77777777" w:rsidR="00AD462F" w:rsidRDefault="00AD4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390" w14:textId="77777777" w:rsidR="000540EA" w:rsidRDefault="000540EA" w:rsidP="00B96E4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3A94" w14:textId="2F697D4B" w:rsidR="000540EA" w:rsidRPr="00572C16" w:rsidRDefault="000540EA" w:rsidP="0057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AD89" w14:textId="77777777" w:rsidR="00572C16" w:rsidRDefault="0057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0027" w14:textId="77777777" w:rsidR="00AD462F" w:rsidRDefault="00AD462F">
      <w:r>
        <w:separator/>
      </w:r>
    </w:p>
  </w:footnote>
  <w:footnote w:type="continuationSeparator" w:id="0">
    <w:p w14:paraId="693F057F" w14:textId="77777777" w:rsidR="00AD462F" w:rsidRDefault="00AD462F">
      <w:r>
        <w:continuationSeparator/>
      </w:r>
    </w:p>
  </w:footnote>
  <w:footnote w:type="continuationNotice" w:id="1">
    <w:p w14:paraId="1641C805" w14:textId="77777777" w:rsidR="00AD462F" w:rsidRDefault="00AD462F"/>
  </w:footnote>
  <w:footnote w:id="2">
    <w:p w14:paraId="70C10124" w14:textId="0867D07F" w:rsidR="000540EA" w:rsidRDefault="000540EA"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r>
        <w:rPr>
          <w:i/>
        </w:rPr>
        <w:t>Macfarlan v. Ivy Hill SNF, LLC</w:t>
      </w:r>
      <w:r>
        <w:t xml:space="preserve">, 675 F.3d 266, 271 (3d Cir. 2012) (quoting </w:t>
      </w:r>
      <w:r>
        <w:rPr>
          <w:i/>
        </w:rPr>
        <w:t>Rinehimer v. Cemcolift, Inc.</w:t>
      </w:r>
      <w:r>
        <w:t xml:space="preserve">, 292 F.3d 375, 384 (3d Cir. 2002)).  Thus, a plaintiff asserting a violation of Section 2614(a)(1) must “establish not only that he was not returned to an equivalent position but also that he was able to perform the essential functions of that position.”  </w:t>
      </w:r>
      <w:r>
        <w:rPr>
          <w:i/>
        </w:rPr>
        <w:t>Rinehimer</w:t>
      </w:r>
      <w:r>
        <w:t xml:space="preserve">, 292 F.3d at 384.  </w:t>
      </w:r>
      <w:r>
        <w:rPr>
          <w:i/>
          <w:iCs/>
        </w:rPr>
        <w:t xml:space="preserve">See also </w:t>
      </w:r>
      <w:r w:rsidRPr="002B773A">
        <w:rPr>
          <w:i/>
          <w:iCs/>
        </w:rPr>
        <w:t>Budhun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13B1FD5E" w:rsidR="000540EA" w:rsidRPr="00CF726C" w:rsidRDefault="000540EA"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w:t>
      </w:r>
      <w:r w:rsidR="0086723D">
        <w:rPr>
          <w:szCs w:val="24"/>
        </w:rPr>
        <w:t>spring 2016</w:t>
      </w:r>
      <w:r>
        <w:rPr>
          <w:szCs w:val="24"/>
        </w:rPr>
        <w:t xml:space="preserve">,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4">
    <w:p w14:paraId="3755B578" w14:textId="77777777" w:rsidR="000540EA" w:rsidRDefault="000540EA"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5">
    <w:p w14:paraId="6E1F8BF1" w14:textId="77777777" w:rsidR="000540EA" w:rsidRDefault="000540EA"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6">
    <w:p w14:paraId="4B48841A" w14:textId="77777777" w:rsidR="000540EA" w:rsidRDefault="000540EA"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7">
    <w:p w14:paraId="63122320" w14:textId="77777777" w:rsidR="000540EA" w:rsidRPr="00587C7F" w:rsidRDefault="000540EA"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2612(e)(1) (notice where need “is foreseeable based on an expected birth or placement”); </w:t>
      </w:r>
      <w:r w:rsidRPr="00587C7F">
        <w:rPr>
          <w:i/>
          <w:szCs w:val="24"/>
        </w:rPr>
        <w:t>id.</w:t>
      </w:r>
      <w:r w:rsidRPr="00587C7F">
        <w:rPr>
          <w:szCs w:val="24"/>
        </w:rPr>
        <w:t xml:space="preserve"> § 2612(e)(2) (notice where need “is foreseeable based on planned medical treatment”); </w:t>
      </w:r>
      <w:r w:rsidRPr="00587C7F">
        <w:rPr>
          <w:i/>
          <w:szCs w:val="24"/>
        </w:rPr>
        <w:t>id.</w:t>
      </w:r>
      <w:r w:rsidRPr="00587C7F">
        <w:rPr>
          <w:szCs w:val="24"/>
        </w:rPr>
        <w:t xml:space="preserve"> § 2612(e)(3) (notice where need arises from exigency caused by specified person’s military service).</w:t>
      </w:r>
    </w:p>
  </w:footnote>
  <w:footnote w:id="8">
    <w:p w14:paraId="5BA6958B" w14:textId="77777777" w:rsidR="000540EA" w:rsidRPr="00DE3881" w:rsidRDefault="000540EA"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Ross v. Gilhuly</w:t>
      </w:r>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9">
    <w:p w14:paraId="3800B456" w14:textId="77777777" w:rsidR="000540EA" w:rsidRDefault="000540EA"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0">
    <w:p w14:paraId="5AFA46EF" w14:textId="77777777" w:rsidR="000540EA" w:rsidRPr="001D6709" w:rsidRDefault="000540EA"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r w:rsidRPr="001D6709">
        <w:rPr>
          <w:i/>
          <w:szCs w:val="24"/>
        </w:rPr>
        <w:t>Budhun v. Reading Hosp. &amp; Med. Ctr.</w:t>
      </w:r>
      <w:r w:rsidRPr="001D6709">
        <w:rPr>
          <w:szCs w:val="24"/>
        </w:rPr>
        <w:t>, 765 F.3d 245</w:t>
      </w:r>
      <w:r>
        <w:rPr>
          <w:szCs w:val="24"/>
        </w:rPr>
        <w:t>, 252</w:t>
      </w:r>
      <w:r w:rsidRPr="001D6709">
        <w:rPr>
          <w:szCs w:val="24"/>
        </w:rPr>
        <w:t xml:space="preserve"> (3d Cir. 2014) (alterations in original) (quoting </w:t>
      </w:r>
      <w:r w:rsidRPr="001D6709">
        <w:rPr>
          <w:i/>
          <w:szCs w:val="24"/>
        </w:rPr>
        <w:t>Callison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r w:rsidRPr="001D6709">
        <w:rPr>
          <w:i/>
          <w:szCs w:val="24"/>
        </w:rPr>
        <w:t>Callison</w:t>
      </w:r>
      <w:r w:rsidRPr="001D6709">
        <w:rPr>
          <w:szCs w:val="24"/>
        </w:rPr>
        <w:t xml:space="preserve"> formulation because in order to be entitled to benefits, an employee must be eligible for FMLA protections and leave, work for a covered employer, and provide sufficient notice.”  </w:t>
      </w:r>
      <w:r w:rsidRPr="001D6709">
        <w:rPr>
          <w:i/>
          <w:szCs w:val="24"/>
        </w:rPr>
        <w:t>Budhun</w:t>
      </w:r>
      <w:r w:rsidRPr="001D6709">
        <w:rPr>
          <w:szCs w:val="24"/>
        </w:rPr>
        <w:t xml:space="preserve">, </w:t>
      </w:r>
      <w:r>
        <w:rPr>
          <w:szCs w:val="24"/>
        </w:rPr>
        <w:t>765 F.3d at 252</w:t>
      </w:r>
      <w:r w:rsidRPr="001D6709">
        <w:rPr>
          <w:szCs w:val="24"/>
        </w:rPr>
        <w:t xml:space="preserve"> n.2.</w:t>
      </w:r>
    </w:p>
  </w:footnote>
  <w:footnote w:id="11">
    <w:p w14:paraId="051BB401" w14:textId="77777777" w:rsidR="000540EA" w:rsidRPr="003109FA" w:rsidRDefault="000540EA"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2612(e)(3).</w:t>
      </w:r>
    </w:p>
  </w:footnote>
  <w:footnote w:id="12">
    <w:p w14:paraId="0E130762" w14:textId="77777777" w:rsidR="000540EA" w:rsidRDefault="000540EA"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13">
    <w:p w14:paraId="0B0F00AA" w14:textId="77777777" w:rsidR="000540EA" w:rsidRDefault="000540EA"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4">
    <w:p w14:paraId="1D77ECEB" w14:textId="49B006DC" w:rsidR="000540EA" w:rsidRDefault="000540EA">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5">
    <w:p w14:paraId="6F8AD172" w14:textId="0B7BFAE7" w:rsidR="000540EA" w:rsidRDefault="000540EA">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p>
  </w:footnote>
  <w:footnote w:id="16">
    <w:p w14:paraId="710375F1" w14:textId="07A39FF5" w:rsidR="000540EA" w:rsidRPr="00F040CB" w:rsidRDefault="000540EA"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0082754B" w:rsidRPr="0082754B">
        <w:rPr>
          <w:szCs w:val="24"/>
        </w:rPr>
        <w:t xml:space="preserve">; </w:t>
      </w:r>
      <w:r w:rsidR="00753858" w:rsidRPr="00753858">
        <w:rPr>
          <w:i/>
          <w:szCs w:val="24"/>
        </w:rPr>
        <w:t>Hansler v. Lehigh Valley Hosp. Network</w:t>
      </w:r>
      <w:r w:rsidR="00753858" w:rsidRPr="00753858">
        <w:rPr>
          <w:szCs w:val="24"/>
        </w:rPr>
        <w:t>, 798 F.3d 149, 158</w:t>
      </w:r>
      <w:r w:rsidR="00753858">
        <w:rPr>
          <w:szCs w:val="24"/>
        </w:rPr>
        <w:t>-59</w:t>
      </w:r>
      <w:r w:rsidR="00753858" w:rsidRPr="00753858">
        <w:rPr>
          <w:szCs w:val="24"/>
        </w:rPr>
        <w:t xml:space="preserve"> (3d Cir. 2015)</w:t>
      </w:r>
      <w:r w:rsidR="0082754B"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17">
    <w:p w14:paraId="13E13448" w14:textId="77777777" w:rsidR="000540EA" w:rsidRDefault="000540EA"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2612(e)(3).</w:t>
      </w:r>
    </w:p>
  </w:footnote>
  <w:footnote w:id="18">
    <w:p w14:paraId="419F5C89" w14:textId="77777777" w:rsidR="000540EA" w:rsidRDefault="000540EA" w:rsidP="00B96E4A">
      <w:pPr>
        <w:pStyle w:val="FootnoteText"/>
        <w:jc w:val="both"/>
      </w:pPr>
      <w:r w:rsidRPr="00B96E4A">
        <w:footnoteRef/>
      </w:r>
      <w:r>
        <w:t xml:space="preserve"> If the court wishes to give a more detailed instruction on the term “serious health condition,” one is provided in 10.2.1.</w:t>
      </w:r>
    </w:p>
  </w:footnote>
  <w:footnote w:id="19">
    <w:p w14:paraId="19ADDE52" w14:textId="77777777" w:rsidR="000540EA" w:rsidRDefault="000540EA"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0">
    <w:p w14:paraId="324BF83B" w14:textId="77777777" w:rsidR="000540EA" w:rsidRPr="0056209F" w:rsidRDefault="000540EA"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at 307-09 (applying the causation prong of this test); </w:t>
      </w:r>
      <w:r w:rsidRPr="00B57782">
        <w:rPr>
          <w:i/>
        </w:rPr>
        <w:t>Budhun</w:t>
      </w:r>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0540EA" w:rsidRDefault="000540EA" w:rsidP="00B57782">
      <w:pPr>
        <w:pStyle w:val="FootnoteText"/>
      </w:pPr>
    </w:p>
  </w:footnote>
  <w:footnote w:id="21">
    <w:p w14:paraId="78A3B4EB" w14:textId="72149CE5" w:rsidR="000540EA" w:rsidRPr="00815329" w:rsidRDefault="000540EA"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Ross v. Gilhuly</w:t>
      </w:r>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at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at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(quoting</w:t>
      </w:r>
      <w:r>
        <w:rPr>
          <w:szCs w:val="24"/>
        </w:rPr>
        <w:t xml:space="preserve"> </w:t>
      </w:r>
      <w:r w:rsidRPr="00A12E1A">
        <w:rPr>
          <w:i/>
          <w:szCs w:val="24"/>
        </w:rPr>
        <w:t>Williams v. Philadelphia Hous.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0540EA" w:rsidRPr="00815329" w:rsidRDefault="000540EA" w:rsidP="00F408ED">
      <w:pPr>
        <w:pStyle w:val="FootnoteText"/>
        <w:rPr>
          <w:i/>
          <w:szCs w:val="24"/>
        </w:rPr>
      </w:pPr>
    </w:p>
    <w:p w14:paraId="02A7DA50" w14:textId="77777777" w:rsidR="000540EA" w:rsidRPr="00DB06C3" w:rsidRDefault="000540EA" w:rsidP="00F408ED">
      <w:pPr>
        <w:pStyle w:val="FootnoteText"/>
        <w:spacing w:after="240"/>
        <w:rPr>
          <w:szCs w:val="24"/>
          <w:u w:val="single"/>
        </w:rPr>
      </w:pPr>
      <w:r w:rsidRPr="00815329">
        <w:rPr>
          <w:szCs w:val="24"/>
        </w:rPr>
        <w:t xml:space="preserve">In </w:t>
      </w:r>
      <w:r w:rsidRPr="00815329">
        <w:rPr>
          <w:i/>
          <w:szCs w:val="24"/>
        </w:rPr>
        <w:t>Lupyan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at</w:t>
      </w:r>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Lupyan’s employment legally ended upon expiration of her FMLA leave,” it held that “Lupyan’s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Lupyan’s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at 325</w:t>
      </w:r>
      <w:r w:rsidRPr="00815329">
        <w:rPr>
          <w:szCs w:val="24"/>
        </w:rPr>
        <w:t>.</w:t>
      </w:r>
    </w:p>
  </w:footnote>
  <w:footnote w:id="22">
    <w:p w14:paraId="3E36AE81" w14:textId="77777777" w:rsidR="000540EA" w:rsidRDefault="000540EA"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3">
    <w:p w14:paraId="620BD041" w14:textId="77777777" w:rsidR="000540EA" w:rsidRPr="00DB06C3" w:rsidRDefault="000540EA"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24">
    <w:p w14:paraId="52D165FA" w14:textId="794D6D97" w:rsidR="000540EA" w:rsidRDefault="000540EA" w:rsidP="00B96E4A">
      <w:pPr>
        <w:pStyle w:val="FootnoteText"/>
        <w:jc w:val="both"/>
      </w:pPr>
      <w:r w:rsidRPr="00B96E4A">
        <w:footnoteRef/>
      </w:r>
      <w:r>
        <w:t xml:space="preserve">  </w:t>
      </w:r>
      <w:r>
        <w:rPr>
          <w:i/>
        </w:rPr>
        <w:t>Kasten v. Saint-Gobain Performance Plastics Corp.</w:t>
      </w:r>
      <w:r>
        <w:t xml:space="preserve">, 131 S. Ct. 1325 (2011), construed the Fair Labor Standards Act’s anti-retaliation provision and held that “the statutory term ‘filed any complaint’ includes oral as well as written complaints within its scope.”  </w:t>
      </w:r>
      <w:r>
        <w:rPr>
          <w:i/>
        </w:rPr>
        <w:t>Id.</w:t>
      </w:r>
      <w:r>
        <w:t xml:space="preserve"> at 1329.  The Court did not state whether this holding has implications for the interpretation of the phrase “filed any charge” in the FMLA’s anti-retaliation provision.</w:t>
      </w:r>
    </w:p>
  </w:footnote>
  <w:footnote w:id="25">
    <w:p w14:paraId="637F8F47" w14:textId="77777777" w:rsidR="000540EA" w:rsidRPr="00200BDF" w:rsidRDefault="000540EA"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26">
    <w:p w14:paraId="5C7106FE" w14:textId="77777777" w:rsidR="000540EA" w:rsidRPr="002314DA" w:rsidRDefault="000540EA" w:rsidP="002314DA">
      <w:pPr>
        <w:pStyle w:val="FootnoteText"/>
        <w:rPr>
          <w:szCs w:val="24"/>
        </w:rPr>
      </w:pPr>
      <w:r w:rsidRPr="002314DA">
        <w:rPr>
          <w:rStyle w:val="FootnoteReference"/>
        </w:rPr>
        <w:footnoteRef/>
      </w:r>
      <w:r w:rsidRPr="002314DA">
        <w:t xml:space="preserve">  </w:t>
      </w:r>
      <w:r w:rsidRPr="002314DA">
        <w:rPr>
          <w:szCs w:val="24"/>
        </w:rPr>
        <w:t xml:space="preserve">Like 42 U.S.C. § 2000e–3(a), 29 U.S.C. §§ 2615(a)(2)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27">
    <w:p w14:paraId="4641FCDD" w14:textId="77777777" w:rsidR="000540EA" w:rsidRDefault="000540EA"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28">
    <w:p w14:paraId="10D454C1" w14:textId="77777777" w:rsidR="000540EA" w:rsidRPr="003E6682" w:rsidRDefault="000540EA"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29">
    <w:p w14:paraId="2F721FE2" w14:textId="27445359" w:rsidR="00534EA1" w:rsidRDefault="00534EA1">
      <w:pPr>
        <w:pStyle w:val="FootnoteText"/>
      </w:pPr>
      <w:r>
        <w:rPr>
          <w:rStyle w:val="FootnoteReference"/>
        </w:rPr>
        <w:footnoteRef/>
      </w:r>
      <w:r>
        <w:t xml:space="preserve"> </w:t>
      </w:r>
      <w:r w:rsidRPr="00534EA1">
        <w:rPr>
          <w:i/>
        </w:rPr>
        <w:t>See Bonkowski</w:t>
      </w:r>
      <w:r w:rsidRPr="00534EA1">
        <w:t>, 787 F.3d at 203 (holding the meaning of “overnight stay” was a question of law for the court, that it is the court’s “obligation to interpret the DOL regulation,” and that “[i]t is then the jury’s responsibility to dispose of any genuine issues of material fact on the basis of judicial instructions explaining the meaning of” the regulation).</w:t>
      </w:r>
    </w:p>
  </w:footnote>
  <w:footnote w:id="30">
    <w:p w14:paraId="6C8E8A57" w14:textId="77777777" w:rsidR="000540EA" w:rsidRDefault="000540EA" w:rsidP="00B96E4A">
      <w:pPr>
        <w:pStyle w:val="FootnoteText"/>
        <w:jc w:val="both"/>
      </w:pPr>
      <w:r w:rsidRPr="0031478A">
        <w:rPr>
          <w:vertAlign w:val="superscript"/>
        </w:rPr>
        <w:footnoteRef/>
      </w:r>
      <w:r w:rsidRPr="0031478A">
        <w:rPr>
          <w:vertAlign w:val="superscript"/>
        </w:rPr>
        <w:t xml:space="preserve"> </w:t>
      </w:r>
      <w:r>
        <w:t xml:space="preserve"> N.B.: In cases involving servicemember family leave under 29 U.S.C. § 2612(a)(3),</w:t>
      </w:r>
    </w:p>
    <w:p w14:paraId="335E2690" w14:textId="77777777" w:rsidR="000540EA" w:rsidRDefault="000540EA" w:rsidP="00B96E4A">
      <w:pPr>
        <w:widowControl w:val="0"/>
        <w:jc w:val="both"/>
      </w:pPr>
      <w:r>
        <w:t>the relevant period is 26 weeks rather than 12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3F00" w14:textId="77777777" w:rsidR="000540EA" w:rsidRDefault="000540EA" w:rsidP="00B96E4A">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43D0" w14:textId="77777777" w:rsidR="000540EA" w:rsidRPr="00572C16" w:rsidRDefault="000540EA" w:rsidP="00572C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1D1E" w14:textId="77777777" w:rsidR="000540EA" w:rsidRPr="00572C16" w:rsidRDefault="000540EA" w:rsidP="00572C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8CA9" w14:textId="77777777" w:rsidR="000540EA" w:rsidRPr="00572C16" w:rsidRDefault="000540EA" w:rsidP="00572C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D26D" w14:textId="77777777" w:rsidR="000540EA" w:rsidRPr="00572C16" w:rsidRDefault="000540EA" w:rsidP="00572C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5D7C" w14:textId="77777777" w:rsidR="000540EA" w:rsidRPr="00572C16" w:rsidRDefault="000540EA" w:rsidP="00572C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C4DA" w14:textId="77777777" w:rsidR="000540EA" w:rsidRPr="00572C16" w:rsidRDefault="000540EA" w:rsidP="00572C1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82DF" w14:textId="77777777" w:rsidR="000540EA" w:rsidRPr="00572C16" w:rsidRDefault="000540EA" w:rsidP="0057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4A57" w14:textId="77777777" w:rsidR="000540EA" w:rsidRDefault="000540EA" w:rsidP="0072581A">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E78B" w14:textId="77777777" w:rsidR="00572C16" w:rsidRDefault="00572C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CF16" w14:textId="77777777" w:rsidR="000540EA" w:rsidRPr="00572C16" w:rsidRDefault="000540EA" w:rsidP="00572C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0317" w14:textId="77777777" w:rsidR="000540EA" w:rsidRPr="00572C16" w:rsidRDefault="000540EA" w:rsidP="00572C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5E44" w14:textId="77777777" w:rsidR="000540EA" w:rsidRPr="00572C16" w:rsidRDefault="000540EA" w:rsidP="00572C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BF52" w14:textId="77777777" w:rsidR="000540EA" w:rsidRPr="00572C16" w:rsidRDefault="000540EA" w:rsidP="00572C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50B4" w14:textId="77777777" w:rsidR="000540EA" w:rsidRPr="00572C16" w:rsidRDefault="000540EA" w:rsidP="00572C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B0D2" w14:textId="77777777" w:rsidR="000540EA" w:rsidRPr="00572C16" w:rsidRDefault="000540EA" w:rsidP="00572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3"/>
    <w:rsid w:val="00021735"/>
    <w:rsid w:val="00024B99"/>
    <w:rsid w:val="00025B28"/>
    <w:rsid w:val="00027BA1"/>
    <w:rsid w:val="000313E3"/>
    <w:rsid w:val="00035F03"/>
    <w:rsid w:val="00042664"/>
    <w:rsid w:val="000517FB"/>
    <w:rsid w:val="000540EA"/>
    <w:rsid w:val="00080947"/>
    <w:rsid w:val="000904AF"/>
    <w:rsid w:val="000964AE"/>
    <w:rsid w:val="00096EC5"/>
    <w:rsid w:val="001002EF"/>
    <w:rsid w:val="001069C9"/>
    <w:rsid w:val="0011288F"/>
    <w:rsid w:val="00112A75"/>
    <w:rsid w:val="001174B4"/>
    <w:rsid w:val="00121FBF"/>
    <w:rsid w:val="00124217"/>
    <w:rsid w:val="00127A0C"/>
    <w:rsid w:val="00145C68"/>
    <w:rsid w:val="001475DF"/>
    <w:rsid w:val="00152994"/>
    <w:rsid w:val="00155C00"/>
    <w:rsid w:val="00157F9F"/>
    <w:rsid w:val="00172D83"/>
    <w:rsid w:val="001763FE"/>
    <w:rsid w:val="0018272D"/>
    <w:rsid w:val="00190614"/>
    <w:rsid w:val="00193AB4"/>
    <w:rsid w:val="00196086"/>
    <w:rsid w:val="001D3D12"/>
    <w:rsid w:val="001D5FA8"/>
    <w:rsid w:val="001D6709"/>
    <w:rsid w:val="001E4102"/>
    <w:rsid w:val="001F5315"/>
    <w:rsid w:val="001F5A69"/>
    <w:rsid w:val="002004EC"/>
    <w:rsid w:val="00200BDF"/>
    <w:rsid w:val="002054B9"/>
    <w:rsid w:val="002238D2"/>
    <w:rsid w:val="00224DBA"/>
    <w:rsid w:val="002314DA"/>
    <w:rsid w:val="00231A7A"/>
    <w:rsid w:val="00232354"/>
    <w:rsid w:val="002374DB"/>
    <w:rsid w:val="0025251F"/>
    <w:rsid w:val="00252ECF"/>
    <w:rsid w:val="00252FC3"/>
    <w:rsid w:val="002539DF"/>
    <w:rsid w:val="00263490"/>
    <w:rsid w:val="00263C2B"/>
    <w:rsid w:val="0027128C"/>
    <w:rsid w:val="00272957"/>
    <w:rsid w:val="00277457"/>
    <w:rsid w:val="00281F02"/>
    <w:rsid w:val="002969FE"/>
    <w:rsid w:val="002A31D5"/>
    <w:rsid w:val="002B773A"/>
    <w:rsid w:val="002B78F6"/>
    <w:rsid w:val="002D7FD3"/>
    <w:rsid w:val="002E4CB3"/>
    <w:rsid w:val="002F2BFC"/>
    <w:rsid w:val="002F4411"/>
    <w:rsid w:val="00301969"/>
    <w:rsid w:val="003109FA"/>
    <w:rsid w:val="00311C3E"/>
    <w:rsid w:val="0031478A"/>
    <w:rsid w:val="003174D3"/>
    <w:rsid w:val="0034624F"/>
    <w:rsid w:val="00371FEC"/>
    <w:rsid w:val="00372EFB"/>
    <w:rsid w:val="00373A0F"/>
    <w:rsid w:val="00374CF1"/>
    <w:rsid w:val="003B3FB9"/>
    <w:rsid w:val="003B5FFA"/>
    <w:rsid w:val="003D2930"/>
    <w:rsid w:val="003E6682"/>
    <w:rsid w:val="003F2443"/>
    <w:rsid w:val="003F4918"/>
    <w:rsid w:val="003F7FF8"/>
    <w:rsid w:val="004018B6"/>
    <w:rsid w:val="00403A9C"/>
    <w:rsid w:val="004071A0"/>
    <w:rsid w:val="00430F9F"/>
    <w:rsid w:val="00455D16"/>
    <w:rsid w:val="00456D9D"/>
    <w:rsid w:val="004602A2"/>
    <w:rsid w:val="004633B0"/>
    <w:rsid w:val="00463A3A"/>
    <w:rsid w:val="00464C9A"/>
    <w:rsid w:val="00475D22"/>
    <w:rsid w:val="004774F3"/>
    <w:rsid w:val="004842E9"/>
    <w:rsid w:val="004A1116"/>
    <w:rsid w:val="004B0F56"/>
    <w:rsid w:val="004C5CB2"/>
    <w:rsid w:val="004D41AF"/>
    <w:rsid w:val="004F1FE7"/>
    <w:rsid w:val="0050196F"/>
    <w:rsid w:val="00501ECB"/>
    <w:rsid w:val="00504C7B"/>
    <w:rsid w:val="005210ED"/>
    <w:rsid w:val="0052239D"/>
    <w:rsid w:val="00522AE2"/>
    <w:rsid w:val="00523FFE"/>
    <w:rsid w:val="0053455E"/>
    <w:rsid w:val="00534EA1"/>
    <w:rsid w:val="00536E3F"/>
    <w:rsid w:val="00546121"/>
    <w:rsid w:val="00551304"/>
    <w:rsid w:val="00554D59"/>
    <w:rsid w:val="00557504"/>
    <w:rsid w:val="00560340"/>
    <w:rsid w:val="00560A48"/>
    <w:rsid w:val="0056439E"/>
    <w:rsid w:val="0056526E"/>
    <w:rsid w:val="00570E59"/>
    <w:rsid w:val="00572C16"/>
    <w:rsid w:val="00575583"/>
    <w:rsid w:val="0057796D"/>
    <w:rsid w:val="00587C7F"/>
    <w:rsid w:val="005B0EAB"/>
    <w:rsid w:val="005B13E9"/>
    <w:rsid w:val="005B204D"/>
    <w:rsid w:val="005C1C73"/>
    <w:rsid w:val="005C2882"/>
    <w:rsid w:val="00601BBE"/>
    <w:rsid w:val="00613CDE"/>
    <w:rsid w:val="006154EC"/>
    <w:rsid w:val="00617040"/>
    <w:rsid w:val="0063585B"/>
    <w:rsid w:val="006373E2"/>
    <w:rsid w:val="0065181F"/>
    <w:rsid w:val="006532CE"/>
    <w:rsid w:val="006541C8"/>
    <w:rsid w:val="00655EAA"/>
    <w:rsid w:val="00657B2B"/>
    <w:rsid w:val="006701D2"/>
    <w:rsid w:val="0068572E"/>
    <w:rsid w:val="00691654"/>
    <w:rsid w:val="006975A5"/>
    <w:rsid w:val="006A230F"/>
    <w:rsid w:val="006A6B32"/>
    <w:rsid w:val="006B72E4"/>
    <w:rsid w:val="006C3BE2"/>
    <w:rsid w:val="006C7F28"/>
    <w:rsid w:val="006D23D1"/>
    <w:rsid w:val="00705E13"/>
    <w:rsid w:val="00721272"/>
    <w:rsid w:val="0072581A"/>
    <w:rsid w:val="00732B6A"/>
    <w:rsid w:val="0073318A"/>
    <w:rsid w:val="007343A6"/>
    <w:rsid w:val="0073519A"/>
    <w:rsid w:val="0074393B"/>
    <w:rsid w:val="007511AD"/>
    <w:rsid w:val="00753858"/>
    <w:rsid w:val="00763D99"/>
    <w:rsid w:val="0077112C"/>
    <w:rsid w:val="007A1433"/>
    <w:rsid w:val="007A5C8E"/>
    <w:rsid w:val="007C56C6"/>
    <w:rsid w:val="007D1CEF"/>
    <w:rsid w:val="007D2A09"/>
    <w:rsid w:val="007D4393"/>
    <w:rsid w:val="007E4052"/>
    <w:rsid w:val="007F32F8"/>
    <w:rsid w:val="007F443A"/>
    <w:rsid w:val="007F659A"/>
    <w:rsid w:val="007F6C30"/>
    <w:rsid w:val="007F7FD2"/>
    <w:rsid w:val="008061F6"/>
    <w:rsid w:val="00811456"/>
    <w:rsid w:val="00814C89"/>
    <w:rsid w:val="00815329"/>
    <w:rsid w:val="00820F46"/>
    <w:rsid w:val="008226F0"/>
    <w:rsid w:val="00824AA2"/>
    <w:rsid w:val="00825382"/>
    <w:rsid w:val="0082754B"/>
    <w:rsid w:val="00841CB5"/>
    <w:rsid w:val="0085022D"/>
    <w:rsid w:val="008528E5"/>
    <w:rsid w:val="0086723D"/>
    <w:rsid w:val="008676C9"/>
    <w:rsid w:val="00877B90"/>
    <w:rsid w:val="008826C5"/>
    <w:rsid w:val="00886F5F"/>
    <w:rsid w:val="00896394"/>
    <w:rsid w:val="008A1B05"/>
    <w:rsid w:val="008A2553"/>
    <w:rsid w:val="008B494B"/>
    <w:rsid w:val="008C1A5D"/>
    <w:rsid w:val="008D2D7D"/>
    <w:rsid w:val="008D3F01"/>
    <w:rsid w:val="008E66DA"/>
    <w:rsid w:val="008E7FCC"/>
    <w:rsid w:val="00915A6F"/>
    <w:rsid w:val="009274A6"/>
    <w:rsid w:val="00931970"/>
    <w:rsid w:val="00931AFD"/>
    <w:rsid w:val="00937360"/>
    <w:rsid w:val="00945640"/>
    <w:rsid w:val="00953AD7"/>
    <w:rsid w:val="00961F7C"/>
    <w:rsid w:val="009706BB"/>
    <w:rsid w:val="009834BF"/>
    <w:rsid w:val="00987C84"/>
    <w:rsid w:val="009A300E"/>
    <w:rsid w:val="009A495B"/>
    <w:rsid w:val="009B1E6D"/>
    <w:rsid w:val="009B27ED"/>
    <w:rsid w:val="009B7D24"/>
    <w:rsid w:val="009C5F53"/>
    <w:rsid w:val="009C6F31"/>
    <w:rsid w:val="009E4352"/>
    <w:rsid w:val="009E495E"/>
    <w:rsid w:val="00A029C4"/>
    <w:rsid w:val="00A12E1A"/>
    <w:rsid w:val="00A14752"/>
    <w:rsid w:val="00A210BE"/>
    <w:rsid w:val="00A32361"/>
    <w:rsid w:val="00A33A41"/>
    <w:rsid w:val="00A34B2D"/>
    <w:rsid w:val="00A364B8"/>
    <w:rsid w:val="00A40235"/>
    <w:rsid w:val="00A420A9"/>
    <w:rsid w:val="00A42A76"/>
    <w:rsid w:val="00A55ED6"/>
    <w:rsid w:val="00A7402E"/>
    <w:rsid w:val="00A828F5"/>
    <w:rsid w:val="00A8601C"/>
    <w:rsid w:val="00AA0D90"/>
    <w:rsid w:val="00AA2BAD"/>
    <w:rsid w:val="00AA751C"/>
    <w:rsid w:val="00AB03C3"/>
    <w:rsid w:val="00AB709B"/>
    <w:rsid w:val="00AC0FFC"/>
    <w:rsid w:val="00AD32E1"/>
    <w:rsid w:val="00AD462F"/>
    <w:rsid w:val="00AD7A87"/>
    <w:rsid w:val="00AE0135"/>
    <w:rsid w:val="00B01AE0"/>
    <w:rsid w:val="00B01F99"/>
    <w:rsid w:val="00B0638C"/>
    <w:rsid w:val="00B12616"/>
    <w:rsid w:val="00B15813"/>
    <w:rsid w:val="00B232CB"/>
    <w:rsid w:val="00B362EB"/>
    <w:rsid w:val="00B43377"/>
    <w:rsid w:val="00B43793"/>
    <w:rsid w:val="00B4511C"/>
    <w:rsid w:val="00B54049"/>
    <w:rsid w:val="00B57782"/>
    <w:rsid w:val="00B76BE4"/>
    <w:rsid w:val="00B80F83"/>
    <w:rsid w:val="00B96E4A"/>
    <w:rsid w:val="00BB31E8"/>
    <w:rsid w:val="00BC1A8E"/>
    <w:rsid w:val="00BC4EF0"/>
    <w:rsid w:val="00BD2467"/>
    <w:rsid w:val="00BE7484"/>
    <w:rsid w:val="00BF4724"/>
    <w:rsid w:val="00C0051B"/>
    <w:rsid w:val="00C1528E"/>
    <w:rsid w:val="00C35873"/>
    <w:rsid w:val="00C36A1D"/>
    <w:rsid w:val="00C377A0"/>
    <w:rsid w:val="00C51829"/>
    <w:rsid w:val="00C5365C"/>
    <w:rsid w:val="00C57889"/>
    <w:rsid w:val="00C61BE6"/>
    <w:rsid w:val="00C9001F"/>
    <w:rsid w:val="00C940EA"/>
    <w:rsid w:val="00CA3155"/>
    <w:rsid w:val="00CB27AE"/>
    <w:rsid w:val="00CD1ABC"/>
    <w:rsid w:val="00CD3164"/>
    <w:rsid w:val="00CD55AD"/>
    <w:rsid w:val="00CE01D4"/>
    <w:rsid w:val="00CF726C"/>
    <w:rsid w:val="00D03DF7"/>
    <w:rsid w:val="00D0678D"/>
    <w:rsid w:val="00D118E8"/>
    <w:rsid w:val="00D131DF"/>
    <w:rsid w:val="00D17EC2"/>
    <w:rsid w:val="00D3733D"/>
    <w:rsid w:val="00D43DA0"/>
    <w:rsid w:val="00D4429A"/>
    <w:rsid w:val="00D4741A"/>
    <w:rsid w:val="00D67362"/>
    <w:rsid w:val="00D75953"/>
    <w:rsid w:val="00D7787F"/>
    <w:rsid w:val="00D81477"/>
    <w:rsid w:val="00D876C6"/>
    <w:rsid w:val="00D9701E"/>
    <w:rsid w:val="00DA07E9"/>
    <w:rsid w:val="00DE3881"/>
    <w:rsid w:val="00DE5F54"/>
    <w:rsid w:val="00DF1C14"/>
    <w:rsid w:val="00DF5020"/>
    <w:rsid w:val="00E00BC7"/>
    <w:rsid w:val="00E01AA2"/>
    <w:rsid w:val="00E26200"/>
    <w:rsid w:val="00E26B2E"/>
    <w:rsid w:val="00E27774"/>
    <w:rsid w:val="00E3188C"/>
    <w:rsid w:val="00E31D28"/>
    <w:rsid w:val="00E4276F"/>
    <w:rsid w:val="00E5121F"/>
    <w:rsid w:val="00E53A12"/>
    <w:rsid w:val="00E57128"/>
    <w:rsid w:val="00E610A4"/>
    <w:rsid w:val="00E62BEC"/>
    <w:rsid w:val="00E6348F"/>
    <w:rsid w:val="00E8599D"/>
    <w:rsid w:val="00E949F2"/>
    <w:rsid w:val="00E96E9E"/>
    <w:rsid w:val="00E976ED"/>
    <w:rsid w:val="00EA0D74"/>
    <w:rsid w:val="00EB51E8"/>
    <w:rsid w:val="00EC59F9"/>
    <w:rsid w:val="00EC6CF7"/>
    <w:rsid w:val="00EE618D"/>
    <w:rsid w:val="00EF1766"/>
    <w:rsid w:val="00F040CB"/>
    <w:rsid w:val="00F04D1D"/>
    <w:rsid w:val="00F05A89"/>
    <w:rsid w:val="00F10FF7"/>
    <w:rsid w:val="00F20709"/>
    <w:rsid w:val="00F215C6"/>
    <w:rsid w:val="00F2194B"/>
    <w:rsid w:val="00F27D8C"/>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E6A3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19920</Words>
  <Characters>113548</Characters>
  <Application>Microsoft Office Word</Application>
  <DocSecurity>0</DocSecurity>
  <Lines>946</Lines>
  <Paragraphs>266</Paragraphs>
  <ScaleCrop>false</ScaleCrop>
  <Company/>
  <LinksUpToDate>false</LinksUpToDate>
  <CharactersWithSpaces>133202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2016-07-19T14:00:00Z</dcterms:created>
  <dcterms:modified xsi:type="dcterms:W3CDTF">2016-07-19T14:00:00Z</dcterms:modified>
</cp:coreProperties>
</file>