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 xml:space="preserve">Instructions </w:t>
      </w:r>
      <w:proofErr w:type="gramStart"/>
      <w:r w:rsidRPr="001E4102">
        <w:rPr>
          <w:b/>
          <w:sz w:val="28"/>
        </w:rPr>
        <w:t>For</w:t>
      </w:r>
      <w:proofErr w:type="gramEnd"/>
      <w:r w:rsidRPr="001E4102">
        <w:rPr>
          <w:b/>
          <w:sz w:val="28"/>
        </w:rPr>
        <w:t xml:space="preserve">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t>
      </w:r>
      <w:proofErr w:type="gramStart"/>
      <w:r w:rsidRPr="001E4102">
        <w:t>With</w:t>
      </w:r>
      <w:proofErr w:type="gramEnd"/>
      <w:r w:rsidRPr="001E4102">
        <w:t xml:space="preserve">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 xml:space="preserve">10.1.4   Retaliation </w:t>
      </w:r>
      <w:proofErr w:type="gramStart"/>
      <w:r w:rsidRPr="001E4102">
        <w:t>For</w:t>
      </w:r>
      <w:proofErr w:type="gramEnd"/>
      <w:r w:rsidRPr="001E4102">
        <w:t xml:space="preserve">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8"/>
          <w:headerReference w:type="default" r:id="rId9"/>
          <w:footerReference w:type="even" r:id="rId10"/>
          <w:footerReference w:type="default" r:id="rId11"/>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r>
      <w:proofErr w:type="gramStart"/>
      <w:r w:rsidRPr="001E4102">
        <w:t>Referring to the parties by their names, rather than solely as “Plaintiff” and “Defendant,” can improve jurors’ comprehension.</w:t>
      </w:r>
      <w:proofErr w:type="gramEnd"/>
      <w:r w:rsidRPr="001E4102">
        <w:t xml:space="preserve">  In these instructions, bracketed references to “[plaintiff]” or “[defendant]” indicate places where the name of the party should be inserted.</w:t>
      </w:r>
    </w:p>
    <w:p w14:paraId="7B94B8A4" w14:textId="426D76E9"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w:t>
      </w:r>
      <w:proofErr w:type="spellStart"/>
      <w:r w:rsidRPr="001E4102">
        <w:rPr>
          <w:i/>
        </w:rPr>
        <w:t>Victorelli</w:t>
      </w:r>
      <w:proofErr w:type="spellEnd"/>
      <w:r w:rsidRPr="001E4102">
        <w:rPr>
          <w:i/>
        </w:rPr>
        <w:t xml:space="preserve"> v. Shadyside Hosp</w:t>
      </w:r>
      <w:r w:rsidRPr="001E4102">
        <w:t xml:space="preserve">., 128 F.3d 184, 186 (3d Cir. 1997) (citing 29 C.F.R. </w:t>
      </w:r>
      <w:proofErr w:type="gramStart"/>
      <w:r w:rsidRPr="001E4102">
        <w:t>§  825.101</w:t>
      </w:r>
      <w:proofErr w:type="gramEnd"/>
      <w:r w:rsidRPr="001E4102">
        <w:t xml:space="preserve">).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xml:space="preserve">, 183 F.3d 184, 192 (3d Cir. 1999) (quoting 29 U.S.C. </w:t>
      </w:r>
      <w:proofErr w:type="gramStart"/>
      <w:r w:rsidRPr="001E4102">
        <w:t>§  2601</w:t>
      </w:r>
      <w:proofErr w:type="gramEnd"/>
      <w:r w:rsidRPr="001E4102">
        <w:t>(b)(1), (2)).</w:t>
      </w:r>
    </w:p>
    <w:p w14:paraId="137C5621" w14:textId="31316BE7" w:rsidR="006154EC" w:rsidRPr="001E4102" w:rsidRDefault="006154EC" w:rsidP="009C6F31">
      <w:pPr>
        <w:spacing w:after="240"/>
        <w:jc w:val="both"/>
      </w:pPr>
      <w:r w:rsidRPr="001E4102">
        <w:tab/>
        <w:t>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w:t>
      </w:r>
      <w:proofErr w:type="gramStart"/>
      <w:r w:rsidRPr="001E4102">
        <w:t>)(</w:t>
      </w:r>
      <w:proofErr w:type="gramEnd"/>
      <w:r w:rsidRPr="001E4102">
        <w:t>1). During the 12 week leave period, the employer must maintain the employee's group health coverage. § 2614(c</w:t>
      </w:r>
      <w:proofErr w:type="gramStart"/>
      <w:r w:rsidRPr="001E4102">
        <w:t>)(</w:t>
      </w:r>
      <w:proofErr w:type="gramEnd"/>
      <w:r w:rsidRPr="001E4102">
        <w:t>1). Leave must be granted, when "medically necessary," on an intermittent or part-time basis. § 2612(b</w:t>
      </w:r>
      <w:proofErr w:type="gramStart"/>
      <w:r w:rsidRPr="001E4102">
        <w:t>)(</w:t>
      </w:r>
      <w:proofErr w:type="gramEnd"/>
      <w:r w:rsidRPr="001E4102">
        <w:t xml:space="preserve">1). Upon the employee's timely </w:t>
      </w:r>
      <w:r w:rsidRPr="001E4102">
        <w:lastRenderedPageBreak/>
        <w:t>return, the employer must reinstate the employee to his or her former position or an equivalent, § 2614(a</w:t>
      </w:r>
      <w:proofErr w:type="gramStart"/>
      <w:r w:rsidRPr="001E4102">
        <w:t>)(</w:t>
      </w:r>
      <w:proofErr w:type="gramEnd"/>
      <w:r w:rsidRPr="001E4102">
        <w:t>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w:t>
      </w:r>
      <w:proofErr w:type="gramStart"/>
      <w:r w:rsidRPr="001E4102">
        <w:t>§  2617</w:t>
      </w:r>
      <w:proofErr w:type="gramEnd"/>
      <w:r w:rsidRPr="001E4102">
        <w:t xml:space="preserve">(a)(1).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 xml:space="preserve">Special Provisions Concerning </w:t>
      </w:r>
      <w:proofErr w:type="spellStart"/>
      <w:r w:rsidRPr="001E4102">
        <w:rPr>
          <w:i/>
        </w:rPr>
        <w:t>Servicemembers</w:t>
      </w:r>
      <w:proofErr w:type="spellEnd"/>
    </w:p>
    <w:p w14:paraId="52D24A81" w14:textId="45FB78ED"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w:t>
      </w:r>
      <w:proofErr w:type="gramStart"/>
      <w:r w:rsidRPr="001E4102">
        <w:t>L. No. 110-181, Div.</w:t>
      </w:r>
      <w:proofErr w:type="gramEnd"/>
      <w:r w:rsidRPr="001E4102">
        <w:t xml:space="preserve"> </w:t>
      </w:r>
      <w:proofErr w:type="gramStart"/>
      <w:r w:rsidRPr="001E4102">
        <w:t>A, Title V, § 585, Jan. 28, 2008, 122 Stat. 129.</w:t>
      </w:r>
      <w:proofErr w:type="gramEnd"/>
      <w:r w:rsidRPr="001E4102">
        <w:t xml:space="preserve">  The amendments added to Section 2612(a)’s list of leave entitlements leave “[b]</w:t>
      </w:r>
      <w:proofErr w:type="spellStart"/>
      <w:r w:rsidRPr="001E4102">
        <w:t>ecause</w:t>
      </w:r>
      <w:proofErr w:type="spellEnd"/>
      <w:r w:rsidRPr="001E4102">
        <w:t xml:space="preserv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w:t>
      </w:r>
      <w:proofErr w:type="gramStart"/>
      <w:r w:rsidRPr="001E4102">
        <w:t>)(</w:t>
      </w:r>
      <w:proofErr w:type="gramEnd"/>
      <w:r w:rsidRPr="001E4102">
        <w:t xml:space="preserve">1)(E).  The amendments also created an entitlement to </w:t>
      </w:r>
      <w:proofErr w:type="spellStart"/>
      <w:r w:rsidRPr="001E4102">
        <w:t>servicemember</w:t>
      </w:r>
      <w:proofErr w:type="spellEnd"/>
      <w:r w:rsidRPr="001E4102">
        <w:t xml:space="preserve"> family leave: “Subject to section 2613 of this title, an eligible employee who is the spouse, son, daughter, parent, or next of kin of a covered </w:t>
      </w:r>
      <w:proofErr w:type="spellStart"/>
      <w:r w:rsidRPr="001E4102">
        <w:t>servicemember</w:t>
      </w:r>
      <w:proofErr w:type="spellEnd"/>
      <w:r w:rsidRPr="001E4102">
        <w:t xml:space="preserve"> shall be entitled to a total of 26 workweeks of leave during a 12-month period to care for the </w:t>
      </w:r>
      <w:proofErr w:type="spellStart"/>
      <w:r w:rsidRPr="001E4102">
        <w:lastRenderedPageBreak/>
        <w:t>servicemember</w:t>
      </w:r>
      <w:proofErr w:type="spellEnd"/>
      <w:r w:rsidRPr="001E4102">
        <w:t xml:space="preserve">. The leave described in this paragraph shall only be available during a single 12-month period.”  </w:t>
      </w:r>
      <w:r w:rsidRPr="001E4102">
        <w:rPr>
          <w:i/>
        </w:rPr>
        <w:t>Id.</w:t>
      </w:r>
      <w:r w:rsidRPr="001E4102">
        <w:t xml:space="preserve"> § 2612(a</w:t>
      </w:r>
      <w:proofErr w:type="gramStart"/>
      <w:r w:rsidRPr="001E4102">
        <w:t>)(</w:t>
      </w:r>
      <w:proofErr w:type="gramEnd"/>
      <w:r w:rsidRPr="001E4102">
        <w:t xml:space="preserve">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w:t>
      </w:r>
      <w:proofErr w:type="gramStart"/>
      <w:r w:rsidRPr="001E4102">
        <w:t>)(</w:t>
      </w:r>
      <w:proofErr w:type="gramEnd"/>
      <w:r w:rsidRPr="001E4102">
        <w:t>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 xml:space="preserve">A covered employer under the Act is one engaged in commerce or in an industry affecting commerce </w:t>
      </w:r>
      <w:proofErr w:type="gramStart"/>
      <w:r w:rsidRPr="001E4102">
        <w:t>who</w:t>
      </w:r>
      <w:proofErr w:type="gramEnd"/>
      <w:r w:rsidRPr="001E4102">
        <w:t xml:space="preserve"> employs 50 or more employees for each working day during each of 20 or more calendar workweeks in the current or preceding calendar year.  29 U.S.C. § 2611(4</w:t>
      </w:r>
      <w:proofErr w:type="gramStart"/>
      <w:r w:rsidRPr="001E4102">
        <w:t>)(</w:t>
      </w:r>
      <w:proofErr w:type="gramEnd"/>
      <w:r w:rsidRPr="001E4102">
        <w:t>A)(i); 29 C.F.R. § 825.104(</w:t>
      </w:r>
      <w:r w:rsidR="00021735" w:rsidRPr="001E4102">
        <w:t>a</w:t>
      </w:r>
      <w:r w:rsidRPr="001E4102">
        <w:t>).</w:t>
      </w:r>
    </w:p>
    <w:p w14:paraId="07B5860A" w14:textId="3DFA5264" w:rsidR="006154EC" w:rsidRPr="001E4102" w:rsidRDefault="006154EC" w:rsidP="009C6F31">
      <w:pPr>
        <w:spacing w:after="240"/>
        <w:jc w:val="both"/>
      </w:pPr>
      <w:r w:rsidRPr="001E4102">
        <w:tab/>
        <w:t>29 U.S.C. § 2611(4</w:t>
      </w:r>
      <w:proofErr w:type="gramStart"/>
      <w:r w:rsidRPr="001E4102">
        <w:t>)(</w:t>
      </w:r>
      <w:proofErr w:type="gramEnd"/>
      <w:r w:rsidRPr="001E4102">
        <w:t xml:space="preserve">A)(iii) provides that the term “employer” “includes any ‘public agency’, as defined in section 203(x) of this title.”  29 U.S.C. § 203(x) defines “public agency” to include, inter alia, state and local governments.   </w:t>
      </w:r>
      <w:r w:rsidRPr="001E4102">
        <w:rPr>
          <w:i/>
        </w:rPr>
        <w:t xml:space="preserve">Nevada Department of Human Resources v. </w:t>
      </w:r>
      <w:proofErr w:type="spellStart"/>
      <w:r w:rsidRPr="001E4102">
        <w:rPr>
          <w:i/>
        </w:rPr>
        <w:t>Hibbs</w:t>
      </w:r>
      <w:proofErr w:type="spellEnd"/>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U.S.C.A.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proofErr w:type="gramStart"/>
      <w:r w:rsidRPr="001E4102">
        <w:t>at</w:t>
      </w:r>
      <w:proofErr w:type="gramEnd"/>
      <w:r w:rsidRPr="001E4102">
        <w:t xml:space="preserve"> 1338 (plurality opinion); </w:t>
      </w:r>
      <w:r w:rsidRPr="001E4102">
        <w:rPr>
          <w:i/>
        </w:rPr>
        <w:t>id.</w:t>
      </w:r>
      <w:r w:rsidRPr="001E4102">
        <w:t xml:space="preserve"> </w:t>
      </w:r>
      <w:proofErr w:type="gramStart"/>
      <w:r w:rsidRPr="001E4102">
        <w:t>at</w:t>
      </w:r>
      <w:proofErr w:type="gramEnd"/>
      <w:r w:rsidRPr="001E4102">
        <w:t xml:space="preserve"> 1338-39 (Scalia, J., concurring in the judgment).</w:t>
      </w:r>
      <w:r w:rsidRPr="001E4102">
        <w:tab/>
      </w:r>
    </w:p>
    <w:p w14:paraId="59E3E1A2" w14:textId="77777777" w:rsidR="006154EC" w:rsidRPr="001E4102" w:rsidRDefault="006154EC" w:rsidP="009C6F31">
      <w:pPr>
        <w:spacing w:after="240"/>
        <w:jc w:val="both"/>
      </w:pPr>
      <w:r w:rsidRPr="001E4102">
        <w:tab/>
        <w:t>29 U.S.C. § 2611(4</w:t>
      </w:r>
      <w:proofErr w:type="gramStart"/>
      <w:r w:rsidRPr="001E4102">
        <w:t>)(</w:t>
      </w:r>
      <w:proofErr w:type="gramEnd"/>
      <w:r w:rsidRPr="001E4102">
        <w:t xml:space="preserve">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w:t>
      </w:r>
      <w:r w:rsidRPr="001E4102">
        <w:lastRenderedPageBreak/>
        <w:t xml:space="preserve">responsible in whole or part for the alleged violation’ while acting in the employer's interest.”  </w:t>
      </w:r>
      <w:proofErr w:type="spellStart"/>
      <w:proofErr w:type="gramStart"/>
      <w:r w:rsidRPr="001E4102">
        <w:rPr>
          <w:i/>
        </w:rPr>
        <w:t>Haybarger</w:t>
      </w:r>
      <w:proofErr w:type="spellEnd"/>
      <w:r w:rsidRPr="001E4102">
        <w:rPr>
          <w:i/>
        </w:rPr>
        <w:t xml:space="preserve"> v. Lawrence </w:t>
      </w:r>
      <w:proofErr w:type="spellStart"/>
      <w:r w:rsidRPr="001E4102">
        <w:rPr>
          <w:i/>
        </w:rPr>
        <w:t>Cnty</w:t>
      </w:r>
      <w:proofErr w:type="spellEnd"/>
      <w:r w:rsidRPr="001E4102">
        <w:rPr>
          <w:i/>
        </w:rPr>
        <w:t>.</w:t>
      </w:r>
      <w:proofErr w:type="gramEnd"/>
      <w:r w:rsidRPr="001E4102">
        <w:rPr>
          <w:i/>
        </w:rPr>
        <w:t xml:space="preserve"> Adult Prob. &amp; Parole</w:t>
      </w:r>
      <w:r w:rsidRPr="001E4102">
        <w:t xml:space="preserve">, 667 F.3d 408, 417 (3d Cir. 2012) (quoting </w:t>
      </w:r>
      <w:r w:rsidRPr="001E4102">
        <w:rPr>
          <w:i/>
        </w:rPr>
        <w:t xml:space="preserve">Riordan v. </w:t>
      </w:r>
      <w:proofErr w:type="spellStart"/>
      <w:r w:rsidRPr="001E4102">
        <w:rPr>
          <w:i/>
        </w:rPr>
        <w:t>Kempiners</w:t>
      </w:r>
      <w:proofErr w:type="spellEnd"/>
      <w:r w:rsidRPr="001E4102">
        <w:t xml:space="preserve">, 831 F.2d 690, 694 (7th Cir. 1987)).  The </w:t>
      </w:r>
      <w:proofErr w:type="spellStart"/>
      <w:r w:rsidRPr="001E4102">
        <w:rPr>
          <w:i/>
        </w:rPr>
        <w:t>Haybarger</w:t>
      </w:r>
      <w:proofErr w:type="spellEnd"/>
      <w:r w:rsidRPr="001E4102">
        <w:rPr>
          <w:i/>
        </w:rPr>
        <w:t xml:space="preserve"> </w:t>
      </w:r>
      <w:r w:rsidRPr="001E4102">
        <w:t xml:space="preserve">court held that this liability extends to supervisors in public agencies.  See id. </w:t>
      </w:r>
      <w:proofErr w:type="gramStart"/>
      <w:r w:rsidRPr="001E4102">
        <w:t>at</w:t>
      </w:r>
      <w:proofErr w:type="gramEnd"/>
      <w:r w:rsidRPr="001E4102">
        <w:t xml:space="preserve">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04C12E57" w:rsidR="006154EC" w:rsidRPr="001E4102" w:rsidRDefault="006154EC" w:rsidP="009C6F31">
      <w:pPr>
        <w:spacing w:after="240"/>
        <w:jc w:val="both"/>
      </w:pPr>
      <w:r w:rsidRPr="001E4102">
        <w:tab/>
        <w:t>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w:t>
      </w:r>
      <w:proofErr w:type="gramStart"/>
      <w:r w:rsidRPr="001E4102">
        <w:t>)(</w:t>
      </w:r>
      <w:proofErr w:type="gramEnd"/>
      <w:r w:rsidRPr="001E4102">
        <w:t xml:space="preserve">A).  </w:t>
      </w:r>
      <w:r w:rsidRPr="001E4102">
        <w:rPr>
          <w:i/>
        </w:rPr>
        <w:t>See Erdman v. Nationwide Ins. Co.</w:t>
      </w:r>
      <w:r w:rsidRPr="001E4102">
        <w:t>, 582 F.3d 500, 504-06 (3d Cir. 2009) (discussing how to calculate the number of hours worked during the relevant period).  A husband and wife who are both eligible for FMLA leave and are employed by the same covered employer may be limited by the employer to a combined total of 12 weeks of leave during any 12-month period if the leave is taken for 1) the birth of the employee ’s son or daughter or to care for that newborn; 2) for placement of a son or daughter for adoption or foster care, or to care for the child after placement; or 3) or to care for the employee ’s parent.  29 C.F.R. § 825.120(a</w:t>
      </w:r>
      <w:proofErr w:type="gramStart"/>
      <w:r w:rsidRPr="001E4102">
        <w:t>)(</w:t>
      </w:r>
      <w:proofErr w:type="gramEnd"/>
      <w:r w:rsidRPr="001E4102">
        <w:t xml:space="preserve">3).  29 U.S.C. § 2612(f)(2) sets special provisions concerning </w:t>
      </w:r>
      <w:proofErr w:type="spellStart"/>
      <w:r w:rsidRPr="001E4102">
        <w:t>servicemember</w:t>
      </w:r>
      <w:proofErr w:type="spellEnd"/>
      <w:r w:rsidRPr="001E4102">
        <w:t xml:space="preserve">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32D73E24" w14:textId="12B68651" w:rsidR="006154EC" w:rsidRPr="001E4102" w:rsidRDefault="006154EC" w:rsidP="009C6F31">
      <w:pPr>
        <w:spacing w:after="240"/>
        <w:jc w:val="both"/>
      </w:pPr>
      <w:r w:rsidRPr="001E4102">
        <w:tab/>
        <w:t xml:space="preserve">Employees are also eligible for leave when certain family members – his or her spouse, son, daughter, or parent – have serious health conditions. “Spouse” means a husband or wife as defined or recognized under state law where the employee resides, including common law spouses in states where common law marriages are recognized. </w:t>
      </w:r>
      <w:proofErr w:type="gramStart"/>
      <w:r w:rsidRPr="001E4102">
        <w:t>29 U.S.C. 2611(13); 29 C.F.R. § 825.122(</w:t>
      </w:r>
      <w:r w:rsidR="00021735" w:rsidRPr="001E4102">
        <w:t>b</w:t>
      </w:r>
      <w:r w:rsidR="00127A0C" w:rsidRPr="001E4102">
        <w:t>).</w:t>
      </w:r>
      <w:proofErr w:type="gramEnd"/>
      <w:r w:rsidR="002A31D5" w:rsidRPr="001E4102">
        <w:t xml:space="preserve"> In June 2014, the Department of Labor published a Notice of Proposed Rulemaking proposing “to revise the regulation defining ‘spouse’ under the [FMLA] in light of the United States Supreme Court’s decision in </w:t>
      </w:r>
      <w:r w:rsidR="002A31D5" w:rsidRPr="001E4102">
        <w:rPr>
          <w:i/>
        </w:rPr>
        <w:t>United States v. Windsor</w:t>
      </w:r>
      <w:r w:rsidR="002A31D5" w:rsidRPr="001E4102">
        <w:t xml:space="preserve">, which found section 3 of the Defense of Marriage Act (DOMA) to be unconstitutional.”  </w:t>
      </w:r>
      <w:proofErr w:type="gramStart"/>
      <w:r w:rsidR="002A31D5" w:rsidRPr="001E4102">
        <w:t>79 Fed.</w:t>
      </w:r>
      <w:proofErr w:type="gramEnd"/>
      <w:r w:rsidR="002A31D5" w:rsidRPr="001E4102">
        <w:t xml:space="preserve"> Reg. 36,445 (June 27, 2014).  The proposed revisions would “define spouse as the other person to whom an individual is married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w:t>
      </w:r>
      <w:proofErr w:type="gramStart"/>
      <w:r w:rsidR="002A31D5" w:rsidRPr="001E4102">
        <w:rPr>
          <w:i/>
        </w:rPr>
        <w:t>Id.</w:t>
      </w:r>
      <w:r w:rsidR="002A31D5" w:rsidRPr="001E4102">
        <w:t xml:space="preserve"> at 36,448.</w:t>
      </w:r>
      <w:proofErr w:type="gramEnd"/>
    </w:p>
    <w:p w14:paraId="0677C047" w14:textId="35D63AF7" w:rsidR="006154EC" w:rsidRPr="001E4102" w:rsidRDefault="006154EC" w:rsidP="009C6F31">
      <w:pPr>
        <w:spacing w:after="240"/>
        <w:jc w:val="both"/>
      </w:pPr>
      <w:r w:rsidRPr="001E4102">
        <w:tab/>
        <w:t xml:space="preserve">Under the FMLA, a son or daughter means a biological, adopted or foster child, a stepchild, a legal ward, or a child of a person standing in loco parentis, who is either under age 18, or who is age 18 or older but is incapable of self-care because of a mental or physical disability. </w:t>
      </w:r>
      <w:proofErr w:type="gramStart"/>
      <w:r w:rsidRPr="001E4102">
        <w:t>29 U.S.C. § 2611(12); 29 C.F.R. § 825.122(</w:t>
      </w:r>
      <w:r w:rsidR="00021735" w:rsidRPr="001E4102">
        <w:t>d</w:t>
      </w:r>
      <w:r w:rsidRPr="001E4102">
        <w:t>).</w:t>
      </w:r>
      <w:proofErr w:type="gramEnd"/>
      <w:r w:rsidRPr="001E4102">
        <w:t xml:space="preserve"> Persons with “in loco parentis” status under the FMLA include those who had day-to-day responsibility to care for and financially support the employee when the employee was a child. 29 C.F.R. § 825.122(</w:t>
      </w:r>
      <w:r w:rsidR="005C1C73" w:rsidRPr="001E4102">
        <w:t>d</w:t>
      </w:r>
      <w:proofErr w:type="gramStart"/>
      <w:r w:rsidRPr="001E4102">
        <w:t>)(</w:t>
      </w:r>
      <w:proofErr w:type="gramEnd"/>
      <w:r w:rsidRPr="001E4102">
        <w:t xml:space="preserve">3). “Incapable of self-care” means that the individual requires active assistance or supervision to provide daily </w:t>
      </w:r>
      <w:r w:rsidRPr="001E4102">
        <w:lastRenderedPageBreak/>
        <w:t>self-care in three or more of the activities of daily living or instrumental activities of daily living. 29 C.F.R. § 825.122(</w:t>
      </w:r>
      <w:r w:rsidR="005C1C73" w:rsidRPr="001E4102">
        <w:t>d</w:t>
      </w:r>
      <w:proofErr w:type="gramStart"/>
      <w:r w:rsidRPr="001E4102">
        <w:t>)(</w:t>
      </w:r>
      <w:proofErr w:type="gramEnd"/>
      <w:r w:rsidRPr="001E4102">
        <w:t>1). “Activities of daily living” include adaptive activities such as caring appropriately for one’s grooming and hygiene, bathing, dressing and eating. Id. “Instrumental activities of daily living”</w:t>
      </w:r>
      <w:r w:rsidR="00371FEC" w:rsidRPr="001E4102">
        <w:t xml:space="preserve"> </w:t>
      </w:r>
      <w:r w:rsidRPr="001E4102">
        <w:t>include cooking, cleaning, shopping, taking public transportation, paying bills, maintaining a residence, using telephones and directories, using a post office, etc. Id. “Physical or mental disability” means a physical or mental impairment that substantially limits one or more of the major life activities of an individual. 29 C.F.R. § 825.122(</w:t>
      </w:r>
      <w:r w:rsidR="005C1C73" w:rsidRPr="001E4102">
        <w:t>d</w:t>
      </w:r>
      <w:proofErr w:type="gramStart"/>
      <w:r w:rsidRPr="001E4102">
        <w:t>)(</w:t>
      </w:r>
      <w:proofErr w:type="gramEnd"/>
      <w:r w:rsidRPr="001E4102">
        <w:t>2). These terms are defined in the same manner as they are under the Americans with Disabilities Act. Id.</w:t>
      </w:r>
    </w:p>
    <w:p w14:paraId="3B180510" w14:textId="75BE613C" w:rsidR="006154EC" w:rsidRPr="001E4102" w:rsidRDefault="006154EC" w:rsidP="009C6F31">
      <w:pPr>
        <w:spacing w:after="240"/>
        <w:jc w:val="both"/>
      </w:pPr>
      <w:r w:rsidRPr="001E4102">
        <w:tab/>
        <w:t xml:space="preserve">“Parent” means a biological parent or an individual who stands or stood in loco parentis to an employee when the employee was a son or daughter. </w:t>
      </w:r>
      <w:proofErr w:type="gramStart"/>
      <w:r w:rsidRPr="001E4102">
        <w:t>29 U.S.C. § 2611(7).</w:t>
      </w:r>
      <w:proofErr w:type="gramEnd"/>
      <w:r w:rsidRPr="001E4102">
        <w:t xml:space="preserve"> The term “parent” does not include parents-in-law unless a parent-in-law meets the in loco parentis definition.  </w:t>
      </w:r>
      <w:proofErr w:type="gramStart"/>
      <w:r w:rsidRPr="001E4102">
        <w:t>29 C.F.R. § 825.122(b).</w:t>
      </w:r>
      <w:proofErr w:type="gramEnd"/>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77777777" w:rsidR="006154EC" w:rsidRPr="001E4102" w:rsidRDefault="006154EC" w:rsidP="009C6F31">
      <w:pPr>
        <w:spacing w:after="240"/>
        <w:jc w:val="both"/>
      </w:pPr>
      <w:r w:rsidRPr="001E4102">
        <w:tab/>
        <w:t xml:space="preserve">The FMLA permits an employee to take leave for the birth of the employee’s son or daughter or to care for the child after birth, for placement of a son or daughter with the employee for adoption or foster care, or to care for the child after placement. </w:t>
      </w:r>
      <w:proofErr w:type="gramStart"/>
      <w:r w:rsidRPr="001E4102">
        <w:t>29 U.S.C. § 2612(a); 29 C.F.R. § 825.100.</w:t>
      </w:r>
      <w:proofErr w:type="gramEnd"/>
      <w:r w:rsidRPr="001E4102">
        <w:t xml:space="preserve"> The right to take leave under the FMLA applies equally to male and female employees. A father as well as a mother can take family leave for the birth, placement for adoption, or foster care of a child. </w:t>
      </w:r>
      <w:proofErr w:type="gramStart"/>
      <w:r w:rsidRPr="001E4102">
        <w:t>29 C.F.R. § 825.112(b).</w:t>
      </w:r>
      <w:proofErr w:type="gramEnd"/>
      <w:r w:rsidRPr="001E4102">
        <w:t xml:space="preserve"> Circumstances may require that the FMLA leave begin before the actual date of the birth of a child or the actual placement for adoption of a child. For example, an expectant mother may need to be absent from work for prenatal care, or her condition may make her unable to work.  </w:t>
      </w:r>
      <w:proofErr w:type="gramStart"/>
      <w:r w:rsidRPr="001E4102">
        <w:t>29 C.F.R. § 825.120(a).</w:t>
      </w:r>
      <w:proofErr w:type="gramEnd"/>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77777777" w:rsidR="006154EC" w:rsidRPr="001E4102" w:rsidRDefault="006154EC" w:rsidP="009C6F31">
      <w:pPr>
        <w:spacing w:after="240"/>
        <w:jc w:val="both"/>
      </w:pPr>
      <w:r w:rsidRPr="001E4102">
        <w:tab/>
        <w:t xml:space="preserve">The concept of “serious health condition” was meant to be construed broadly, so that the FMLA’s provisions are interpreted to </w:t>
      </w:r>
      <w:proofErr w:type="gramStart"/>
      <w:r w:rsidRPr="001E4102">
        <w:t>effect</w:t>
      </w:r>
      <w:proofErr w:type="gramEnd"/>
      <w:r w:rsidRPr="001E4102">
        <w:t xml:space="preserve"> the Act’s remedial purpose. </w:t>
      </w:r>
      <w:proofErr w:type="spellStart"/>
      <w:proofErr w:type="gramStart"/>
      <w:r w:rsidRPr="001E4102">
        <w:rPr>
          <w:i/>
        </w:rPr>
        <w:t>Stekloff</w:t>
      </w:r>
      <w:proofErr w:type="spellEnd"/>
      <w:r w:rsidRPr="001E4102">
        <w:rPr>
          <w:i/>
        </w:rPr>
        <w:t xml:space="preserve"> v. St. John’s Mercy Health Systems</w:t>
      </w:r>
      <w:r w:rsidRPr="001E4102">
        <w:t>, 218 F.3d 858, 862 (8</w:t>
      </w:r>
      <w:r w:rsidRPr="001E4102">
        <w:rPr>
          <w:vertAlign w:val="superscript"/>
        </w:rPr>
        <w:t>th</w:t>
      </w:r>
      <w:r w:rsidRPr="001E4102">
        <w:t xml:space="preserve"> Cir. 2000).</w:t>
      </w:r>
      <w:proofErr w:type="gramEnd"/>
      <w:r w:rsidRPr="001E4102">
        <w:t xml:space="preserve">  For regulations defining the phrase “serious health condition,” see 29 C.F.R. § 825.113. </w:t>
      </w:r>
    </w:p>
    <w:p w14:paraId="423BF873" w14:textId="77777777" w:rsidR="006154EC" w:rsidRPr="001E4102" w:rsidRDefault="006154EC" w:rsidP="009C6F31">
      <w:pPr>
        <w:spacing w:after="240"/>
        <w:jc w:val="both"/>
      </w:pPr>
      <w:r w:rsidRPr="001E4102">
        <w:tab/>
        <w:t xml:space="preserve">The Third Circuit has held that conditions such as upset stomach or a minor ulcer could be “serious health conditions” if they meet the regulatory criteria.  </w:t>
      </w:r>
      <w:r w:rsidRPr="001E4102">
        <w:rPr>
          <w:i/>
        </w:rPr>
        <w:t xml:space="preserve">See generally </w:t>
      </w:r>
      <w:proofErr w:type="spellStart"/>
      <w:r w:rsidRPr="001E4102">
        <w:rPr>
          <w:i/>
        </w:rPr>
        <w:t>Victorelli</w:t>
      </w:r>
      <w:proofErr w:type="spellEnd"/>
      <w:r w:rsidRPr="001E4102">
        <w:rPr>
          <w:i/>
        </w:rPr>
        <w:t xml:space="preserve"> v. Shadyside Hospital</w:t>
      </w:r>
      <w:r w:rsidRPr="001E4102">
        <w:t xml:space="preserve">, 128 F.3d 184, 190 (3d Cir. 1997) (jury question as to whether peptic ulcer was a serious medical condition, noting that the FMLA is “intended to protect those who are occasionally incapacitated by an on-going medical problem”). </w:t>
      </w: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5C82B9FE" w:rsidR="006154EC" w:rsidRPr="001E4102" w:rsidRDefault="006154EC" w:rsidP="009C6F31">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id. </w:t>
      </w:r>
      <w:proofErr w:type="gramStart"/>
      <w:r w:rsidR="004F1FE7" w:rsidRPr="001E4102">
        <w:t>§ 2613(d) (providing for “[r]</w:t>
      </w:r>
      <w:proofErr w:type="spellStart"/>
      <w:r w:rsidR="004F1FE7" w:rsidRPr="001E4102">
        <w:t>esolution</w:t>
      </w:r>
      <w:proofErr w:type="spellEnd"/>
      <w:r w:rsidR="004F1FE7" w:rsidRPr="001E4102">
        <w:t xml:space="preserve"> of conflicting opinions”); </w:t>
      </w:r>
      <w:r w:rsidR="004F1FE7" w:rsidRPr="001E4102">
        <w:rPr>
          <w:i/>
        </w:rPr>
        <w:t>id</w:t>
      </w:r>
      <w:r w:rsidR="004F1FE7" w:rsidRPr="001E4102">
        <w:t>.</w:t>
      </w:r>
      <w:proofErr w:type="gramEnd"/>
      <w:r w:rsidR="004F1FE7" w:rsidRPr="001E4102">
        <w:t xml:space="preserve"> § 2613(e) (authorizing employer to “require ... subsequent </w:t>
      </w:r>
      <w:proofErr w:type="spellStart"/>
      <w:r w:rsidR="004F1FE7" w:rsidRPr="001E4102">
        <w:t>recertifications</w:t>
      </w:r>
      <w:proofErr w:type="spellEnd"/>
      <w:r w:rsidR="004F1FE7" w:rsidRPr="001E4102">
        <w:t xml:space="preserve"> on a reasonable basis”); </w:t>
      </w:r>
      <w:r w:rsidR="004F1FE7" w:rsidRPr="001E4102">
        <w:rPr>
          <w:i/>
        </w:rPr>
        <w:t>id</w:t>
      </w:r>
      <w:r w:rsidR="004F1FE7" w:rsidRPr="001E4102">
        <w:t xml:space="preserve">. § 2613(f) (addressing certifications relating to service in the Armed Forces).  As of fall 2014, the regulations fleshing out the certification mechanism can be found at 29 C.F.R. §§ 825.305 – 825.313.  For a discussion of the employer’s right to request a medical certification that an employee can return from leave to work without medical restrictions, see </w:t>
      </w:r>
      <w:proofErr w:type="spellStart"/>
      <w:r w:rsidR="004F1FE7" w:rsidRPr="001E4102">
        <w:rPr>
          <w:i/>
        </w:rPr>
        <w:t>Budhun</w:t>
      </w:r>
      <w:proofErr w:type="spellEnd"/>
      <w:r w:rsidR="004F1FE7" w:rsidRPr="001E4102">
        <w:rPr>
          <w:i/>
        </w:rPr>
        <w:t xml:space="preserve">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proofErr w:type="spellStart"/>
      <w:r w:rsidR="004F1FE7" w:rsidRPr="001E4102">
        <w:rPr>
          <w:i/>
        </w:rPr>
        <w:t>Budhun</w:t>
      </w:r>
      <w:proofErr w:type="spellEnd"/>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w:t>
      </w:r>
      <w:proofErr w:type="gramStart"/>
      <w:r w:rsidRPr="001E4102">
        <w:t>)(</w:t>
      </w:r>
      <w:proofErr w:type="gramEnd"/>
      <w:r w:rsidRPr="001E4102">
        <w:t>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proofErr w:type="gramStart"/>
      <w:r w:rsidRPr="001E4102">
        <w:rPr>
          <w:i/>
        </w:rPr>
        <w:t>Hosanna-Tabor Evangelical Lutheran Church &amp; Sch. v. EEOC</w:t>
      </w:r>
      <w:r w:rsidRPr="001E4102">
        <w:t>, 132 S. Ct. 694, 702, 709 n.4 (2012).</w:t>
      </w:r>
      <w:proofErr w:type="gramEnd"/>
      <w:r w:rsidRPr="001E4102">
        <w:t xml:space="preserve">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xml:space="preserve">. </w:t>
      </w:r>
      <w:proofErr w:type="gramStart"/>
      <w:r w:rsidRPr="001E4102">
        <w:t>at</w:t>
      </w:r>
      <w:proofErr w:type="gramEnd"/>
      <w:r w:rsidRPr="001E4102">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14:paraId="08DC1F30" w14:textId="77777777" w:rsidR="00456D9D" w:rsidRPr="001E4102" w:rsidRDefault="00456D9D" w:rsidP="009C6F31">
      <w:pPr>
        <w:spacing w:after="240"/>
        <w:jc w:val="both"/>
        <w:sectPr w:rsidR="00456D9D" w:rsidRPr="001E4102" w:rsidSect="0072581A">
          <w:headerReference w:type="default" r:id="rId12"/>
          <w:pgSz w:w="12240" w:h="15840"/>
          <w:pgMar w:top="1920" w:right="1440" w:bottom="1920" w:left="1440" w:header="900" w:footer="1440" w:gutter="0"/>
          <w:lnNumType w:countBy="1" w:distance="576" w:restart="newSection"/>
          <w:cols w:space="720"/>
          <w:docGrid w:linePitch="326"/>
        </w:sectPr>
      </w:pP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 xml:space="preserve">Elements of an FMLA Claim— Interference </w:t>
      </w:r>
      <w:proofErr w:type="gramStart"/>
      <w:r w:rsidRPr="001E4102">
        <w:rPr>
          <w:b/>
          <w:sz w:val="28"/>
        </w:rPr>
        <w:t>With</w:t>
      </w:r>
      <w:proofErr w:type="gramEnd"/>
      <w:r w:rsidRPr="001E4102">
        <w:rPr>
          <w:b/>
          <w:sz w:val="28"/>
        </w:rPr>
        <w:t xml:space="preserve">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lastRenderedPageBreak/>
        <w:tab/>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w:t>
      </w:r>
      <w:proofErr w:type="gramStart"/>
      <w:r w:rsidRPr="001E4102">
        <w:t>apprise</w:t>
      </w:r>
      <w:proofErr w:type="gramEnd"/>
      <w:r w:rsidRPr="001E4102">
        <w:t xml:space="preserv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 xml:space="preserve">1) </w:t>
      </w:r>
      <w:proofErr w:type="gramStart"/>
      <w:r w:rsidRPr="001E4102">
        <w:t>terminating</w:t>
      </w:r>
      <w:proofErr w:type="gramEnd"/>
      <w:r w:rsidRPr="001E4102">
        <w:t xml:space="preserve">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 xml:space="preserve">2) </w:t>
      </w:r>
      <w:proofErr w:type="gramStart"/>
      <w:r w:rsidRPr="001E4102">
        <w:t>refusing</w:t>
      </w:r>
      <w:proofErr w:type="gramEnd"/>
      <w:r w:rsidRPr="001E4102">
        <w:t xml:space="preserve"> to allow an employee to return to his or her job, or to an equivalent position, upon return from leave;</w:t>
      </w:r>
      <w:r w:rsidRPr="001E4102">
        <w:rPr>
          <w:rStyle w:val="FootnoteReference"/>
        </w:rPr>
        <w:footnoteReference w:id="9"/>
      </w:r>
    </w:p>
    <w:p w14:paraId="48AFDDEE" w14:textId="77777777" w:rsidR="006154EC" w:rsidRPr="001E4102" w:rsidRDefault="006154EC" w:rsidP="009C6F31">
      <w:pPr>
        <w:spacing w:after="240"/>
        <w:ind w:left="1440"/>
        <w:jc w:val="both"/>
      </w:pPr>
      <w:r w:rsidRPr="001E4102">
        <w:t xml:space="preserve">3) </w:t>
      </w:r>
      <w:proofErr w:type="gramStart"/>
      <w:r w:rsidRPr="001E4102">
        <w:t>ordering</w:t>
      </w:r>
      <w:proofErr w:type="gramEnd"/>
      <w:r w:rsidRPr="001E4102">
        <w:t xml:space="preserve"> an employee not to take leave or discouraging an employee from taking leave; and</w:t>
      </w:r>
    </w:p>
    <w:p w14:paraId="1DE1CD9A" w14:textId="77777777" w:rsidR="006154EC" w:rsidRPr="001E4102" w:rsidRDefault="006154EC" w:rsidP="009C6F31">
      <w:pPr>
        <w:spacing w:after="240"/>
        <w:ind w:left="1440"/>
        <w:jc w:val="both"/>
      </w:pPr>
      <w:r w:rsidRPr="001E4102">
        <w:t xml:space="preserve">4) </w:t>
      </w:r>
      <w:proofErr w:type="gramStart"/>
      <w:r w:rsidRPr="001E4102">
        <w:t>failing</w:t>
      </w:r>
      <w:proofErr w:type="gramEnd"/>
      <w:r w:rsidRPr="001E4102">
        <w:t xml:space="preserve">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 xml:space="preserve">[However,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w:t>
      </w:r>
      <w:proofErr w:type="gramStart"/>
      <w:r w:rsidRPr="001E4102">
        <w:t>does</w:t>
      </w:r>
      <w:proofErr w:type="gramEnd"/>
      <w:r w:rsidRPr="001E4102">
        <w:t xml:space="preserve">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E4102">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w:t>
      </w:r>
      <w:proofErr w:type="gramStart"/>
      <w:r w:rsidR="00127A0C" w:rsidRPr="001E4102">
        <w:t>)(</w:t>
      </w:r>
      <w:proofErr w:type="gramEnd"/>
      <w:r w:rsidR="00127A0C" w:rsidRPr="001E4102">
        <w:t>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 xml:space="preserve">Ross v. </w:t>
      </w:r>
      <w:proofErr w:type="spellStart"/>
      <w:r w:rsidR="00F970EA" w:rsidRPr="001E4102">
        <w:rPr>
          <w:i/>
        </w:rPr>
        <w:t>Gilhuly</w:t>
      </w:r>
      <w:proofErr w:type="spellEnd"/>
      <w:r w:rsidR="00F970EA" w:rsidRPr="001E4102">
        <w:t xml:space="preserve">, 755 F.3d 185, 191-92 (3d Cir. 2014) (quoting </w:t>
      </w:r>
      <w:r w:rsidR="00F970EA" w:rsidRPr="001E4102">
        <w:rPr>
          <w:i/>
        </w:rPr>
        <w:t xml:space="preserve">Johnson v. </w:t>
      </w:r>
      <w:proofErr w:type="spellStart"/>
      <w:r w:rsidR="00F970EA" w:rsidRPr="001E4102">
        <w:rPr>
          <w:i/>
        </w:rPr>
        <w:t>Cmty</w:t>
      </w:r>
      <w:proofErr w:type="spellEnd"/>
      <w:r w:rsidR="00F970EA" w:rsidRPr="001E4102">
        <w:rPr>
          <w:i/>
        </w:rPr>
        <w:t xml:space="preserve">. </w:t>
      </w:r>
      <w:proofErr w:type="gramStart"/>
      <w:r w:rsidR="00F970EA" w:rsidRPr="001E4102">
        <w:rPr>
          <w:i/>
        </w:rPr>
        <w:t xml:space="preserve">Coll. of Allegheny </w:t>
      </w:r>
      <w:proofErr w:type="spellStart"/>
      <w:r w:rsidR="00F970EA" w:rsidRPr="001E4102">
        <w:rPr>
          <w:i/>
        </w:rPr>
        <w:t>Cnty</w:t>
      </w:r>
      <w:proofErr w:type="spellEnd"/>
      <w:r w:rsidR="00F970EA" w:rsidRPr="001E4102">
        <w:rPr>
          <w:i/>
        </w:rPr>
        <w:t>.</w:t>
      </w:r>
      <w:r w:rsidR="00F970EA" w:rsidRPr="001E4102">
        <w:t>, 566 F. Supp. 2d 405, 446 (W.D. Pa. 2008)).</w:t>
      </w:r>
      <w:proofErr w:type="gramEnd"/>
      <w:r w:rsidR="00F970EA" w:rsidRPr="001E4102">
        <w:rPr>
          <w:rStyle w:val="FootnoteReference"/>
        </w:rPr>
        <w:footnoteReference w:id="10"/>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38710DB4"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Supp.2d 478, 483 (D.N.J. 2002), provides helpful background on the gravamen of a claim brought under § 2615(a</w:t>
      </w:r>
      <w:proofErr w:type="gramStart"/>
      <w:r w:rsidR="006154EC" w:rsidRPr="001E4102">
        <w:t>)(</w:t>
      </w:r>
      <w:proofErr w:type="gramEnd"/>
      <w:r w:rsidR="006154EC" w:rsidRPr="001E4102">
        <w:t>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w:t>
      </w:r>
      <w:r w:rsidRPr="001E4102">
        <w:lastRenderedPageBreak/>
        <w:t>rights for eligible employees.  Eligible employees are entitled to up to twelve weeks of unpaid leave per year because of a serious health condition, a need to care for a close family 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w:t>
      </w:r>
      <w:proofErr w:type="gramStart"/>
      <w:r w:rsidRPr="001E4102">
        <w:t>)(</w:t>
      </w:r>
      <w:proofErr w:type="gramEnd"/>
      <w:r w:rsidRPr="001E4102">
        <w:t>1). . .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w:t>
      </w:r>
      <w:proofErr w:type="gramStart"/>
      <w:r w:rsidRPr="001E4102">
        <w:t>)(</w:t>
      </w:r>
      <w:proofErr w:type="gramEnd"/>
      <w:r w:rsidRPr="001E4102">
        <w:t>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w:t>
      </w:r>
      <w:proofErr w:type="spellStart"/>
      <w:r w:rsidRPr="001E4102">
        <w:rPr>
          <w:i/>
        </w:rPr>
        <w:t>Callison</w:t>
      </w:r>
      <w:proofErr w:type="spellEnd"/>
      <w:r w:rsidRPr="001E4102">
        <w:rPr>
          <w:i/>
        </w:rPr>
        <w:t xml:space="preserve">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77777777"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w:t>
      </w:r>
      <w:proofErr w:type="spellStart"/>
      <w:r w:rsidRPr="001E4102">
        <w:rPr>
          <w:i/>
        </w:rPr>
        <w:t>Shenango</w:t>
      </w:r>
      <w:proofErr w:type="spellEnd"/>
      <w:r w:rsidRPr="001E4102">
        <w:rPr>
          <w:i/>
        </w:rPr>
        <w:t xml:space="preserve">, Inc., </w:t>
      </w:r>
      <w:r w:rsidRPr="001E4102">
        <w:t>986 F. Supp. 309, 317 (</w:t>
      </w:r>
      <w:proofErr w:type="spellStart"/>
      <w:r w:rsidRPr="001E4102">
        <w:t>W.D.Pa</w:t>
      </w:r>
      <w:proofErr w:type="spellEnd"/>
      <w:r w:rsidRPr="001E4102">
        <w:t xml:space="preserve">. 1997) (finding that “a claim under §  2615(a)(1) is governed by a strict liability standard”); </w:t>
      </w:r>
      <w:proofErr w:type="spellStart"/>
      <w:r w:rsidRPr="001E4102">
        <w:rPr>
          <w:i/>
        </w:rPr>
        <w:t>Moorer</w:t>
      </w:r>
      <w:proofErr w:type="spellEnd"/>
      <w:r w:rsidRPr="001E4102">
        <w:rPr>
          <w:i/>
        </w:rPr>
        <w:t xml:space="preserve"> v. Baptist Memorial Health Care</w:t>
      </w:r>
      <w:r w:rsidRPr="001E4102">
        <w:t>, 398 F.3d 469, 487 (6</w:t>
      </w:r>
      <w:r w:rsidRPr="001E4102">
        <w:rPr>
          <w:vertAlign w:val="superscript"/>
        </w:rPr>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Pr="001E4102">
        <w:rPr>
          <w:vertAlign w:val="superscript"/>
        </w:rPr>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lastRenderedPageBreak/>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w:t>
      </w:r>
      <w:proofErr w:type="gramStart"/>
      <w:r w:rsidRPr="001E4102">
        <w:t>)(</w:t>
      </w:r>
      <w:proofErr w:type="gramEnd"/>
      <w:r w:rsidRPr="001E4102">
        <w:t>1).  The court continued its analysis as follows:</w:t>
      </w:r>
    </w:p>
    <w:p w14:paraId="655ECC5D" w14:textId="2D61163D" w:rsidR="006154EC" w:rsidRPr="001E4102" w:rsidRDefault="006154EC" w:rsidP="009C6F31">
      <w:pPr>
        <w:spacing w:after="240"/>
        <w:ind w:left="720"/>
        <w:jc w:val="both"/>
      </w:pPr>
      <w:r w:rsidRPr="001E4102">
        <w:t xml:space="preserve">The Third Circuit has not considered whether this regulation places the burden on the employer. The Tenth Circuit has held that it does and functions like an affirmative defense.  </w:t>
      </w:r>
      <w:proofErr w:type="gramStart"/>
      <w:r w:rsidRPr="001E4102">
        <w:rPr>
          <w:i/>
        </w:rPr>
        <w:t xml:space="preserve">Smith v. </w:t>
      </w:r>
      <w:proofErr w:type="spellStart"/>
      <w:r w:rsidRPr="001E4102">
        <w:rPr>
          <w:i/>
        </w:rPr>
        <w:t>Diffee</w:t>
      </w:r>
      <w:proofErr w:type="spellEnd"/>
      <w:r w:rsidRPr="001E4102">
        <w:rPr>
          <w:i/>
        </w:rPr>
        <w:t xml:space="preserve"> Ford-Lincoln-Mercury</w:t>
      </w:r>
      <w:r w:rsidRPr="001E4102">
        <w:t>, 298 F.3d 955, 963 (10th Cir. 2002).</w:t>
      </w:r>
      <w:proofErr w:type="gramEnd"/>
      <w:r w:rsidRPr="001E4102">
        <w:t xml:space="preserve">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proofErr w:type="gramStart"/>
      <w:r w:rsidRPr="001E4102">
        <w:t>209 F.3d 1008, 1018</w:t>
      </w:r>
      <w:proofErr w:type="gramEnd"/>
      <w:r w:rsidRPr="001E4102">
        <w:t xml:space="preserve">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4722175F" w:rsidR="006154EC" w:rsidRPr="001E4102" w:rsidRDefault="006154EC" w:rsidP="009C6F31">
      <w:pPr>
        <w:spacing w:after="240"/>
        <w:jc w:val="both"/>
      </w:pPr>
      <w:proofErr w:type="gramStart"/>
      <w:r w:rsidRPr="001E4102">
        <w:t>234 F. Supp.2d at 487 (footnotes and some citations omitted).</w:t>
      </w:r>
      <w:proofErr w:type="gramEnd"/>
      <w:r w:rsidRPr="001E4102">
        <w:t xml:space="preserve">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w:t>
      </w:r>
      <w:proofErr w:type="spellStart"/>
      <w:r w:rsidRPr="001E4102">
        <w:rPr>
          <w:i/>
        </w:rPr>
        <w:t>Throneberry</w:t>
      </w:r>
      <w:proofErr w:type="spellEnd"/>
      <w:r w:rsidRPr="001E4102">
        <w:rPr>
          <w:i/>
        </w:rPr>
        <w:t xml:space="preserve"> v. </w:t>
      </w:r>
      <w:proofErr w:type="spellStart"/>
      <w:r w:rsidRPr="001E4102">
        <w:rPr>
          <w:i/>
        </w:rPr>
        <w:t>McGehee</w:t>
      </w:r>
      <w:proofErr w:type="spellEnd"/>
      <w:r w:rsidRPr="001E4102">
        <w:rPr>
          <w:i/>
        </w:rPr>
        <w:t xml:space="preserve"> Desha County Hosp., </w:t>
      </w:r>
      <w:r w:rsidRPr="001E4102">
        <w:t xml:space="preserve">403 </w:t>
      </w:r>
      <w:r w:rsidRPr="001E4102">
        <w:lastRenderedPageBreak/>
        <w:t>F.3d 972 (8</w:t>
      </w:r>
      <w:r w:rsidRPr="001E4102">
        <w:rPr>
          <w:vertAlign w:val="superscript"/>
        </w:rPr>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7D56E4D6" w:rsidR="006154EC" w:rsidRPr="001E4102" w:rsidRDefault="006154EC" w:rsidP="009C6F31">
      <w:pPr>
        <w:spacing w:after="240"/>
        <w:jc w:val="both"/>
      </w:pPr>
      <w:r w:rsidRPr="001E4102">
        <w:tab/>
        <w:t>“[F]</w:t>
      </w:r>
      <w:proofErr w:type="spellStart"/>
      <w:r w:rsidRPr="001E4102">
        <w:t>iring</w:t>
      </w:r>
      <w:proofErr w:type="spellEnd"/>
      <w:r w:rsidRPr="001E4102">
        <w:t xml:space="preserve">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proofErr w:type="spellStart"/>
      <w:r w:rsidR="00A55ED6" w:rsidRPr="001E4102">
        <w:rPr>
          <w:i/>
        </w:rPr>
        <w:t>Budhun</w:t>
      </w:r>
      <w:proofErr w:type="spellEnd"/>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w:t>
      </w:r>
      <w:proofErr w:type="spellStart"/>
      <w:r w:rsidR="00FA6EB9" w:rsidRPr="001E4102">
        <w:rPr>
          <w:i/>
        </w:rPr>
        <w:t>Gilhuly</w:t>
      </w:r>
      <w:proofErr w:type="spellEnd"/>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p>
    <w:p w14:paraId="159FF047" w14:textId="77777777" w:rsidR="006154EC" w:rsidRPr="001E4102" w:rsidRDefault="006154EC" w:rsidP="009C6F31">
      <w:pPr>
        <w:spacing w:after="240"/>
        <w:jc w:val="both"/>
      </w:pPr>
      <w:r w:rsidRPr="001E4102">
        <w:tab/>
        <w:t xml:space="preserve">Courts have held that conduct discouraging employees from taking FMLA leave constitutes interference, even if the employee ends up taking the leave. </w:t>
      </w:r>
      <w:proofErr w:type="gramStart"/>
      <w:r w:rsidRPr="001E4102">
        <w:t>For example, in</w:t>
      </w:r>
      <w:r w:rsidRPr="001E4102">
        <w:rPr>
          <w:i/>
        </w:rPr>
        <w:t xml:space="preserve"> </w:t>
      </w:r>
      <w:proofErr w:type="spellStart"/>
      <w:r w:rsidRPr="001E4102">
        <w:rPr>
          <w:i/>
        </w:rPr>
        <w:t>Shtab</w:t>
      </w:r>
      <w:proofErr w:type="spellEnd"/>
      <w:r w:rsidRPr="001E4102">
        <w:rPr>
          <w:i/>
        </w:rPr>
        <w:t xml:space="preserve"> v.</w:t>
      </w:r>
      <w:proofErr w:type="gramEnd"/>
      <w:r w:rsidRPr="001E4102">
        <w:rPr>
          <w:i/>
        </w:rPr>
        <w:t xml:space="preserve"> The </w:t>
      </w:r>
      <w:proofErr w:type="spellStart"/>
      <w:r w:rsidRPr="001E4102">
        <w:rPr>
          <w:i/>
        </w:rPr>
        <w:t>Greate</w:t>
      </w:r>
      <w:proofErr w:type="spellEnd"/>
      <w:r w:rsidRPr="001E4102">
        <w:rPr>
          <w:i/>
        </w:rPr>
        <w:t xml:space="preserve"> Bay Hotel and Casino, </w:t>
      </w:r>
      <w:r w:rsidRPr="001E4102">
        <w:t xml:space="preserve">173 F. Supp.2d 255 (D.N.J. 2001), the court found that an employee could establish an interference claim by proving that when he brought up the subject of FMLA leave, the employer tried to persuade him to delay the leave because it was an especially busy period. The plaintiff did not delay the leave, and the defendant argued that there was no ground of recovery for interference because the plaintiff suffered no adverse employment action. But the court disagreed, relying on 29 C.F.R. §  825.220 (b), which  defines "interference" as including "not only refusing to authorize FMLA leave, but discouraging an employee from using such leave.” </w:t>
      </w:r>
      <w:r w:rsidRPr="001E4102">
        <w:rPr>
          <w:i/>
        </w:rPr>
        <w:t xml:space="preserve">See also Williams v. </w:t>
      </w:r>
      <w:proofErr w:type="spellStart"/>
      <w:r w:rsidRPr="001E4102">
        <w:rPr>
          <w:i/>
        </w:rPr>
        <w:t>Shenango</w:t>
      </w:r>
      <w:proofErr w:type="spellEnd"/>
      <w:r w:rsidRPr="001E4102">
        <w:rPr>
          <w:i/>
        </w:rPr>
        <w:t xml:space="preserve">, Inc., </w:t>
      </w:r>
      <w:r w:rsidRPr="001E4102">
        <w:t>986 F. Supp. 309, 320-21 (W.D. Pa. 1997) (employer's motion for summary judgment denied where "reasonable persons could conclude that the initial denial of leave and the suggestion of rescheduling leave may, in fact, constitute 'interference with' FMLA rights").</w:t>
      </w:r>
    </w:p>
    <w:p w14:paraId="33D18C5D" w14:textId="4AFE3354" w:rsidR="006154EC" w:rsidRPr="001E4102" w:rsidRDefault="006154EC" w:rsidP="009C6F31">
      <w:pPr>
        <w:spacing w:after="240"/>
        <w:jc w:val="both"/>
      </w:pPr>
      <w:r w:rsidRPr="001E4102">
        <w:tab/>
        <w:t xml:space="preserve">The FMLA does not, however, prohibit reasonable attempts by the employer to protect against abuses in taking leave. Thus, in </w:t>
      </w:r>
      <w:proofErr w:type="spellStart"/>
      <w:r w:rsidRPr="001E4102">
        <w:rPr>
          <w:i/>
        </w:rPr>
        <w:t>Callison</w:t>
      </w:r>
      <w:proofErr w:type="spellEnd"/>
      <w:r w:rsidRPr="001E4102">
        <w:rPr>
          <w:i/>
        </w:rPr>
        <w:t xml:space="preserve"> v. City of Philadelphia, </w:t>
      </w:r>
      <w:r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disagreed, stating that the FMLA does not prevent employers “from ensuring that employees who are on leave from work do not abuse their leave.”  Bracketed material in the instruction is consistent with the </w:t>
      </w:r>
      <w:proofErr w:type="spellStart"/>
      <w:r w:rsidRPr="001E4102">
        <w:rPr>
          <w:i/>
        </w:rPr>
        <w:t>Callison</w:t>
      </w:r>
      <w:proofErr w:type="spellEnd"/>
      <w:r w:rsidRPr="001E4102">
        <w:rPr>
          <w:i/>
        </w:rPr>
        <w:t xml:space="preserve"> </w:t>
      </w:r>
      <w:r w:rsidRPr="001E4102">
        <w:t>decision.</w:t>
      </w:r>
    </w:p>
    <w:p w14:paraId="3FB162AA" w14:textId="319C04AF" w:rsidR="00CA3155" w:rsidRPr="001E4102" w:rsidRDefault="00CA3155" w:rsidP="009C6F31">
      <w:pPr>
        <w:spacing w:after="240"/>
        <w:ind w:firstLine="720"/>
        <w:jc w:val="both"/>
      </w:pPr>
      <w:r w:rsidRPr="001E4102">
        <w:lastRenderedPageBreak/>
        <w:t xml:space="preserve">The Court of Appeals addressed interference with the employee’s right to return to work in </w:t>
      </w:r>
      <w:proofErr w:type="spellStart"/>
      <w:r w:rsidRPr="001E4102">
        <w:rPr>
          <w:i/>
        </w:rPr>
        <w:t>Budhun</w:t>
      </w:r>
      <w:proofErr w:type="spellEnd"/>
      <w:r w:rsidRPr="001E4102">
        <w:rPr>
          <w:i/>
        </w:rPr>
        <w:t xml:space="preserve"> v. Reading Hosp. &amp; Med. Ctr.</w:t>
      </w:r>
      <w:r w:rsidRPr="001E4102">
        <w:t xml:space="preserve">, </w:t>
      </w:r>
      <w:r w:rsidR="00DF5020" w:rsidRPr="001E4102">
        <w:t xml:space="preserve">765 F.3d 245 </w:t>
      </w:r>
      <w:r w:rsidRPr="001E4102">
        <w:t xml:space="preserve">(3d Cir. 2014).  Viewing the facts in the light most favorable to </w:t>
      </w:r>
      <w:proofErr w:type="spellStart"/>
      <w:r w:rsidRPr="001E4102">
        <w:t>Budhun</w:t>
      </w:r>
      <w:proofErr w:type="spellEnd"/>
      <w:r w:rsidRPr="001E4102">
        <w:t xml:space="preserve">, the Court of Appeals held that </w:t>
      </w:r>
      <w:proofErr w:type="spellStart"/>
      <w:r w:rsidRPr="001E4102">
        <w:t>Budhun</w:t>
      </w:r>
      <w:proofErr w:type="spellEnd"/>
      <w:r w:rsidRPr="001E4102">
        <w:t xml:space="preserve"> invoked her right to return by stating in an August 12 email that she would return on August 16 and by attaching a doctor’s note stating that she had no restrictions.  </w:t>
      </w:r>
      <w:r w:rsidRPr="001E4102">
        <w:rPr>
          <w:i/>
        </w:rPr>
        <w:t>See id.</w:t>
      </w:r>
      <w:r w:rsidR="00E8599D" w:rsidRPr="001E4102">
        <w:t xml:space="preserve"> </w:t>
      </w:r>
      <w:proofErr w:type="gramStart"/>
      <w:r w:rsidR="00E8599D" w:rsidRPr="001E4102">
        <w:t>at</w:t>
      </w:r>
      <w:proofErr w:type="gramEnd"/>
      <w:r w:rsidR="00E8599D" w:rsidRPr="001E4102">
        <w:t xml:space="preserve"> 249</w:t>
      </w:r>
      <w:r w:rsidRPr="001E4102">
        <w:t xml:space="preserve">, </w:t>
      </w:r>
      <w:r w:rsidR="00E8599D" w:rsidRPr="001E4102">
        <w:t>252.</w:t>
      </w:r>
      <w:r w:rsidRPr="001E4102">
        <w:t xml:space="preserve">  The fact that the doctor’s note spoke only in general terms (and did not address </w:t>
      </w:r>
      <w:proofErr w:type="spellStart"/>
      <w:r w:rsidRPr="001E4102">
        <w:t>Budhun’s</w:t>
      </w:r>
      <w:proofErr w:type="spellEnd"/>
      <w:r w:rsidRPr="001E4102">
        <w:t xml:space="preserve"> ability to perform specific tasks) did not make the certification inadequate, because </w:t>
      </w:r>
      <w:proofErr w:type="spellStart"/>
      <w:r w:rsidRPr="001E4102">
        <w:t>Budhun’s</w:t>
      </w:r>
      <w:proofErr w:type="spellEnd"/>
      <w:r w:rsidRPr="001E4102">
        <w:t xml:space="preserve"> employer had not included (in its individualized FMLA notice to </w:t>
      </w:r>
      <w:proofErr w:type="spellStart"/>
      <w:r w:rsidRPr="001E4102">
        <w:t>Budhun</w:t>
      </w:r>
      <w:proofErr w:type="spellEnd"/>
      <w:r w:rsidRPr="001E4102">
        <w:t xml:space="preserve">) “a list of essential functions” for </w:t>
      </w:r>
      <w:proofErr w:type="spellStart"/>
      <w:r w:rsidRPr="001E4102">
        <w:t>Budhun’s</w:t>
      </w:r>
      <w:proofErr w:type="spellEnd"/>
      <w:r w:rsidRPr="001E4102">
        <w:t xml:space="preserve"> job.  </w:t>
      </w:r>
      <w:proofErr w:type="gramStart"/>
      <w:r w:rsidRPr="001E4102">
        <w:rPr>
          <w:i/>
        </w:rPr>
        <w:t>Id</w:t>
      </w:r>
      <w:r w:rsidRPr="001E4102">
        <w:t xml:space="preserve">. at </w:t>
      </w:r>
      <w:r w:rsidR="00841CB5" w:rsidRPr="001E4102">
        <w:t>253</w:t>
      </w:r>
      <w:r w:rsidRPr="001E4102">
        <w:t>.</w:t>
      </w:r>
      <w:proofErr w:type="gramEnd"/>
      <w:r w:rsidRPr="001E4102">
        <w:t xml:space="preserve">  Moreover, a subsequent equivocation by the doctor (stating that </w:t>
      </w:r>
      <w:proofErr w:type="spellStart"/>
      <w:r w:rsidRPr="001E4102">
        <w:t>Budhun</w:t>
      </w:r>
      <w:proofErr w:type="spellEnd"/>
      <w:r w:rsidRPr="001E4102">
        <w:t xml:space="preserve"> should instead be off work until September 8) did not alter the analysis because that statement post-dated the employer’s directive to </w:t>
      </w:r>
      <w:proofErr w:type="spellStart"/>
      <w:r w:rsidRPr="001E4102">
        <w:t>Budhun</w:t>
      </w:r>
      <w:proofErr w:type="spellEnd"/>
      <w:r w:rsidRPr="001E4102">
        <w:t xml:space="preserve"> “that she could not return to work until she had full use of all ten fingers.”  </w:t>
      </w:r>
      <w:r w:rsidRPr="001E4102">
        <w:rPr>
          <w:i/>
        </w:rPr>
        <w:t>Id.</w:t>
      </w:r>
      <w:r w:rsidRPr="001E4102">
        <w:t xml:space="preserve">  (The </w:t>
      </w:r>
      <w:proofErr w:type="spellStart"/>
      <w:r w:rsidRPr="001E4102">
        <w:rPr>
          <w:i/>
        </w:rPr>
        <w:t>Budhun</w:t>
      </w:r>
      <w:proofErr w:type="spellEnd"/>
      <w:r w:rsidRPr="001E4102">
        <w:t xml:space="preserve"> court was applying </w:t>
      </w:r>
      <w:r w:rsidR="006154EC" w:rsidRPr="001E4102">
        <w:t>29 C.F.R. §</w:t>
      </w:r>
      <w:r w:rsidRPr="001E4102">
        <w:t xml:space="preserve"> 825.312 as it stood in 2010, </w:t>
      </w:r>
      <w:r w:rsidRPr="001E4102">
        <w:rPr>
          <w:i/>
        </w:rPr>
        <w:t xml:space="preserve">see </w:t>
      </w:r>
      <w:proofErr w:type="spellStart"/>
      <w:r w:rsidRPr="001E4102">
        <w:rPr>
          <w:i/>
        </w:rPr>
        <w:t>Budhun</w:t>
      </w:r>
      <w:proofErr w:type="spellEnd"/>
      <w:r w:rsidRPr="001E4102">
        <w:t xml:space="preserve">, </w:t>
      </w:r>
      <w:r w:rsidR="00841CB5" w:rsidRPr="001E4102">
        <w:t>765 F.3d at 251</w:t>
      </w:r>
      <w:r w:rsidRPr="001E4102">
        <w:t xml:space="preserve"> n.1; the version in effect as of September 2014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proofErr w:type="spellStart"/>
      <w:r w:rsidRPr="001E4102">
        <w:rPr>
          <w:i/>
        </w:rPr>
        <w:t>Sommer</w:t>
      </w:r>
      <w:proofErr w:type="spellEnd"/>
      <w:r w:rsidRPr="001E4102">
        <w:rPr>
          <w:i/>
        </w:rPr>
        <w:t xml:space="preserve"> v. Vanguard Group, </w:t>
      </w:r>
      <w:proofErr w:type="gramStart"/>
      <w:r w:rsidRPr="001E4102">
        <w:t>461  F.3d</w:t>
      </w:r>
      <w:proofErr w:type="gramEnd"/>
      <w:r w:rsidRPr="001E4102">
        <w:t xml:space="preserve">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proofErr w:type="spellStart"/>
      <w:r w:rsidRPr="001E4102">
        <w:rPr>
          <w:i/>
        </w:rPr>
        <w:t>Sommer</w:t>
      </w:r>
      <w:proofErr w:type="spellEnd"/>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proofErr w:type="spellStart"/>
      <w:r w:rsidRPr="001E4102">
        <w:rPr>
          <w:i/>
        </w:rPr>
        <w:t>Conoshenti</w:t>
      </w:r>
      <w:proofErr w:type="spellEnd"/>
      <w:r w:rsidRPr="001E4102">
        <w:rPr>
          <w:i/>
        </w:rPr>
        <w:t xml:space="preserve"> v. Public Serv. Elec. &amp; Gas Co.</w:t>
      </w:r>
      <w:r w:rsidRPr="001E4102">
        <w:t xml:space="preserve">, 364 F.3d 135, 142 (3d Cir. 2004) (“the regulations require employers to provide </w:t>
      </w:r>
      <w:r w:rsidRPr="001E4102">
        <w:lastRenderedPageBreak/>
        <w:t>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proofErr w:type="spellStart"/>
      <w:proofErr w:type="gramStart"/>
      <w:r w:rsidRPr="001E4102">
        <w:rPr>
          <w:i/>
        </w:rPr>
        <w:t>Lupyan</w:t>
      </w:r>
      <w:proofErr w:type="spellEnd"/>
      <w:r w:rsidRPr="001E4102">
        <w:rPr>
          <w:i/>
        </w:rPr>
        <w:t xml:space="preserve"> v. Corinthian Colls.</w:t>
      </w:r>
      <w:proofErr w:type="gramEnd"/>
      <w:r w:rsidRPr="001E4102">
        <w:rPr>
          <w:i/>
        </w:rPr>
        <w:t xml:space="preserve"> </w:t>
      </w:r>
      <w:proofErr w:type="gramStart"/>
      <w:r w:rsidRPr="001E4102">
        <w:rPr>
          <w:i/>
        </w:rPr>
        <w:t>Inc.</w:t>
      </w:r>
      <w:r w:rsidRPr="001E4102">
        <w:t xml:space="preserve">, </w:t>
      </w:r>
      <w:r w:rsidR="006A6B32" w:rsidRPr="001E4102">
        <w:t>761 F.3d 314</w:t>
      </w:r>
      <w:r w:rsidRPr="001E4102">
        <w:t xml:space="preserve">, </w:t>
      </w:r>
      <w:r w:rsidR="0063585B" w:rsidRPr="001E4102">
        <w:t>318</w:t>
      </w:r>
      <w:r w:rsidRPr="001E4102">
        <w:t xml:space="preserve"> (3d Cir. 2014).</w:t>
      </w:r>
      <w:proofErr w:type="gramEnd"/>
    </w:p>
    <w:p w14:paraId="3FCA6DE7" w14:textId="69A3B749"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1"/>
      </w:r>
      <w:r w:rsidRPr="001E4102">
        <w:t xml:space="preserve">  As of fall 2014,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proofErr w:type="gramStart"/>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proofErr w:type="gramEnd"/>
      <w:r w:rsidR="0085022D" w:rsidRPr="001E4102">
        <w:t xml:space="preserve">  The Court</w:t>
      </w:r>
      <w:r w:rsidR="006154EC" w:rsidRPr="001E4102">
        <w:t xml:space="preserve"> of </w:t>
      </w:r>
      <w:r w:rsidR="0085022D" w:rsidRPr="001E4102">
        <w:t>Appeals</w:t>
      </w:r>
      <w:r w:rsidR="006154EC" w:rsidRPr="001E4102">
        <w:t xml:space="preserve"> emphasized in </w:t>
      </w:r>
      <w:proofErr w:type="spellStart"/>
      <w:r w:rsidR="006154EC" w:rsidRPr="001E4102">
        <w:rPr>
          <w:i/>
        </w:rPr>
        <w:t>Sarnowski</w:t>
      </w:r>
      <w:proofErr w:type="spellEnd"/>
      <w:r w:rsidR="006154EC" w:rsidRPr="001E4102">
        <w:rPr>
          <w:i/>
        </w:rPr>
        <w:t xml:space="preserve">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proofErr w:type="spellStart"/>
      <w:r w:rsidR="006154EC" w:rsidRPr="001E4102">
        <w:rPr>
          <w:i/>
        </w:rPr>
        <w:t>Sarnowski</w:t>
      </w:r>
      <w:proofErr w:type="spellEnd"/>
      <w:r w:rsidR="006154EC" w:rsidRPr="001E4102">
        <w:t xml:space="preserve"> court concluded that the critical question for the employee’s attempt to notify is “whether the information imparted to the employer is sufficient to reasonably </w:t>
      </w:r>
      <w:proofErr w:type="gramStart"/>
      <w:r w:rsidR="006154EC" w:rsidRPr="001E4102">
        <w:t>apprise</w:t>
      </w:r>
      <w:proofErr w:type="gramEnd"/>
      <w:r w:rsidR="006154EC" w:rsidRPr="001E4102">
        <w:t xml:space="preserv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t>
      </w:r>
      <w:proofErr w:type="gramStart"/>
      <w:r w:rsidRPr="001E4102">
        <w:rPr>
          <w:i/>
        </w:rPr>
        <w:t>With</w:t>
      </w:r>
      <w:proofErr w:type="gramEnd"/>
      <w:r w:rsidRPr="001E4102">
        <w:rPr>
          <w:i/>
        </w:rPr>
        <w:t xml:space="preserve">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lastRenderedPageBreak/>
        <w:t xml:space="preserve">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w:t>
      </w:r>
      <w:proofErr w:type="spellStart"/>
      <w:r w:rsidRPr="001E4102">
        <w:t>backpay</w:t>
      </w:r>
      <w:proofErr w:type="spellEnd"/>
      <w:r w:rsidRPr="001E4102">
        <w:t>,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proofErr w:type="spellStart"/>
      <w:proofErr w:type="gramStart"/>
      <w:r w:rsidRPr="001E4102">
        <w:rPr>
          <w:i/>
        </w:rPr>
        <w:t>Conoshenti</w:t>
      </w:r>
      <w:proofErr w:type="spellEnd"/>
      <w:r w:rsidRPr="001E4102">
        <w:rPr>
          <w:i/>
        </w:rPr>
        <w:t xml:space="preserve"> v. Public Service Electric &amp; Gas Co.</w:t>
      </w:r>
      <w:r w:rsidRPr="001E4102">
        <w:t>, 364 F.3d 135, 143 (3d Cir. 2004).</w:t>
      </w:r>
      <w:proofErr w:type="gramEnd"/>
      <w:r w:rsidRPr="001E4102">
        <w:t xml:space="preserve">  The </w:t>
      </w:r>
      <w:proofErr w:type="spellStart"/>
      <w:r w:rsidRPr="001E4102">
        <w:rPr>
          <w:i/>
        </w:rPr>
        <w:t>Conoshenti</w:t>
      </w:r>
      <w:proofErr w:type="spellEnd"/>
      <w:r w:rsidRPr="001E4102">
        <w:rPr>
          <w:i/>
        </w:rPr>
        <w:t xml:space="preserve">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w:t>
      </w:r>
      <w:proofErr w:type="gramStart"/>
      <w:r w:rsidRPr="001E4102">
        <w:t>§  825.301</w:t>
      </w:r>
      <w:proofErr w:type="gramEnd"/>
      <w:r w:rsidRPr="001E4102">
        <w:t xml:space="preserve">(b)(1), (c)). The plaintiff in </w:t>
      </w:r>
      <w:proofErr w:type="spellStart"/>
      <w:r w:rsidRPr="001E4102">
        <w:rPr>
          <w:i/>
        </w:rPr>
        <w:t>Conoshenti</w:t>
      </w:r>
      <w:proofErr w:type="spellEnd"/>
      <w:r w:rsidRPr="001E4102">
        <w:rPr>
          <w:i/>
        </w:rPr>
        <w:t xml:space="preserve">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 xml:space="preserve">See also </w:t>
      </w:r>
      <w:proofErr w:type="spellStart"/>
      <w:r w:rsidR="006373E2" w:rsidRPr="001E4102">
        <w:rPr>
          <w:i/>
        </w:rPr>
        <w:t>Lupyan</w:t>
      </w:r>
      <w:proofErr w:type="spellEnd"/>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0C011327" w14:textId="77777777" w:rsidR="00AB03C3" w:rsidRPr="001E4102"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is to commence, the employee will be deemed eligible” – was invalid.  </w:t>
      </w:r>
      <w:r w:rsidRPr="001E4102">
        <w:rPr>
          <w:i/>
        </w:rPr>
        <w:t>See Erdman v. Nationwide Ins. Co.</w:t>
      </w:r>
      <w:r w:rsidRPr="001E4102">
        <w:t xml:space="preserve">, 582 F.3d 500, 507 (3d Cir. 2009) (explaining that this holding was </w:t>
      </w:r>
      <w:r w:rsidRPr="001E4102">
        <w:lastRenderedPageBreak/>
        <w:t>“consistent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45FD1159" w14:textId="77777777" w:rsidR="00456D9D" w:rsidRPr="001E4102" w:rsidRDefault="00456D9D" w:rsidP="009C6F31">
      <w:pPr>
        <w:spacing w:after="240"/>
        <w:jc w:val="both"/>
        <w:sectPr w:rsidR="00456D9D"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p>
    <w:p w14:paraId="18CFD9AE" w14:textId="7AB6EE2B" w:rsidR="006154EC" w:rsidRPr="001E4102" w:rsidRDefault="006154EC" w:rsidP="009C6F31">
      <w:pPr>
        <w:spacing w:after="240"/>
        <w:jc w:val="both"/>
      </w:pPr>
      <w:proofErr w:type="gramStart"/>
      <w:r w:rsidRPr="001E4102">
        <w:rPr>
          <w:b/>
          <w:sz w:val="28"/>
        </w:rPr>
        <w:lastRenderedPageBreak/>
        <w:t>10.1.2  Elements</w:t>
      </w:r>
      <w:proofErr w:type="gramEnd"/>
      <w:r w:rsidRPr="001E4102">
        <w:rPr>
          <w:b/>
          <w:sz w:val="28"/>
        </w:rPr>
        <w:t xml:space="preserve">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79F48A55"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 in [defendant's] decision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2"/>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3"/>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w:t>
      </w:r>
      <w:r w:rsidRPr="001E4102">
        <w:lastRenderedPageBreak/>
        <w:t xml:space="preserve">[Moreover, [plaintiff] was not required to give [defendant] a formal written request for anticipated leave. Simple verbal notice is sufficient.] The critical question for determining “appropriate notice” is whether the information given to [defendant] was sufficient to reasonably </w:t>
      </w:r>
      <w:proofErr w:type="gramStart"/>
      <w:r w:rsidRPr="001E4102">
        <w:t>apprise</w:t>
      </w:r>
      <w:proofErr w:type="gramEnd"/>
      <w:r w:rsidRPr="001E4102">
        <w:t xml:space="preserve"> it of [plaintiff’s] request to take time off for a serious health condition.</w:t>
      </w:r>
    </w:p>
    <w:p w14:paraId="7A6C8374" w14:textId="0ECE5AA4"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4"/>
      </w:r>
      <w:r w:rsidRPr="001E4102">
        <w:t xml:space="preserve"> [was terminated after returning from leave] [was demoted after returning from leave].</w:t>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w:t>
      </w:r>
      <w:proofErr w:type="gramStart"/>
      <w:r w:rsidRPr="001E4102">
        <w:t>plaintiff</w:t>
      </w:r>
      <w:proofErr w:type="gramEnd"/>
      <w:r w:rsidRPr="001E4102">
        <w:t>].</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5"/>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E4102">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t>Comment</w:t>
      </w:r>
    </w:p>
    <w:p w14:paraId="151DBB54" w14:textId="77777777" w:rsidR="00127A0C" w:rsidRPr="001E4102" w:rsidRDefault="006154EC" w:rsidP="009C6F31">
      <w:pPr>
        <w:spacing w:after="240"/>
        <w:jc w:val="both"/>
      </w:pPr>
      <w:r w:rsidRPr="001E4102">
        <w:rPr>
          <w:i/>
        </w:rPr>
        <w:lastRenderedPageBreak/>
        <w:t xml:space="preserve">The nature of claims </w:t>
      </w:r>
      <w:r w:rsidR="0053455E" w:rsidRPr="001E4102">
        <w:rPr>
          <w:i/>
          <w:iCs/>
        </w:rPr>
        <w:t>concerning retaliation for exercise of FMLA rights</w:t>
      </w:r>
    </w:p>
    <w:p w14:paraId="56CE8772" w14:textId="1A9CF897"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w:t>
      </w:r>
      <w:proofErr w:type="gramStart"/>
      <w:r w:rsidR="006154EC" w:rsidRPr="001E4102">
        <w:t>29 C.F.R. §</w:t>
      </w:r>
      <w:r w:rsidR="00F27D8C" w:rsidRPr="001E4102">
        <w:t> 825.220(c).</w:t>
      </w:r>
      <w:proofErr w:type="gramEnd"/>
      <w:r w:rsidR="00F27D8C" w:rsidRPr="001E4102">
        <w:rPr>
          <w:rStyle w:val="FootnoteReference"/>
        </w:rPr>
        <w:footnoteReference w:id="16"/>
      </w:r>
      <w:r w:rsidR="00F27D8C" w:rsidRPr="001E4102">
        <w:t xml:space="preserve">  Although dictum in </w:t>
      </w:r>
      <w:proofErr w:type="spellStart"/>
      <w:r w:rsidR="00F27D8C" w:rsidRPr="001E4102">
        <w:rPr>
          <w:i/>
          <w:iCs/>
        </w:rPr>
        <w:t>Callison</w:t>
      </w:r>
      <w:proofErr w:type="spellEnd"/>
      <w:r w:rsidR="00F27D8C" w:rsidRPr="001E4102">
        <w:rPr>
          <w:i/>
          <w:iCs/>
        </w:rPr>
        <w:t xml:space="preserve">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more recently cited Section 2615(a)(2) as the basis for such claims, </w:t>
      </w:r>
      <w:r w:rsidR="00F27D8C" w:rsidRPr="001E4102">
        <w:rPr>
          <w:i/>
        </w:rPr>
        <w:t>see</w:t>
      </w:r>
      <w:r w:rsidR="00F27D8C" w:rsidRPr="001E4102">
        <w:t xml:space="preserve"> </w:t>
      </w:r>
      <w:proofErr w:type="spellStart"/>
      <w:r w:rsidR="00F27D8C" w:rsidRPr="001E4102">
        <w:rPr>
          <w:i/>
        </w:rPr>
        <w:t>Lupyan</w:t>
      </w:r>
      <w:proofErr w:type="spellEnd"/>
      <w:r w:rsidR="00F27D8C" w:rsidRPr="001E4102">
        <w:rPr>
          <w:i/>
        </w:rPr>
        <w:t xml:space="preserve">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if an employer retaliates against an employee for exercising her FMLA rights”), in four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[R]</w:t>
      </w:r>
      <w:proofErr w:type="spellStart"/>
      <w:r w:rsidRPr="001E4102">
        <w:t>etaliation</w:t>
      </w:r>
      <w:proofErr w:type="spellEnd"/>
      <w:r w:rsidRPr="001E4102">
        <w:t xml:space="preserve"> for taking an FMLA leave does not come within the literal scope of the sections of the FMLA directed to retaliation: § 2615(a</w:t>
      </w:r>
      <w:proofErr w:type="gramStart"/>
      <w:r w:rsidRPr="001E4102">
        <w:t>)(</w:t>
      </w:r>
      <w:proofErr w:type="gramEnd"/>
      <w:r w:rsidRPr="001E4102">
        <w:t xml:space="preserve">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093A33E5" w:rsidR="00F27D8C" w:rsidRPr="001E4102" w:rsidRDefault="00F27D8C" w:rsidP="009C6F31">
      <w:pPr>
        <w:spacing w:after="240"/>
        <w:jc w:val="both"/>
        <w:rPr>
          <w:u w:val="single"/>
        </w:rPr>
      </w:pPr>
      <w:proofErr w:type="gramStart"/>
      <w:r w:rsidRPr="001E4102">
        <w:rPr>
          <w:i/>
        </w:rPr>
        <w:t>Conoshenti v. Pub.</w:t>
      </w:r>
      <w:proofErr w:type="gramEnd"/>
      <w:r w:rsidRPr="001E4102">
        <w:rPr>
          <w:i/>
        </w:rPr>
        <w:t xml:space="preserve"> Serv. Elec. &amp; Gas Co.</w:t>
      </w:r>
      <w:r w:rsidRPr="001E4102">
        <w:t xml:space="preserve">, 364 F.3d 135, 146 n. 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w:t>
      </w:r>
      <w:r w:rsidRPr="001E4102">
        <w:lastRenderedPageBreak/>
        <w:t xml:space="preserve">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proofErr w:type="spellStart"/>
      <w:r w:rsidRPr="001E4102">
        <w:rPr>
          <w:i/>
        </w:rPr>
        <w:t>Conoshenti</w:t>
      </w:r>
      <w:r w:rsidRPr="001E4102">
        <w:t>’s</w:t>
      </w:r>
      <w:proofErr w:type="spellEnd"/>
      <w:r w:rsidRPr="001E4102">
        <w:t xml:space="preserve"> reliance on the regulation); </w:t>
      </w:r>
      <w:proofErr w:type="spellStart"/>
      <w:r w:rsidRPr="001E4102">
        <w:rPr>
          <w:i/>
        </w:rPr>
        <w:t>Budhun</w:t>
      </w:r>
      <w:proofErr w:type="spellEnd"/>
      <w:r w:rsidRPr="001E4102">
        <w:rPr>
          <w:i/>
        </w:rPr>
        <w:t xml:space="preserve"> v. Reading Hosp. &amp; Med. Ctr.</w:t>
      </w:r>
      <w:r w:rsidRPr="001E4102">
        <w:t xml:space="preserve">, No. 11-4625,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xml:space="preserve">, </w:t>
      </w:r>
      <w:proofErr w:type="gramStart"/>
      <w:r w:rsidRPr="001E4102">
        <w:t>582 F.3d at 508</w:t>
      </w:r>
      <w:proofErr w:type="gramEnd"/>
      <w:r w:rsidRPr="001E4102">
        <w:t xml:space="preserve">. They prohibit an employer from ‘discriminating or retaliating against an employee or prospective employee for having exercised or attempted to exercise FMLA rights.’  </w:t>
      </w:r>
      <w:proofErr w:type="gramStart"/>
      <w:r w:rsidRPr="001E4102">
        <w:t>29 C.F.R. § 825.220(c).”).</w:t>
      </w:r>
      <w:proofErr w:type="gramEnd"/>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7777777" w:rsidR="00127A0C" w:rsidRPr="001E4102" w:rsidRDefault="003F2443" w:rsidP="009C6F31">
      <w:pPr>
        <w:spacing w:after="240"/>
        <w:jc w:val="both"/>
      </w:pPr>
      <w:r w:rsidRPr="001E4102">
        <w:rPr>
          <w:i/>
          <w:iCs/>
        </w:rPr>
        <w:t>Questions concerning a</w:t>
      </w:r>
      <w:r w:rsidR="00127A0C" w:rsidRPr="001E4102">
        <w:rPr>
          <w:i/>
          <w:iCs/>
        </w:rPr>
        <w:t>vailability of a mixed-motive framework for FMLA claims</w:t>
      </w:r>
    </w:p>
    <w:p w14:paraId="1640E0C3" w14:textId="6A8676A6" w:rsidR="006154EC" w:rsidRPr="001E4102" w:rsidRDefault="00557504" w:rsidP="009C6F31">
      <w:pPr>
        <w:spacing w:after="240"/>
        <w:ind w:firstLine="720"/>
        <w:jc w:val="both"/>
      </w:pPr>
      <w:r w:rsidRPr="001E4102">
        <w:t xml:space="preserve">Before employing Instruction 10.1.2, users of these instructions should consider what effect, if any, the Supreme Court’s decisions in </w:t>
      </w:r>
      <w:r w:rsidRPr="001E4102">
        <w:rPr>
          <w:i/>
        </w:rPr>
        <w:t xml:space="preserve">University of Texas Southwestern </w:t>
      </w:r>
      <w:r w:rsidR="006154EC" w:rsidRPr="001E4102">
        <w:rPr>
          <w:i/>
        </w:rPr>
        <w:t xml:space="preserve">Medical </w:t>
      </w:r>
      <w:r w:rsidRPr="001E4102">
        <w:rPr>
          <w:i/>
        </w:rPr>
        <w:t xml:space="preserve">Center v. </w:t>
      </w:r>
      <w:proofErr w:type="spellStart"/>
      <w:r w:rsidRPr="001E4102">
        <w:rPr>
          <w:i/>
        </w:rPr>
        <w:t>Nassar</w:t>
      </w:r>
      <w:proofErr w:type="spellEnd"/>
      <w:r w:rsidRPr="001E4102">
        <w:t xml:space="preserve">, 133 S. </w:t>
      </w:r>
      <w:r w:rsidR="006154EC" w:rsidRPr="001E4102">
        <w:t xml:space="preserve">Ct. </w:t>
      </w:r>
      <w:r w:rsidRPr="001E4102">
        <w:t xml:space="preserve">2517, 2533 (2013), and </w:t>
      </w:r>
      <w:r w:rsidRPr="001E4102">
        <w:rPr>
          <w:i/>
        </w:rPr>
        <w:t xml:space="preserve">Gross v. </w:t>
      </w:r>
      <w:r w:rsidR="006154EC" w:rsidRPr="001E4102">
        <w:rPr>
          <w:i/>
        </w:rPr>
        <w:t>FBL Financial Services, Inc</w:t>
      </w:r>
      <w:r w:rsidR="006154EC" w:rsidRPr="001E4102">
        <w:t xml:space="preserve">., </w:t>
      </w:r>
      <w:r w:rsidRPr="001E4102">
        <w:t xml:space="preserve">557 </w:t>
      </w:r>
      <w:r w:rsidR="006154EC" w:rsidRPr="001E4102">
        <w:t>U.S.</w:t>
      </w:r>
      <w:r w:rsidRPr="001E4102">
        <w:t xml:space="preserve"> 167 (2009), may have on earlier lower-</w:t>
      </w:r>
      <w:r w:rsidR="006154EC" w:rsidRPr="001E4102">
        <w:t xml:space="preserve">court </w:t>
      </w:r>
      <w:r w:rsidRPr="001E4102">
        <w:t>decisions recognizing</w:t>
      </w:r>
      <w:r w:rsidR="006154EC" w:rsidRPr="001E4102">
        <w:t xml:space="preserve"> a mixed-motive framework for FMLA claims</w:t>
      </w:r>
      <w:r w:rsidRPr="001E4102">
        <w:t>.</w:t>
      </w:r>
    </w:p>
    <w:p w14:paraId="7D3EB450" w14:textId="12C52A50" w:rsidR="00127A0C" w:rsidRPr="001E4102" w:rsidRDefault="00475D22" w:rsidP="009C6F31">
      <w:pPr>
        <w:spacing w:after="240"/>
        <w:ind w:firstLine="720"/>
        <w:jc w:val="both"/>
      </w:pPr>
      <w:r w:rsidRPr="001E4102">
        <w:t xml:space="preserve">Prior to </w:t>
      </w:r>
      <w:proofErr w:type="spellStart"/>
      <w:r w:rsidRPr="001E4102">
        <w:rPr>
          <w:i/>
        </w:rPr>
        <w:t>Nassar</w:t>
      </w:r>
      <w:proofErr w:type="spellEnd"/>
      <w:r w:rsidRPr="001E4102">
        <w:rPr>
          <w:i/>
        </w:rPr>
        <w:t xml:space="preserve"> </w:t>
      </w:r>
      <w:r w:rsidRPr="001E4102">
        <w:t xml:space="preserve">and </w:t>
      </w:r>
      <w:r w:rsidRPr="001E4102">
        <w:rPr>
          <w:i/>
        </w:rPr>
        <w:t>Gross</w:t>
      </w:r>
      <w:r w:rsidRPr="001E4102">
        <w:t>, 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Wilson v. </w:t>
      </w:r>
      <w:proofErr w:type="spellStart"/>
      <w:r w:rsidR="006154EC" w:rsidRPr="001E4102">
        <w:rPr>
          <w:i/>
        </w:rPr>
        <w:t>Lemington</w:t>
      </w:r>
      <w:proofErr w:type="spellEnd"/>
      <w:r w:rsidR="006154EC" w:rsidRPr="001E4102">
        <w:rPr>
          <w:i/>
        </w:rPr>
        <w:t xml:space="preserve"> Home for the Aged</w:t>
      </w:r>
      <w:r w:rsidR="006154EC" w:rsidRPr="001E4102">
        <w:t>, 159 F. Supp.2d 186, 195 (</w:t>
      </w:r>
      <w:proofErr w:type="spellStart"/>
      <w:r w:rsidR="006154EC" w:rsidRPr="001E4102">
        <w:t>W.D.Pa</w:t>
      </w:r>
      <w:proofErr w:type="spellEnd"/>
      <w:r w:rsidR="006154EC" w:rsidRPr="001E4102">
        <w:t xml:space="preserve">. 2001) (“In analyzing claims made for retaliation under the FMLA, courts look to the legal framework established for Title VII claims. . . . Thus, a plaintiff may prove FMLA retaliation by direct evidence as set forth in </w:t>
      </w:r>
      <w:r w:rsidR="006154EC" w:rsidRPr="001E4102">
        <w:rPr>
          <w:i/>
        </w:rPr>
        <w:t>Price Waterhouse v. Hopkins</w:t>
      </w:r>
      <w:r w:rsidR="006154EC" w:rsidRPr="001E4102">
        <w:t>, 490 U.S. 228, 244-46 (1989), or indirectly through the burden shifting analysis set forth by the Supreme Court in</w:t>
      </w:r>
      <w:r w:rsidR="006154EC" w:rsidRPr="001E4102">
        <w:rPr>
          <w:i/>
        </w:rPr>
        <w:t xml:space="preserve"> McDonnell Douglas Corp. v. Green,</w:t>
      </w:r>
      <w:r w:rsidR="006154EC" w:rsidRPr="001E4102">
        <w:t xml:space="preserve"> 411 U.S. 792 (1973).”);</w:t>
      </w:r>
      <w:r w:rsidR="006154EC" w:rsidRPr="001E4102">
        <w:rPr>
          <w:i/>
        </w:rPr>
        <w:t xml:space="preserve"> </w:t>
      </w:r>
      <w:proofErr w:type="spellStart"/>
      <w:r w:rsidR="00127A0C" w:rsidRPr="001E4102">
        <w:rPr>
          <w:i/>
          <w:iCs/>
        </w:rPr>
        <w:t>Baltuskonis</w:t>
      </w:r>
      <w:proofErr w:type="spellEnd"/>
      <w:r w:rsidR="00127A0C" w:rsidRPr="001E4102">
        <w:rPr>
          <w:i/>
          <w:iCs/>
        </w:rPr>
        <w:t xml:space="preserve"> v. U.S. Airways, Inc</w:t>
      </w:r>
      <w:r w:rsidR="00127A0C" w:rsidRPr="001E4102">
        <w:t>., 60 F. Supp. 2d 445, 448 (E.D. Pa. 1999) (same).</w:t>
      </w:r>
    </w:p>
    <w:p w14:paraId="30AB9119" w14:textId="39EA1563" w:rsidR="006154EC" w:rsidRPr="001E4102" w:rsidRDefault="00AA2BAD" w:rsidP="009C6F31">
      <w:pPr>
        <w:spacing w:after="240"/>
        <w:ind w:firstLine="720"/>
        <w:jc w:val="both"/>
        <w:rPr>
          <w:i/>
        </w:rPr>
      </w:pPr>
      <w:r w:rsidRPr="001E4102">
        <w:t>Assuming that a mixed-motive test is available for FMLA discrimination/retaliation claims, the</w:t>
      </w:r>
      <w:r w:rsidR="006154EC" w:rsidRPr="001E4102">
        <w:t xml:space="preserve"> distinction between “mixed-motive” cases and “pretext” cases is generally determined by whether the plaintiff produces direct rather than circumstantial evidence of discrimination. If the plaintiff produces direct evidence of discrimination, this is sufficient to show that the defendant’s activity was motivated at least in part by discriminatory animus, and therefore this “mixed-motive” instruction should be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w:t>
      </w:r>
      <w:r w:rsidR="006154EC" w:rsidRPr="001E4102">
        <w:lastRenderedPageBreak/>
        <w:t xml:space="preserve">accordingly Instruction 10.1.3 should be given. </w:t>
      </w:r>
      <w:r w:rsidR="006154EC" w:rsidRPr="001E4102">
        <w:rPr>
          <w:i/>
        </w:rPr>
        <w:t xml:space="preserve">See generally </w:t>
      </w:r>
      <w:proofErr w:type="spellStart"/>
      <w:r w:rsidR="006154EC" w:rsidRPr="001E4102">
        <w:rPr>
          <w:i/>
        </w:rPr>
        <w:t>Conoshenti</w:t>
      </w:r>
      <w:proofErr w:type="spellEnd"/>
      <w:r w:rsidR="006154EC" w:rsidRPr="001E4102">
        <w:rPr>
          <w:i/>
        </w:rPr>
        <w:t xml:space="preserve">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in which direct evidence of discrimination was presented).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(en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 xml:space="preserve">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w:t>
      </w:r>
      <w:proofErr w:type="spellStart"/>
      <w:r w:rsidRPr="001E4102">
        <w:t>decisionmaking</w:t>
      </w:r>
      <w:proofErr w:type="spellEnd"/>
      <w:r w:rsidRPr="001E4102">
        <w:t xml:space="preserve"> process and that it had a determinative effect on the outcome of that process.</w:t>
      </w:r>
    </w:p>
    <w:p w14:paraId="74D233D3" w14:textId="5BAAC687" w:rsidR="006154EC" w:rsidRPr="001E4102" w:rsidRDefault="006154EC" w:rsidP="009C6F31">
      <w:pPr>
        <w:spacing w:after="240"/>
        <w:jc w:val="both"/>
      </w:pPr>
      <w:r w:rsidRPr="001E4102">
        <w:rPr>
          <w:i/>
        </w:rPr>
        <w:t>See also</w:t>
      </w:r>
      <w:r w:rsidRPr="001E4102">
        <w:t xml:space="preserve"> </w:t>
      </w:r>
      <w:proofErr w:type="spellStart"/>
      <w:r w:rsidRPr="001E4102">
        <w:rPr>
          <w:i/>
        </w:rPr>
        <w:t>Starceski</w:t>
      </w:r>
      <w:proofErr w:type="spellEnd"/>
      <w:r w:rsidRPr="001E4102">
        <w:rPr>
          <w:i/>
        </w:rPr>
        <w:t xml:space="preserve"> v. Westinghouse Electric Corp., </w:t>
      </w:r>
      <w:r w:rsidRPr="001E4102">
        <w:t xml:space="preserve">54 F.3d 1089, 1096, </w:t>
      </w:r>
      <w:r w:rsidR="00127A0C" w:rsidRPr="001E4102">
        <w:t>n</w:t>
      </w:r>
      <w:r w:rsidR="00FC3741" w:rsidRPr="001E4102">
        <w:t>.</w:t>
      </w:r>
      <w:r w:rsidR="00127A0C" w:rsidRPr="001E4102">
        <w:t>4</w:t>
      </w:r>
      <w:r w:rsidRPr="001E4102">
        <w:t xml:space="preserve"> (3d Cir. 1995) (ADEA case):</w:t>
      </w:r>
    </w:p>
    <w:p w14:paraId="3F1B1811" w14:textId="77777777" w:rsidR="006154EC" w:rsidRPr="001E4102" w:rsidRDefault="006154EC" w:rsidP="009C6F31">
      <w:pPr>
        <w:spacing w:after="240"/>
        <w:ind w:left="720"/>
        <w:jc w:val="both"/>
      </w:pPr>
      <w:r w:rsidRPr="001E4102">
        <w:tab/>
        <w:t xml:space="preserve">An employment discrimination case may be advanced on either a pretext or "mixed-motives" theory. In a pretext case, once the employee has made a prima facie showing of discrimination, the burden of going forward shifts to the employer who must articulate a legitimate, nondiscriminatory reason for the adverse employment decision.  If the employer does produce evidence showing a legitimate, nondiscriminatory reason for the discharge, the burden of production shifts back to the employee who must show that the employer's proffered explanation is incredible. At all times the burden of proof or risk of non-persuasion, including the burden of proving "but for" causation or causation in fact, remains on the employee.  In a "mixed-motives" or </w:t>
      </w:r>
      <w:r w:rsidRPr="001E4102">
        <w:rPr>
          <w:i/>
        </w:rPr>
        <w:t xml:space="preserve">Price Waterhouse </w:t>
      </w:r>
      <w:r w:rsidRPr="001E4102">
        <w:t xml:space="preserve">case, the employee must produce direct evidence of discrimination, i.e., more direct evidence than is required for the </w:t>
      </w:r>
      <w:r w:rsidRPr="001E4102">
        <w:rPr>
          <w:i/>
        </w:rPr>
        <w:t>McDonnell Douglas/</w:t>
      </w:r>
      <w:proofErr w:type="spellStart"/>
      <w:r w:rsidRPr="001E4102">
        <w:rPr>
          <w:i/>
        </w:rPr>
        <w:t>Burdine</w:t>
      </w:r>
      <w:proofErr w:type="spellEnd"/>
      <w:r w:rsidRPr="001E4102">
        <w:t xml:space="preserve"> prima facie case.  If the employee does produce direct evidence of discriminatory animus, the employer must then produce evidence sufficient to show that it would have made the same decision if illegal bias had played no role in the employment decision.  In short, direct proof of discriminatory animus leaves the employer only an affirmative defense on the question of "but for" cause or cause in fact. (Citations omitted). </w:t>
      </w:r>
    </w:p>
    <w:p w14:paraId="0D772C1B" w14:textId="0AAD3604" w:rsidR="006154EC" w:rsidRPr="001E4102" w:rsidRDefault="006154EC" w:rsidP="009C6F31">
      <w:pPr>
        <w:spacing w:after="240"/>
        <w:jc w:val="both"/>
      </w:pPr>
      <w:r w:rsidRPr="001E4102">
        <w:tab/>
        <w:t xml:space="preserve">To the extent that </w:t>
      </w:r>
      <w:r w:rsidRPr="001E4102">
        <w:rPr>
          <w:i/>
        </w:rPr>
        <w:t xml:space="preserve">Miller </w:t>
      </w:r>
      <w:r w:rsidRPr="001E4102">
        <w:t xml:space="preserve">and </w:t>
      </w:r>
      <w:proofErr w:type="spellStart"/>
      <w:r w:rsidRPr="001E4102">
        <w:rPr>
          <w:i/>
        </w:rPr>
        <w:t>Starceski</w:t>
      </w:r>
      <w:proofErr w:type="spellEnd"/>
      <w:r w:rsidRPr="001E4102">
        <w:rPr>
          <w:i/>
        </w:rPr>
        <w:t xml:space="preserve"> </w:t>
      </w:r>
      <w:r w:rsidRPr="001E4102">
        <w:t xml:space="preserve">held that a mixed-motive framework is available in ADEA cases, they have been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w:t>
      </w:r>
      <w:r w:rsidRPr="001E4102">
        <w:lastRenderedPageBreak/>
        <w:t>causation is the appropriate test; and that this interpretation was bolstered by the fact that when Congress in 1991 provided the statutory mixed-motive framework codified at 42 U.S.C. § 2000e-5(g</w:t>
      </w:r>
      <w:proofErr w:type="gramStart"/>
      <w:r w:rsidRPr="001E4102">
        <w:t>)(</w:t>
      </w:r>
      <w:proofErr w:type="gramEnd"/>
      <w:r w:rsidRPr="001E4102">
        <w:t xml:space="preserve">2)(B), that provision was not drafted so as to cover ADEA claims. </w:t>
      </w:r>
    </w:p>
    <w:p w14:paraId="1BF856FB" w14:textId="77777777"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 xml:space="preserve">See Univ. of Tex. Sw. Med. Ctr. v. </w:t>
      </w:r>
      <w:proofErr w:type="spellStart"/>
      <w:r w:rsidRPr="001E4102">
        <w:rPr>
          <w:i/>
        </w:rPr>
        <w:t>Nassar</w:t>
      </w:r>
      <w:proofErr w:type="spellEnd"/>
      <w:r w:rsidRPr="001E4102">
        <w:t xml:space="preserve">, 133 </w:t>
      </w:r>
      <w:proofErr w:type="spellStart"/>
      <w:r w:rsidRPr="001E4102">
        <w:t>S.Ct</w:t>
      </w:r>
      <w:proofErr w:type="spellEnd"/>
      <w:r w:rsidRPr="001E4102">
        <w:t xml:space="preserve">. 2517, 2533 (2013) (“Title VII retaliation claims must be proved according to traditional principles of but-for causation, not the lessened causation test stated in [42 U.S.C.] </w:t>
      </w:r>
      <w:proofErr w:type="gramStart"/>
      <w:r w:rsidRPr="001E4102">
        <w:t>§ 2000e–2(m).</w:t>
      </w:r>
      <w:proofErr w:type="gramEnd"/>
      <w:r w:rsidRPr="001E4102">
        <w:t xml:space="preserve"> This requires proof that the unlawful retaliation would not have occurred in the absence of the alleged wrongful action or actions of the employer.”).  The </w:t>
      </w:r>
      <w:proofErr w:type="spellStart"/>
      <w:r w:rsidRPr="001E4102">
        <w:rPr>
          <w:i/>
        </w:rPr>
        <w:t>Nassar</w:t>
      </w:r>
      <w:proofErr w:type="spellEnd"/>
      <w:r w:rsidRPr="001E4102">
        <w:t xml:space="preserve"> Court reasoned that Congress legislated against a background tort principle of “but for” causation, </w:t>
      </w:r>
      <w:r w:rsidRPr="001E4102">
        <w:rPr>
          <w:i/>
        </w:rPr>
        <w:t xml:space="preserve">see </w:t>
      </w:r>
      <w:proofErr w:type="spellStart"/>
      <w:r w:rsidRPr="001E4102">
        <w:rPr>
          <w:i/>
        </w:rPr>
        <w:t>Nassar</w:t>
      </w:r>
      <w:proofErr w:type="spellEnd"/>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w:t>
      </w:r>
      <w:proofErr w:type="gramStart"/>
      <w:r w:rsidRPr="001E4102">
        <w:t>at</w:t>
      </w:r>
      <w:proofErr w:type="gramEnd"/>
      <w:r w:rsidRPr="001E4102">
        <w:t xml:space="preserve">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w:t>
      </w:r>
      <w:proofErr w:type="gramStart"/>
      <w:r w:rsidRPr="001E4102">
        <w:t>at</w:t>
      </w:r>
      <w:proofErr w:type="gramEnd"/>
      <w:r w:rsidRPr="001E4102">
        <w:t xml:space="preserve"> 2534.</w:t>
      </w:r>
    </w:p>
    <w:p w14:paraId="212D8D2A" w14:textId="77777777" w:rsidR="00127A0C" w:rsidRPr="001E4102" w:rsidRDefault="00127A0C" w:rsidP="009C6F31">
      <w:pPr>
        <w:spacing w:after="240"/>
        <w:ind w:firstLine="720"/>
        <w:jc w:val="both"/>
      </w:pPr>
      <w:r w:rsidRPr="001E4102">
        <w:t xml:space="preserve">It is not clear what effect, if any, </w:t>
      </w:r>
      <w:r w:rsidRPr="001E4102">
        <w:rPr>
          <w:i/>
          <w:iCs/>
        </w:rPr>
        <w:t xml:space="preserve">Gross </w:t>
      </w:r>
      <w:r w:rsidR="009B1E6D" w:rsidRPr="001E4102">
        <w:rPr>
          <w:iCs/>
        </w:rPr>
        <w:t xml:space="preserve">and </w:t>
      </w:r>
      <w:proofErr w:type="spellStart"/>
      <w:r w:rsidR="009B1E6D" w:rsidRPr="001E4102">
        <w:rPr>
          <w:i/>
          <w:iCs/>
        </w:rPr>
        <w:t>Nassar</w:t>
      </w:r>
      <w:proofErr w:type="spellEnd"/>
      <w:r w:rsidR="009B1E6D" w:rsidRPr="001E4102">
        <w:rPr>
          <w:iCs/>
        </w:rPr>
        <w:t xml:space="preserve"> </w:t>
      </w:r>
      <w:r w:rsidRPr="001E4102">
        <w:t>will have on existing precedents recognizing a mixed</w:t>
      </w:r>
      <w:r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p>
    <w:p w14:paraId="2FE3B8D0" w14:textId="77777777" w:rsidR="006154EC" w:rsidRPr="001E4102" w:rsidRDefault="006154EC" w:rsidP="009C6F31">
      <w:pPr>
        <w:spacing w:after="240"/>
        <w:jc w:val="both"/>
      </w:pPr>
      <w:r w:rsidRPr="001E4102">
        <w:rPr>
          <w:i/>
        </w:rPr>
        <w:t>“Same Decision” Affirmative Defense</w:t>
      </w:r>
    </w:p>
    <w:p w14:paraId="4E35D575" w14:textId="14AC1330" w:rsidR="006154EC" w:rsidRPr="001E4102" w:rsidRDefault="006154EC" w:rsidP="009C6F31">
      <w:pPr>
        <w:spacing w:after="240"/>
        <w:jc w:val="both"/>
      </w:pPr>
      <w:r w:rsidRPr="001E4102">
        <w:tab/>
        <w:t>Section 107 of the Civil Rights Act of 1991 (42 U.S.C. §2000e-(5</w:t>
      </w:r>
      <w:proofErr w:type="gramStart"/>
      <w:r w:rsidRPr="001E4102">
        <w:t>)(</w:t>
      </w:r>
      <w:proofErr w:type="gramEnd"/>
      <w:r w:rsidRPr="001E4102">
        <w:t xml:space="preserve">g)(2)(B)) changed the law on “mixed-motive” liability in Title VII actions. Previously, a defendant could escape liability by proving the “same decision” would have been made even without a discriminatory motive. The Civil Rights Act of 1991 provides that a “same decision” defense precludes an award for money damages, but not liability. </w:t>
      </w:r>
    </w:p>
    <w:p w14:paraId="024AD7CD" w14:textId="050C4C7E" w:rsidR="006154EC" w:rsidRPr="001E4102" w:rsidRDefault="006154EC" w:rsidP="009C6F31">
      <w:pPr>
        <w:spacing w:after="240"/>
        <w:jc w:val="both"/>
      </w:pPr>
      <w:r w:rsidRPr="001E4102">
        <w:tab/>
        <w:t xml:space="preserve">There is no indication in the FMLA of </w:t>
      </w:r>
      <w:proofErr w:type="gramStart"/>
      <w:r w:rsidRPr="001E4102">
        <w:t>an intent</w:t>
      </w:r>
      <w:proofErr w:type="gramEnd"/>
      <w:r w:rsidRPr="001E4102">
        <w:t xml:space="preserve"> to incorporate the “same decision” revision of the Civil Rights Act of 1991. The 1991 amendments apply specifically to actions brought under Title VII, and Title VII does not prohibit discrimination for taking unpaid leave. Accordingly, the pattern instruction sets forth the “same decision” defense as one that precludes liability, and thus differentiates it from the “same decision” defense in Title VII mixed-motive actions. </w:t>
      </w:r>
      <w:r w:rsidRPr="001E4102">
        <w:rPr>
          <w:i/>
        </w:rPr>
        <w:t>See</w:t>
      </w:r>
      <w:r w:rsidRPr="001E4102">
        <w:t xml:space="preserve"> </w:t>
      </w:r>
      <w:r w:rsidR="00C61BE6" w:rsidRPr="001E4102">
        <w:t>Note</w:t>
      </w:r>
      <w:r w:rsidRPr="001E4102">
        <w:t xml:space="preserve"> to Eighth Circuit Pattern Jury Instruction </w:t>
      </w:r>
      <w:r w:rsidR="00C61BE6" w:rsidRPr="001E4102">
        <w:t>14.10</w:t>
      </w:r>
      <w:r w:rsidR="00127A0C" w:rsidRPr="001E4102">
        <w:t>.</w:t>
      </w:r>
      <w:r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lastRenderedPageBreak/>
        <w:t>Serious Health Condition</w:t>
      </w:r>
    </w:p>
    <w:p w14:paraId="7FEDF98F" w14:textId="77777777" w:rsidR="006154EC" w:rsidRPr="001E4102" w:rsidRDefault="006154EC" w:rsidP="009C6F31">
      <w:pPr>
        <w:spacing w:after="240"/>
        <w:jc w:val="both"/>
      </w:pPr>
      <w:r w:rsidRPr="001E4102">
        <w:tab/>
        <w:t xml:space="preserve">For a discussion of the term “serious health condition” </w:t>
      </w:r>
      <w:proofErr w:type="gramStart"/>
      <w:r w:rsidRPr="001E4102">
        <w:t>see</w:t>
      </w:r>
      <w:proofErr w:type="gramEnd"/>
      <w:r w:rsidRPr="001E4102">
        <w:t xml:space="preserve"> the commentary to Instruction 10.0.</w:t>
      </w:r>
    </w:p>
    <w:p w14:paraId="678BE240" w14:textId="77777777" w:rsidR="006154EC" w:rsidRPr="001E4102" w:rsidRDefault="006154EC" w:rsidP="009C6F31">
      <w:pPr>
        <w:spacing w:after="240"/>
        <w:jc w:val="both"/>
      </w:pPr>
      <w:r w:rsidRPr="001E4102">
        <w:rPr>
          <w:i/>
        </w:rPr>
        <w:t xml:space="preserve">Animus of Employee Who Was Not the Ultimate </w:t>
      </w:r>
      <w:proofErr w:type="spellStart"/>
      <w:r w:rsidRPr="001E4102">
        <w:rPr>
          <w:i/>
        </w:rPr>
        <w:t>Decisionmaker</w:t>
      </w:r>
      <w:proofErr w:type="spellEnd"/>
    </w:p>
    <w:p w14:paraId="7C73A277" w14:textId="77777777" w:rsidR="00AB03C3" w:rsidRPr="001E4102" w:rsidRDefault="006154EC" w:rsidP="009C6F31">
      <w:pPr>
        <w:spacing w:after="240"/>
        <w:jc w:val="both"/>
      </w:pPr>
      <w:r w:rsidRPr="001E4102">
        <w:tab/>
        <w:t xml:space="preserve">For a discussion of the Court’s treatment in </w:t>
      </w:r>
      <w:proofErr w:type="spellStart"/>
      <w:r w:rsidRPr="001E4102">
        <w:rPr>
          <w:i/>
        </w:rPr>
        <w:t>Staub</w:t>
      </w:r>
      <w:proofErr w:type="spellEnd"/>
      <w:r w:rsidRPr="001E4102">
        <w:rPr>
          <w:i/>
        </w:rPr>
        <w:t xml:space="preserve"> v. Proctor Hosp.</w:t>
      </w:r>
      <w:r w:rsidRPr="001E4102">
        <w:t xml:space="preserve">, 131 S. Ct. 1186 (2011), of the animus of an employee who was not the ultimate </w:t>
      </w:r>
      <w:proofErr w:type="spellStart"/>
      <w:r w:rsidRPr="001E4102">
        <w:t>decisionmaker</w:t>
      </w:r>
      <w:proofErr w:type="spellEnd"/>
      <w:r w:rsidRPr="001E4102">
        <w:t xml:space="preserve">, see Comment 5.1.7.  </w:t>
      </w:r>
      <w:proofErr w:type="spellStart"/>
      <w:r w:rsidRPr="001E4102">
        <w:rPr>
          <w:i/>
        </w:rPr>
        <w:t>Staub</w:t>
      </w:r>
      <w:proofErr w:type="spellEnd"/>
      <w:r w:rsidRPr="001E4102">
        <w:t xml:space="preserve"> concerned a statute that used the term “motivating factor,” and it is unclear whether the ruling in </w:t>
      </w:r>
      <w:proofErr w:type="spellStart"/>
      <w:r w:rsidRPr="001E4102">
        <w:rPr>
          <w:i/>
        </w:rPr>
        <w:t>Staub</w:t>
      </w:r>
      <w:proofErr w:type="spellEnd"/>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7"/>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8"/>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t>
      </w:r>
      <w:r w:rsidRPr="001E4102">
        <w:lastRenderedPageBreak/>
        <w:t xml:space="preserve">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w:t>
      </w:r>
      <w:proofErr w:type="gramStart"/>
      <w:r w:rsidRPr="001E4102">
        <w:t>apprise</w:t>
      </w:r>
      <w:proofErr w:type="gramEnd"/>
      <w:r w:rsidRPr="001E4102">
        <w:t xml:space="preserve"> it of [plaintiff’s] request to take time off for a serious health condition.</w:t>
      </w:r>
    </w:p>
    <w:p w14:paraId="110D33B1" w14:textId="77777777"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19"/>
      </w:r>
      <w:r w:rsidRPr="001E4102">
        <w:t xml:space="preserve"> [was terminated after returning from leave] [was demoted after returning from leave].</w:t>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711890D5" w:rsidR="006154EC" w:rsidRPr="001E4102" w:rsidRDefault="006154EC" w:rsidP="009C6F31">
      <w:pPr>
        <w:spacing w:after="240"/>
        <w:jc w:val="both"/>
      </w:pPr>
      <w:r w:rsidRPr="001E4102">
        <w:tab/>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14:paraId="449399AA" w14:textId="4930CBC5" w:rsidR="006154EC" w:rsidRPr="001E4102" w:rsidRDefault="006154EC" w:rsidP="009C6F31">
      <w:pPr>
        <w:spacing w:after="240"/>
        <w:jc w:val="both"/>
      </w:pPr>
      <w:r w:rsidRPr="001E4102">
        <w:tab/>
        <w:t xml:space="preserve">[Defendant] has given a nondiscriminatory reason for </w:t>
      </w:r>
      <w:proofErr w:type="gramStart"/>
      <w:r w:rsidRPr="001E4102">
        <w:t>its</w:t>
      </w:r>
      <w:proofErr w:type="gramEnd"/>
      <w:r w:rsidRPr="001E4102">
        <w:t xml:space="preserve"> [describe defendant’s action].  If you disbelieve [defendant’s] explanations for its conduct, then you may, but need not, find that [plaintiff] has proved intentional discrimination. In determining whether [</w:t>
      </w:r>
      <w:proofErr w:type="gramStart"/>
      <w:r w:rsidRPr="001E4102">
        <w:t>defendant's</w:t>
      </w:r>
      <w:proofErr w:type="gramEnd"/>
      <w:r w:rsidRPr="001E4102">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6D7AE453" w14:textId="6C683174"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w:t>
      </w:r>
      <w:r w:rsidRPr="001E4102">
        <w:lastRenderedPageBreak/>
        <w:t>decision.] “Determinative factor” means that if not for [</w:t>
      </w:r>
      <w:proofErr w:type="gramStart"/>
      <w:r w:rsidRPr="001E4102">
        <w:t>plaintiff 's</w:t>
      </w:r>
      <w:proofErr w:type="gramEnd"/>
      <w:r w:rsidRPr="001E4102">
        <w:t xml:space="preserve">]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t>Comment</w:t>
      </w:r>
    </w:p>
    <w:p w14:paraId="256B52E7" w14:textId="2CF563A9" w:rsidR="006154EC" w:rsidRPr="001E4102" w:rsidRDefault="006154EC" w:rsidP="009C6F31">
      <w:pPr>
        <w:spacing w:after="240"/>
        <w:jc w:val="both"/>
      </w:pPr>
      <w:r w:rsidRPr="001E4102">
        <w:tab/>
        <w:t xml:space="preserve">This instruction is to be used when the plaintiff’s proof of discrimination is circumstantial rather than direct. </w:t>
      </w:r>
      <w:r w:rsidR="00CD55AD" w:rsidRPr="001E4102">
        <w:rPr>
          <w:i/>
        </w:rPr>
        <w:t xml:space="preserve">See </w:t>
      </w:r>
      <w:proofErr w:type="spellStart"/>
      <w:r w:rsidR="00CD55AD" w:rsidRPr="001E4102">
        <w:rPr>
          <w:i/>
        </w:rPr>
        <w:t>Budhun</w:t>
      </w:r>
      <w:proofErr w:type="spellEnd"/>
      <w:r w:rsidR="00CD55AD" w:rsidRPr="001E4102">
        <w:rPr>
          <w:i/>
        </w:rPr>
        <w:t xml:space="preserve"> v. Reading Hosp. &amp; Med. Ctr</w:t>
      </w:r>
      <w:r w:rsidR="00CD55AD" w:rsidRPr="001E4102">
        <w:t xml:space="preserve">., 765 F.3d 245, 256 (3d Cir. 2014) (“FMLA retaliation claims based on circumstantial evidence are governed by the burden-shifting framework established by </w:t>
      </w:r>
      <w:r w:rsidR="00CD55AD" w:rsidRPr="001E4102">
        <w:rPr>
          <w:i/>
        </w:rPr>
        <w:t>McDonnell Douglas Corp. v. Green…</w:t>
      </w:r>
      <w:r w:rsidR="00CD55AD" w:rsidRPr="001E4102">
        <w:t>.”).</w:t>
      </w:r>
      <w:r w:rsidR="00127A0C" w:rsidRPr="001E4102">
        <w:t xml:space="preserve"> </w:t>
      </w:r>
      <w:r w:rsidRPr="001E4102">
        <w:t xml:space="preserve">In </w:t>
      </w:r>
      <w:r w:rsidRPr="001E4102">
        <w:rPr>
          <w:i/>
        </w:rPr>
        <w:t xml:space="preserve">Miller v. Cigna Corp., </w:t>
      </w:r>
      <w:r w:rsidRPr="001E4102">
        <w:t>47 F.3d 586, 597 (3d Cir. 1995) (en banc), an ADEA case, the court discussed the proper instruction to be given in a circumstantial evidence/pretext case:</w:t>
      </w:r>
    </w:p>
    <w:p w14:paraId="21583878" w14:textId="41B5E22E"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Pr="001E4102">
        <w:rPr>
          <w:i/>
        </w:rPr>
        <w:t xml:space="preserve">Price Waterhouse </w:t>
      </w:r>
      <w:r w:rsidRPr="001E4102">
        <w:t xml:space="preserve">[i.e., a “mixed-motive” case]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1E4102">
        <w:t>decisionmaking</w:t>
      </w:r>
      <w:proofErr w:type="spellEnd"/>
      <w:r w:rsidRPr="001E4102">
        <w:t xml:space="preserve">] process and had a determinative influence on the outcome" of that process. </w:t>
      </w:r>
      <w:proofErr w:type="gramStart"/>
      <w:r w:rsidRPr="001E4102">
        <w:t xml:space="preserve">(Quoting </w:t>
      </w:r>
      <w:r w:rsidRPr="001E4102">
        <w:rPr>
          <w:i/>
        </w:rPr>
        <w:t xml:space="preserve">Hazen Paper Co. v. Biggins, </w:t>
      </w:r>
      <w:r w:rsidRPr="001E4102">
        <w:t>507 U.S. 604, 611 (1993)).</w:t>
      </w:r>
      <w:proofErr w:type="gramEnd"/>
      <w:r w:rsidRPr="001E4102">
        <w:t xml:space="preserve"> </w:t>
      </w:r>
    </w:p>
    <w:p w14:paraId="507B2830" w14:textId="786493D7" w:rsidR="006154EC" w:rsidRPr="001E4102" w:rsidRDefault="006154EC" w:rsidP="009C6F31">
      <w:pPr>
        <w:spacing w:after="240"/>
        <w:jc w:val="both"/>
      </w:pPr>
      <w:r w:rsidRPr="001E4102">
        <w:t xml:space="preserve">(To the extent that </w:t>
      </w:r>
      <w:r w:rsidRPr="001E4102">
        <w:rPr>
          <w:i/>
        </w:rPr>
        <w:t xml:space="preserve">Miller </w:t>
      </w:r>
      <w:r w:rsidRPr="001E4102">
        <w:t xml:space="preserve">contemplated the use of the </w:t>
      </w:r>
      <w:r w:rsidRPr="001E4102">
        <w:rPr>
          <w:i/>
        </w:rPr>
        <w:t xml:space="preserve">Price Waterhouse </w:t>
      </w:r>
      <w:r w:rsidRPr="001E4102">
        <w:t xml:space="preserve">framework for ADEA claims, it has been overruled by </w:t>
      </w:r>
      <w:r w:rsidRPr="001E4102">
        <w:rPr>
          <w:i/>
        </w:rPr>
        <w:t>Gross v. FBL Financial Services, Inc.</w:t>
      </w:r>
      <w:r w:rsidRPr="001E4102">
        <w:t>, 129 S. Ct. 2343 (2009).  For a discussion of mixed-motive claims under the FMLA, see Comment 10.1.2.)</w:t>
      </w:r>
    </w:p>
    <w:p w14:paraId="1FC1960D" w14:textId="77777777"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1E4102">
        <w:t>decisionmaking</w:t>
      </w:r>
      <w:proofErr w:type="spellEnd"/>
      <w:r w:rsidRPr="001E4102">
        <w:t xml:space="preserve"> process and that it had a determinative effect on the outcome of that process.” </w:t>
      </w:r>
      <w:r w:rsidRPr="001E4102">
        <w:rPr>
          <w:i/>
        </w:rPr>
        <w:t xml:space="preserve">See </w:t>
      </w:r>
      <w:proofErr w:type="spellStart"/>
      <w:r w:rsidRPr="001E4102">
        <w:rPr>
          <w:i/>
        </w:rPr>
        <w:t>Alifano</w:t>
      </w:r>
      <w:proofErr w:type="spellEnd"/>
      <w:r w:rsidRPr="001E4102">
        <w:rPr>
          <w:i/>
        </w:rPr>
        <w:t xml:space="preserve"> v. Merck &amp; Co., Inc</w:t>
      </w:r>
      <w:r w:rsidRPr="001E4102">
        <w:t>., 175 F. Supp.2d 792, 794 (</w:t>
      </w:r>
      <w:proofErr w:type="spellStart"/>
      <w:r w:rsidRPr="001E4102">
        <w:t>E.D.Pa</w:t>
      </w:r>
      <w:proofErr w:type="spellEnd"/>
      <w:r w:rsidRPr="001E4102">
        <w:t xml:space="preserve">. 2001) (applying the </w:t>
      </w:r>
      <w:r w:rsidRPr="001E4102">
        <w:rPr>
          <w:i/>
        </w:rPr>
        <w:t xml:space="preserve">McDonnell-Douglas </w:t>
      </w:r>
      <w:r w:rsidRPr="001E4102">
        <w:t xml:space="preserve">analysis to an FMLA claim). </w:t>
      </w:r>
    </w:p>
    <w:p w14:paraId="60A637AE" w14:textId="7C6EE7B4" w:rsidR="006154EC" w:rsidRPr="001E4102" w:rsidRDefault="006154EC" w:rsidP="009C6F31">
      <w:pPr>
        <w:spacing w:after="240"/>
        <w:jc w:val="both"/>
      </w:pPr>
      <w:r w:rsidRPr="001E4102">
        <w:tab/>
        <w:t>If the plaintiff establishes a prima facie case of discrimination,</w:t>
      </w:r>
      <w:r w:rsidR="00B57782" w:rsidRPr="001E4102">
        <w:rPr>
          <w:rStyle w:val="FootnoteReference"/>
        </w:rPr>
        <w:footnoteReference w:id="20"/>
      </w:r>
      <w:r w:rsidRPr="001E4102">
        <w:t xml:space="preserve"> the burden shifts to the defendant to produce evidence of a legitimate nondiscriminatory reason for the challenged </w:t>
      </w:r>
      <w:r w:rsidRPr="001E4102">
        <w:lastRenderedPageBreak/>
        <w:t xml:space="preserve">employment action. </w:t>
      </w:r>
      <w:proofErr w:type="gramStart"/>
      <w:r w:rsidRPr="001E4102">
        <w:rPr>
          <w:i/>
        </w:rPr>
        <w:t>See</w:t>
      </w:r>
      <w:r w:rsidRPr="001E4102">
        <w:t xml:space="preserve"> </w:t>
      </w:r>
      <w:r w:rsidRPr="001E4102">
        <w:rPr>
          <w:i/>
        </w:rPr>
        <w:t>St. Mary's Honor Center v. Hicks</w:t>
      </w:r>
      <w:r w:rsidRPr="001E4102">
        <w:t>, 509 U.S. 502, 506-07 (1993).</w:t>
      </w:r>
      <w:proofErr w:type="gramEnd"/>
      <w:r w:rsidRPr="001E4102">
        <w:t xml:space="preserve">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proofErr w:type="gramStart"/>
      <w:r w:rsidRPr="001E4102">
        <w:rPr>
          <w:i/>
        </w:rPr>
        <w:t xml:space="preserve">Texas Dept. of Community Affairs v. </w:t>
      </w:r>
      <w:proofErr w:type="spellStart"/>
      <w:r w:rsidRPr="001E4102">
        <w:rPr>
          <w:i/>
        </w:rPr>
        <w:t>Burdine</w:t>
      </w:r>
      <w:proofErr w:type="spellEnd"/>
      <w:r w:rsidRPr="001E4102">
        <w:rPr>
          <w:i/>
        </w:rPr>
        <w:t xml:space="preserve">, </w:t>
      </w:r>
      <w:r w:rsidRPr="001E4102">
        <w:t>450 U.S. 248, 253 (1981).</w:t>
      </w:r>
      <w:proofErr w:type="gramEnd"/>
      <w:r w:rsidR="00F408ED" w:rsidRPr="001E4102">
        <w:rPr>
          <w:rStyle w:val="FootnoteReference"/>
        </w:rPr>
        <w:footnoteReference w:id="21"/>
      </w:r>
      <w:r w:rsidRPr="001E4102">
        <w:t xml:space="preserve"> The plaintiff retains the ultimate burden of proving intentional discrimination. </w:t>
      </w:r>
      <w:proofErr w:type="spellStart"/>
      <w:r w:rsidRPr="001E4102">
        <w:rPr>
          <w:i/>
        </w:rPr>
        <w:lastRenderedPageBreak/>
        <w:t>Chipolini</w:t>
      </w:r>
      <w:proofErr w:type="spellEnd"/>
      <w:r w:rsidRPr="001E4102">
        <w:rPr>
          <w:i/>
        </w:rPr>
        <w:t xml:space="preserve"> v. Spencer Gifts, Inc., </w:t>
      </w:r>
      <w:r w:rsidRPr="001E4102">
        <w:t xml:space="preserve">814 F.2d 893, 897 (3d Cir. 1987) (en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proofErr w:type="gramStart"/>
      <w:r w:rsidRPr="001E4102">
        <w:rPr>
          <w:i/>
        </w:rPr>
        <w:t xml:space="preserve">Reeves v. Sanderson Plumbing Products, Inc., </w:t>
      </w:r>
      <w:r w:rsidRPr="001E4102">
        <w:t>530 U.S. 133, 147 (2000) (“In appropriate circumstances, the trier of fact can reasonably infer from the falsity of the explanation that the employer is dissembling to cover up a discriminatory purpose.”).</w:t>
      </w:r>
      <w:proofErr w:type="gramEnd"/>
      <w:r w:rsidRPr="001E4102">
        <w:t xml:space="preserve">  The employer’s proffered reason can be shown to be </w:t>
      </w:r>
      <w:proofErr w:type="spellStart"/>
      <w:r w:rsidRPr="001E4102">
        <w:t>pretextual</w:t>
      </w:r>
      <w:proofErr w:type="spellEnd"/>
      <w:r w:rsidRPr="001E4102">
        <w:t xml:space="preserve"> by circumstantial as well as direct evidence. </w:t>
      </w:r>
      <w:proofErr w:type="spellStart"/>
      <w:proofErr w:type="gramStart"/>
      <w:r w:rsidRPr="001E4102">
        <w:rPr>
          <w:i/>
        </w:rPr>
        <w:t>Chipolini</w:t>
      </w:r>
      <w:proofErr w:type="spellEnd"/>
      <w:r w:rsidRPr="001E4102">
        <w:rPr>
          <w:i/>
        </w:rPr>
        <w:t xml:space="preserve"> v. Spencer Gifts, Inc., </w:t>
      </w:r>
      <w:r w:rsidRPr="001E4102">
        <w:t>814 F.2d 893 (3d Cir. 1987) (en banc).</w:t>
      </w:r>
      <w:proofErr w:type="gramEnd"/>
      <w:r w:rsidRPr="001E4102">
        <w:t xml:space="preserv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proofErr w:type="gramStart"/>
      <w:r w:rsidRPr="001E4102">
        <w:rPr>
          <w:i/>
        </w:rPr>
        <w:t xml:space="preserve">Keller v. </w:t>
      </w:r>
      <w:proofErr w:type="spellStart"/>
      <w:r w:rsidRPr="001E4102">
        <w:rPr>
          <w:i/>
        </w:rPr>
        <w:t>Orix</w:t>
      </w:r>
      <w:proofErr w:type="spellEnd"/>
      <w:r w:rsidRPr="001E4102">
        <w:rPr>
          <w:i/>
        </w:rPr>
        <w:t xml:space="preserve"> Credit Alliance, Inc., </w:t>
      </w:r>
      <w:r w:rsidRPr="001E4102">
        <w:t>130 F.3d 1101, 1109 (3d Cir. 1997).</w:t>
      </w:r>
      <w:proofErr w:type="gramEnd"/>
      <w:r w:rsidRPr="001E4102">
        <w:t xml:space="preserve">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6CDB5ED" w:rsidR="00560340" w:rsidRPr="001E4102" w:rsidRDefault="006154EC" w:rsidP="009C6F31">
      <w:pPr>
        <w:spacing w:after="240"/>
        <w:jc w:val="both"/>
      </w:pPr>
      <w:r w:rsidRPr="001E4102">
        <w:rPr>
          <w:i/>
        </w:rPr>
        <w:tab/>
      </w:r>
      <w:r w:rsidRPr="001E4102">
        <w:t xml:space="preserve">For a discussion of the term “serious health condition” </w:t>
      </w:r>
      <w:proofErr w:type="gramStart"/>
      <w:r w:rsidRPr="001E4102">
        <w:t>see</w:t>
      </w:r>
      <w:proofErr w:type="gramEnd"/>
      <w:r w:rsidRPr="001E4102">
        <w:t xml:space="preserve"> the commentary to Instruction 10.0. </w:t>
      </w:r>
    </w:p>
    <w:p w14:paraId="2A5BB4D4" w14:textId="77777777" w:rsidR="00456D9D" w:rsidRPr="001E4102" w:rsidRDefault="00456D9D" w:rsidP="009C6F31">
      <w:pPr>
        <w:spacing w:after="240"/>
        <w:jc w:val="both"/>
        <w:sectPr w:rsidR="00456D9D"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2"/>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3"/>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r>
      <w:proofErr w:type="gramStart"/>
      <w:r w:rsidRPr="001E4102">
        <w:t>Concerning the third element, that of causal connection, that connection may be shown in many ways.</w:t>
      </w:r>
      <w:proofErr w:type="gramEnd"/>
      <w:r w:rsidRPr="001E4102">
        <w:t xml:space="preserve">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proofErr w:type="gramStart"/>
      <w:r w:rsidR="006154EC" w:rsidRPr="001E4102">
        <w:t>has</w:t>
      </w:r>
      <w:proofErr w:type="gramEnd"/>
      <w:r w:rsidR="006154EC" w:rsidRPr="001E4102">
        <w:t xml:space="preserve">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proofErr w:type="gramStart"/>
      <w:r w:rsidR="006154EC" w:rsidRPr="001E4102">
        <w:t>has</w:t>
      </w:r>
      <w:proofErr w:type="gramEnd"/>
      <w:r w:rsidR="006154EC" w:rsidRPr="001E4102">
        <w:t xml:space="preserve"> testified, or is about to testify, in any inquiry or proceeding relating to any right provided under [the FMLA].</w:t>
      </w:r>
    </w:p>
    <w:p w14:paraId="0DAD099E" w14:textId="30726747"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w:t>
      </w:r>
      <w:proofErr w:type="gramStart"/>
      <w:r w:rsidR="00820F46" w:rsidRPr="001E4102">
        <w:t>are</w:t>
      </w:r>
      <w:proofErr w:type="gramEnd"/>
      <w:r w:rsidRPr="001E4102">
        <w:t xml:space="preserve"> also referred to as a “retaliation” </w:t>
      </w:r>
      <w:r w:rsidR="00820F46" w:rsidRPr="001E4102">
        <w:t>claims</w:t>
      </w:r>
      <w:r w:rsidRPr="001E4102">
        <w:t xml:space="preserve">, but </w:t>
      </w:r>
      <w:r w:rsidR="00820F46" w:rsidRPr="001E4102">
        <w:t>those claims seek</w:t>
      </w:r>
      <w:r w:rsidRPr="001E4102">
        <w:t xml:space="preserve"> recovery for the plaintiff’s having exercised the right to unpaid leave. In contrast, the more traditional retaliation claim of subsection (b) is designed to protect those who complain about </w:t>
      </w:r>
      <w:proofErr w:type="gramStart"/>
      <w:r w:rsidRPr="001E4102">
        <w:t>conduct that is illegal under the FMLA,</w:t>
      </w:r>
      <w:r w:rsidRPr="001E4102">
        <w:rPr>
          <w:rStyle w:val="FootnoteReference"/>
        </w:rPr>
        <w:footnoteReference w:id="24"/>
      </w:r>
      <w:r w:rsidRPr="001E4102">
        <w:t xml:space="preserve"> or who participate</w:t>
      </w:r>
      <w:proofErr w:type="gramEnd"/>
      <w:r w:rsidRPr="001E4102">
        <w:t xml:space="preserv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5B0D582C" w:rsidR="006154EC" w:rsidRPr="001E4102" w:rsidRDefault="006154EC" w:rsidP="009C6F31">
      <w:pPr>
        <w:widowControl w:val="0"/>
        <w:spacing w:after="240"/>
        <w:jc w:val="both"/>
      </w:pPr>
      <w:r w:rsidRPr="001E4102">
        <w:tab/>
        <w:t xml:space="preserve">The literal terms of 29 U.S.C. § 2615(b) would appear to limit protected conduct to that </w:t>
      </w:r>
      <w:r w:rsidRPr="001E4102">
        <w:lastRenderedPageBreak/>
        <w:t xml:space="preserve">involved in a formal proceeding — in contrast to the retaliation provisions of other acts (such as Title VII and the ADEA) which protect informal activity in opposition to prohibited practices under the respective statutes, including informal complaints to an employer. </w:t>
      </w:r>
    </w:p>
    <w:p w14:paraId="3489E322" w14:textId="6A757356" w:rsidR="006154EC" w:rsidRPr="001E4102" w:rsidRDefault="006154EC" w:rsidP="009C6F31">
      <w:pPr>
        <w:widowControl w:val="0"/>
        <w:spacing w:after="240"/>
        <w:jc w:val="both"/>
      </w:pPr>
      <w:r w:rsidRPr="001E4102">
        <w:tab/>
        <w:t>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w:t>
      </w:r>
      <w:r w:rsidR="00311C3E" w:rsidRPr="001E4102">
        <w:rPr>
          <w:rStyle w:val="FootnoteReference"/>
        </w:rPr>
        <w:footnoteReference w:id="25"/>
      </w:r>
      <w:r w:rsidRPr="001E4102">
        <w:t xml:space="preserve"> This instruction therefore includes informal complaints as protected activity. See</w:t>
      </w:r>
      <w:r w:rsidRPr="001E4102">
        <w:rPr>
          <w:i/>
        </w:rPr>
        <w:t xml:space="preserve"> </w:t>
      </w:r>
      <w:proofErr w:type="spellStart"/>
      <w:r w:rsidRPr="001E4102">
        <w:rPr>
          <w:i/>
        </w:rPr>
        <w:t>Sabbrese</w:t>
      </w:r>
      <w:proofErr w:type="spellEnd"/>
      <w:r w:rsidRPr="001E4102">
        <w:rPr>
          <w:i/>
        </w:rPr>
        <w:t xml:space="preserve"> v. Lowe’s Home Centers, Inc</w:t>
      </w:r>
      <w:r w:rsidRPr="001E4102">
        <w:t>., 320 F. Supp.2d 311, 324 (</w:t>
      </w:r>
      <w:proofErr w:type="spellStart"/>
      <w:r w:rsidRPr="001E4102">
        <w:t>W.D.Pa</w:t>
      </w:r>
      <w:proofErr w:type="spellEnd"/>
      <w:r w:rsidRPr="001E4102">
        <w:t xml:space="preserve">. 2004) (finding a valid retaliation claim when the plaintiff was discharged after informally complaining to the employer about being disciplined for taking leave). </w:t>
      </w:r>
    </w:p>
    <w:p w14:paraId="7ED1451B" w14:textId="77777777" w:rsidR="00B4511C" w:rsidRPr="001E4102" w:rsidRDefault="00157F9F" w:rsidP="009C6F31">
      <w:pPr>
        <w:spacing w:after="240"/>
        <w:ind w:firstLine="720"/>
        <w:jc w:val="both"/>
      </w:pPr>
      <w:r w:rsidRPr="001E4102">
        <w:t xml:space="preserve">In accord with the retaliation instructions in other Chapters (see, e.g., Instruction 5.1.7 concerning Title VII retaliation claims), Instruction 10.1.4 requires a “reasonable, good faith belief” that an FMLA violation occurred.  The statute itself does not explicitly require reasonableness and good faith.  As of fall 2014,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lastRenderedPageBreak/>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1E4102">
        <w:t>citations</w:t>
      </w:r>
      <w:proofErr w:type="gramEnd"/>
      <w:r w:rsidRPr="001E4102">
        <w:t xml:space="preserve">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proofErr w:type="spellStart"/>
      <w:proofErr w:type="gramStart"/>
      <w:r w:rsidRPr="001E4102">
        <w:rPr>
          <w:i/>
        </w:rPr>
        <w:t>Oncale</w:t>
      </w:r>
      <w:proofErr w:type="spellEnd"/>
      <w:r w:rsidRPr="001E4102">
        <w:t xml:space="preserve"> v. </w:t>
      </w:r>
      <w:r w:rsidRPr="001E4102">
        <w:rPr>
          <w:i/>
        </w:rPr>
        <w:t>Sundowner Offshore Services, Inc.,</w:t>
      </w:r>
      <w:r w:rsidRPr="001E4102">
        <w:t xml:space="preserve"> 523 U.S. 75, 80, 118 S. Ct. 998, 140 L. Ed. 2d 201 (1998).</w:t>
      </w:r>
      <w:proofErr w:type="gramEnd"/>
      <w:r w:rsidRPr="001E4102">
        <w:t xml:space="preserve"> An employee's decision to report discriminatory behavior cannot immunize that employee from those petty slights or minor annoyances that often take place at work and that all employees experience. See 1 B. </w:t>
      </w:r>
      <w:proofErr w:type="spellStart"/>
      <w:r w:rsidRPr="001E4102">
        <w:t>Lindemann</w:t>
      </w:r>
      <w:proofErr w:type="spellEnd"/>
      <w:r w:rsidRPr="001E4102">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w:t>
      </w:r>
      <w:proofErr w:type="gramStart"/>
      <w:r w:rsidRPr="001E4102">
        <w:t xml:space="preserve">See, </w:t>
      </w:r>
      <w:r w:rsidRPr="001E4102">
        <w:rPr>
          <w:i/>
        </w:rPr>
        <w:t>e.g.</w:t>
      </w:r>
      <w:r w:rsidRPr="001E4102">
        <w:t>, [</w:t>
      </w:r>
      <w:r w:rsidRPr="001E4102">
        <w:rPr>
          <w:i/>
        </w:rPr>
        <w:t>Pennsylvania State Police v</w:t>
      </w:r>
      <w:r w:rsidR="00C51829" w:rsidRPr="001E4102">
        <w:rPr>
          <w:i/>
        </w:rPr>
        <w:t>.</w:t>
      </w:r>
      <w:r w:rsidR="00127A0C" w:rsidRPr="001E4102">
        <w:t>]</w:t>
      </w:r>
      <w:proofErr w:type="gramEnd"/>
      <w:r w:rsidRPr="001E4102">
        <w:t xml:space="preserve"> </w:t>
      </w:r>
      <w:proofErr w:type="spellStart"/>
      <w:proofErr w:type="gramStart"/>
      <w:r w:rsidRPr="001E4102">
        <w:rPr>
          <w:i/>
        </w:rPr>
        <w:t>Suders</w:t>
      </w:r>
      <w:proofErr w:type="spellEnd"/>
      <w:r w:rsidRPr="001E4102">
        <w:rPr>
          <w:i/>
        </w:rPr>
        <w:t>,</w:t>
      </w:r>
      <w:r w:rsidRPr="001E4102">
        <w:t xml:space="preserve"> 542 U.S., at 141, 124 S. Ct. 2342, 159 L. Ed. 2d 204 (constructive discharge doctrine); </w:t>
      </w:r>
      <w:r w:rsidRPr="001E4102">
        <w:rPr>
          <w:i/>
        </w:rPr>
        <w:t>Harris</w:t>
      </w:r>
      <w:r w:rsidRPr="001E4102">
        <w:t xml:space="preserve"> v. </w:t>
      </w:r>
      <w:r w:rsidRPr="001E4102">
        <w:rPr>
          <w:i/>
        </w:rPr>
        <w:t>Forklift Systems, Inc.,</w:t>
      </w:r>
      <w:r w:rsidRPr="001E4102">
        <w:t xml:space="preserve"> 510 U.S. 17, 21, 114 S. Ct. 367, 126 L. Ed. 2d 295 (1993) (hostile work environment doctrine).</w:t>
      </w:r>
      <w:proofErr w:type="gramEnd"/>
    </w:p>
    <w:p w14:paraId="542DF939" w14:textId="6C9E8E7E" w:rsidR="006154EC" w:rsidRPr="001E4102" w:rsidRDefault="006154EC" w:rsidP="009C6F31">
      <w:pPr>
        <w:widowControl w:val="0"/>
        <w:spacing w:after="240"/>
        <w:ind w:left="720"/>
        <w:jc w:val="both"/>
      </w:pPr>
      <w:r w:rsidRPr="001E4102">
        <w:tab/>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1E4102">
        <w:t>to</w:t>
      </w:r>
      <w:proofErr w:type="gramEnd"/>
      <w:r w:rsidRPr="001E4102">
        <w:t xml:space="preserve"> many workers, but may matter enormously to a young mother with school age children. A supervisor's refusal to invite an employee to lunch is normally trivial, a </w:t>
      </w:r>
      <w:proofErr w:type="spellStart"/>
      <w:r w:rsidRPr="001E4102">
        <w:t>nonactionable</w:t>
      </w:r>
      <w:proofErr w:type="spellEnd"/>
      <w:r w:rsidRPr="001E4102">
        <w:t xml:space="preserv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w:t>
      </w:r>
      <w:r w:rsidRPr="001E4102">
        <w:lastRenderedPageBreak/>
        <w:t>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26"/>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27"/>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lastRenderedPageBreak/>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proofErr w:type="spellStart"/>
      <w:proofErr w:type="gramStart"/>
      <w:r w:rsidR="00127A0C" w:rsidRPr="001E4102">
        <w:t>discriminat</w:t>
      </w:r>
      <w:proofErr w:type="spellEnd"/>
      <w:r w:rsidRPr="001E4102">
        <w:t>[</w:t>
      </w:r>
      <w:proofErr w:type="gramEnd"/>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 xml:space="preserve">See, e.g., Nelson v. </w:t>
      </w:r>
      <w:proofErr w:type="spellStart"/>
      <w:r w:rsidR="006154EC" w:rsidRPr="001E4102">
        <w:rPr>
          <w:i/>
        </w:rPr>
        <w:t>Upsala</w:t>
      </w:r>
      <w:proofErr w:type="spellEnd"/>
      <w:r w:rsidR="006154EC" w:rsidRPr="001E4102">
        <w:rPr>
          <w:i/>
        </w:rPr>
        <w:t xml:space="preserve">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 xml:space="preserve">Lloyd v. Wyoming Valley Health Care </w:t>
      </w:r>
      <w:proofErr w:type="gramStart"/>
      <w:r w:rsidRPr="001E4102">
        <w:rPr>
          <w:i/>
        </w:rPr>
        <w:t>Sys</w:t>
      </w:r>
      <w:r w:rsidRPr="001E4102">
        <w:t>.,</w:t>
      </w:r>
      <w:proofErr w:type="gramEnd"/>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 xml:space="preserve">See Univ. of Tex. Sw. Med. Ctr. v. </w:t>
      </w:r>
      <w:proofErr w:type="spellStart"/>
      <w:r w:rsidRPr="001E4102">
        <w:rPr>
          <w:i/>
        </w:rPr>
        <w:t>Nassar</w:t>
      </w:r>
      <w:proofErr w:type="spellEnd"/>
      <w:r w:rsidRPr="001E4102">
        <w:t xml:space="preserve">, 133 S. Ct. 2517, 2533 (2013) (“Title VII retaliation claims must be proved according to traditional principles of but-for causation, not the lessened causation test stated in [42 U.S.C.] </w:t>
      </w:r>
      <w:proofErr w:type="gramStart"/>
      <w:r w:rsidRPr="001E4102">
        <w:t>§ 2000e–2(m).</w:t>
      </w:r>
      <w:proofErr w:type="gramEnd"/>
      <w:r w:rsidRPr="001E4102">
        <w:t xml:space="preserve"> This requires proof that the unlawful retaliation would not have occurred in the absence of the alleged wrongful action or actions of the employer.”).  The </w:t>
      </w:r>
      <w:proofErr w:type="spellStart"/>
      <w:r w:rsidRPr="001E4102">
        <w:rPr>
          <w:i/>
        </w:rPr>
        <w:t>Nassar</w:t>
      </w:r>
      <w:proofErr w:type="spellEnd"/>
      <w:r w:rsidRPr="001E4102">
        <w:t xml:space="preserve"> Court reasoned that Congress legislated against a background tort principle of “but for” causation, </w:t>
      </w:r>
      <w:r w:rsidRPr="001E4102">
        <w:rPr>
          <w:i/>
        </w:rPr>
        <w:t xml:space="preserve">see </w:t>
      </w:r>
      <w:proofErr w:type="spellStart"/>
      <w:r w:rsidRPr="001E4102">
        <w:rPr>
          <w:i/>
        </w:rPr>
        <w:t>Nassar</w:t>
      </w:r>
      <w:proofErr w:type="spellEnd"/>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w:t>
      </w:r>
      <w:proofErr w:type="gramStart"/>
      <w:r w:rsidRPr="001E4102">
        <w:t>at</w:t>
      </w:r>
      <w:proofErr w:type="gramEnd"/>
      <w:r w:rsidRPr="001E4102">
        <w:t xml:space="preserve">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w:t>
      </w:r>
      <w:proofErr w:type="gramStart"/>
      <w:r w:rsidRPr="001E4102">
        <w:t>at</w:t>
      </w:r>
      <w:proofErr w:type="gramEnd"/>
      <w:r w:rsidRPr="001E4102">
        <w:t xml:space="preserve"> 2534.</w:t>
      </w:r>
    </w:p>
    <w:p w14:paraId="24955B17" w14:textId="77777777" w:rsidR="00127A0C" w:rsidRPr="001E4102" w:rsidRDefault="003E6682" w:rsidP="009C6F31">
      <w:pPr>
        <w:spacing w:after="240"/>
        <w:ind w:firstLine="720"/>
        <w:jc w:val="both"/>
      </w:pPr>
      <w:r w:rsidRPr="001E4102">
        <w:lastRenderedPageBreak/>
        <w:t xml:space="preserve">In light of </w:t>
      </w:r>
      <w:proofErr w:type="spellStart"/>
      <w:r w:rsidRPr="001E4102">
        <w:rPr>
          <w:i/>
        </w:rPr>
        <w:t>Nassar</w:t>
      </w:r>
      <w:proofErr w:type="spellEnd"/>
      <w:r w:rsidRPr="001E4102">
        <w:t xml:space="preserve"> and </w:t>
      </w:r>
      <w:r w:rsidRPr="001E4102">
        <w:rPr>
          <w:i/>
        </w:rPr>
        <w:t>Gross v. FBL Financial Services, Inc.</w:t>
      </w:r>
      <w:r w:rsidRPr="001E4102">
        <w:t>, 557 U.S. 167 (2009),</w:t>
      </w:r>
      <w:r w:rsidRPr="001E4102">
        <w:rPr>
          <w:rStyle w:val="FootnoteReference"/>
        </w:rPr>
        <w:footnoteReference w:id="28"/>
      </w:r>
      <w:r w:rsidRPr="001E4102">
        <w:t xml:space="preserve"> it</w:t>
      </w:r>
      <w:r w:rsidR="00127A0C" w:rsidRPr="001E4102">
        <w:t xml:space="preserve"> is unclear whether a mixed</w:t>
      </w:r>
      <w:r w:rsidR="00127A0C" w:rsidRPr="001E4102">
        <w:noBreakHyphen/>
        <w:t xml:space="preserve">motive framework can appropriately apply to FMLA retaliation claims under Section 2615(b).  </w:t>
      </w:r>
    </w:p>
    <w:p w14:paraId="2452427C" w14:textId="77777777" w:rsidR="006154EC" w:rsidRPr="001E4102" w:rsidRDefault="006154EC" w:rsidP="009C6F31">
      <w:pPr>
        <w:widowControl w:val="0"/>
        <w:spacing w:after="240"/>
        <w:jc w:val="both"/>
      </w:pPr>
      <w:r w:rsidRPr="001E4102">
        <w:rPr>
          <w:i/>
        </w:rPr>
        <w:t>Timing</w:t>
      </w:r>
    </w:p>
    <w:p w14:paraId="02CD5E06" w14:textId="404A67BC"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 xml:space="preserve">see, e.g., </w:t>
      </w:r>
      <w:proofErr w:type="spellStart"/>
      <w:r w:rsidRPr="001E4102">
        <w:rPr>
          <w:i/>
        </w:rPr>
        <w:t>Sabbrese</w:t>
      </w:r>
      <w:proofErr w:type="spellEnd"/>
      <w:r w:rsidRPr="001E4102">
        <w:rPr>
          <w:i/>
        </w:rPr>
        <w:t xml:space="preserve"> v. Lowe’s Home Centers, Inc</w:t>
      </w:r>
      <w:r w:rsidRPr="001E4102">
        <w:t>., 320 F. Supp.2d 311, 324 (</w:t>
      </w:r>
      <w:proofErr w:type="spellStart"/>
      <w:r w:rsidRPr="001E4102">
        <w:t>W.D.Pa</w:t>
      </w:r>
      <w:proofErr w:type="spellEnd"/>
      <w:r w:rsidRPr="001E4102">
        <w:t>.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6"/>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4ED2002B" w:rsidR="006154EC" w:rsidRPr="001E4102" w:rsidRDefault="006154EC" w:rsidP="009C6F31">
      <w:pPr>
        <w:widowControl w:val="0"/>
        <w:spacing w:after="240"/>
        <w:jc w:val="both"/>
      </w:pPr>
      <w:r w:rsidRPr="001E4102">
        <w:tab/>
      </w:r>
      <w:proofErr w:type="gramStart"/>
      <w:r w:rsidRPr="001E4102">
        <w:t>[Inpatient</w:t>
      </w:r>
      <w:r w:rsidR="00F62581" w:rsidRPr="001E4102">
        <w:t xml:space="preserve"> </w:t>
      </w:r>
      <w:r w:rsidRPr="001E4102">
        <w:t>care.</w:t>
      </w:r>
      <w:proofErr w:type="gramEnd"/>
      <w:r w:rsidRPr="001E4102">
        <w:t xml:space="preserve">  Inpatient care means an overnight stay in a hospital, hospice, or residential medical care facility, including any period of incapacity (inability to work, attend school or perform other regular daily activities) due to the inpatient care, or any later treatment in connection with the inpatient care];</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 xml:space="preserve">[Incapacity plus treatment, which means a period of incapacity (inability to work, attend school or perform other regular daily activities) of more than three consecutive days, and any later treatment or period of incapacity relating to the same </w:t>
      </w:r>
      <w:proofErr w:type="gramStart"/>
      <w:r w:rsidRPr="001E4102">
        <w:t>condition, that</w:t>
      </w:r>
      <w:proofErr w:type="gramEnd"/>
      <w:r w:rsidRPr="001E4102">
        <w:t xml:space="preserve">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r>
      <w:proofErr w:type="gramStart"/>
      <w:r w:rsidRPr="001E4102">
        <w:t>[A chronic serious health condition.</w:t>
      </w:r>
      <w:proofErr w:type="gramEnd"/>
      <w:r w:rsidRPr="001E4102">
        <w:t xml:space="preserve">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r>
      <w:proofErr w:type="gramStart"/>
      <w:r w:rsidRPr="001E4102">
        <w:t>[A period of incapacity (inability to work, attend school or perform other regular daily activities) which is permanent or long-term due to a condition for which treatment may not be effective.</w:t>
      </w:r>
      <w:proofErr w:type="gramEnd"/>
      <w:r w:rsidRPr="001E4102">
        <w:t xml:space="preser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tab/>
        <w:t>OR</w:t>
      </w:r>
    </w:p>
    <w:p w14:paraId="5D59C1CC" w14:textId="7D017015" w:rsidR="006154EC" w:rsidRPr="001E4102" w:rsidRDefault="006154EC" w:rsidP="009C6F31">
      <w:pPr>
        <w:widowControl w:val="0"/>
        <w:spacing w:after="240"/>
        <w:jc w:val="both"/>
      </w:pPr>
      <w:r w:rsidRPr="001E4102">
        <w:tab/>
        <w:t xml:space="preserve">[Any period of absence to receive multiple treatments (including any period of recovery </w:t>
      </w:r>
      <w:r w:rsidRPr="001E4102">
        <w:lastRenderedPageBreak/>
        <w:t>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77777777" w:rsidR="006154EC" w:rsidRPr="001E4102" w:rsidRDefault="006154EC" w:rsidP="009C6F31">
      <w:pPr>
        <w:widowControl w:val="0"/>
        <w:spacing w:after="240"/>
        <w:jc w:val="both"/>
      </w:pPr>
      <w:r w:rsidRPr="001E4102">
        <w:tab/>
        <w:t>This instruction can be used if the court wishes to provide the jury with more detailed information on what constitutes a serious health condition than that set forth in Instructions 10.1.1-10.1.3.  The definition of “serious health condition” is currently provided by 29 C.F.R. § 825.113.  Although the Committee will endeavor to update this Comment to reflect subsequent changes in the regulations, readers should keep in mind the need to check for any such changes.</w:t>
      </w:r>
    </w:p>
    <w:p w14:paraId="3E39FABF" w14:textId="77777777" w:rsidR="006154EC" w:rsidRPr="001E4102" w:rsidRDefault="006154EC" w:rsidP="009C6F31">
      <w:pPr>
        <w:widowControl w:val="0"/>
        <w:spacing w:after="240"/>
        <w:jc w:val="both"/>
      </w:pPr>
      <w:r w:rsidRPr="001E4102">
        <w:tab/>
        <w:t>The regulations’ definition of “serious health condition” is complicated.  It should not be necessary to charge the jury on the all the intricacies of the regulation, because counsel should be able to reach agreement concerning which details are in dispute.  Accordingly, some portions of Instruction 10.2.1 simply refer to the relevant portions of the regulation, which are set forth in this Comment.</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(3) The requirement in paragraphs (a</w:t>
      </w:r>
      <w:proofErr w:type="gramStart"/>
      <w:r w:rsidRPr="001E4102">
        <w:t>)(</w:t>
      </w:r>
      <w:proofErr w:type="gramEnd"/>
      <w:r w:rsidRPr="001E4102">
        <w:t xml:space="preserve">1) and (2) of this section for </w:t>
      </w:r>
      <w:r w:rsidRPr="001E4102">
        <w:lastRenderedPageBreak/>
        <w:t xml:space="preserve">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6722A5C" w:rsidR="006154EC" w:rsidRPr="001E4102" w:rsidRDefault="006154EC" w:rsidP="009C6F31">
      <w:pPr>
        <w:widowControl w:val="0"/>
        <w:spacing w:after="240"/>
        <w:ind w:left="1440"/>
        <w:jc w:val="both"/>
      </w:pPr>
      <w:r w:rsidRPr="001E4102">
        <w:tab/>
        <w:t>(5) The term “extenuating circumstances” in paragraph (a</w:t>
      </w:r>
      <w:proofErr w:type="gramStart"/>
      <w:r w:rsidRPr="001E4102">
        <w:t>)(</w:t>
      </w:r>
      <w:proofErr w:type="gramEnd"/>
      <w:r w:rsidRPr="001E4102">
        <w:t>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“an employee may satisfy her burden of proving three days of incapacitation through a combination of expert medical and lay testimony.”  </w:t>
      </w:r>
      <w:proofErr w:type="spellStart"/>
      <w:proofErr w:type="gramStart"/>
      <w:r w:rsidRPr="001E4102">
        <w:rPr>
          <w:i/>
        </w:rPr>
        <w:t>Schaar</w:t>
      </w:r>
      <w:proofErr w:type="spellEnd"/>
      <w:r w:rsidRPr="001E4102">
        <w:rPr>
          <w:i/>
        </w:rPr>
        <w:t xml:space="preserve"> v. Lehigh Valley Health Services, Inc.</w:t>
      </w:r>
      <w:r w:rsidRPr="001E4102">
        <w:t>, 598 F.3d 156, 161 (3d Cir. 2010).</w:t>
      </w:r>
      <w:proofErr w:type="gramEnd"/>
      <w:r w:rsidRPr="001E4102">
        <w:t xml:space="preserve">  The Committee has not attempted to determine whether the </w:t>
      </w:r>
      <w:proofErr w:type="spellStart"/>
      <w:r w:rsidRPr="001E4102">
        <w:rPr>
          <w:i/>
        </w:rPr>
        <w:t>Schaar</w:t>
      </w:r>
      <w:proofErr w:type="spellEnd"/>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 xml:space="preserve">(c) Chronic conditions. </w:t>
      </w:r>
      <w:proofErr w:type="gramStart"/>
      <w:r w:rsidRPr="001E4102">
        <w:t>Any period of incapacity or treatment for such incapacity due to a chronic serious health condition.</w:t>
      </w:r>
      <w:proofErr w:type="gramEnd"/>
      <w:r w:rsidRPr="001E4102">
        <w:t xml:space="preserve">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lastRenderedPageBreak/>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 xml:space="preserve">(A) </w:t>
      </w:r>
      <w:proofErr w:type="gramStart"/>
      <w:r w:rsidRPr="001E4102">
        <w:t>a</w:t>
      </w:r>
      <w:proofErr w:type="gramEnd"/>
      <w:r w:rsidRPr="001E4102">
        <w:t xml:space="preserve">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 xml:space="preserve">(B) </w:t>
      </w:r>
      <w:proofErr w:type="gramStart"/>
      <w:r w:rsidRPr="001E4102">
        <w:t>any</w:t>
      </w:r>
      <w:proofErr w:type="gramEnd"/>
      <w:r w:rsidRPr="001E4102">
        <w:t xml:space="preserve">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40354FE3" w:rsidR="00AB03C3" w:rsidRPr="001E4102" w:rsidRDefault="006154EC" w:rsidP="009C6F31">
      <w:pPr>
        <w:widowControl w:val="0"/>
        <w:spacing w:after="240"/>
        <w:jc w:val="both"/>
      </w:pPr>
      <w:r w:rsidRPr="001E4102">
        <w:tab/>
        <w:t xml:space="preserve">For case law in the Third Circuit construing the term “serious health condition”, </w:t>
      </w:r>
      <w:r w:rsidRPr="001E4102">
        <w:rPr>
          <w:i/>
        </w:rPr>
        <w:t xml:space="preserve">see, e.g., </w:t>
      </w:r>
      <w:proofErr w:type="spellStart"/>
      <w:r w:rsidRPr="001E4102">
        <w:rPr>
          <w:i/>
        </w:rPr>
        <w:t>Victorelli</w:t>
      </w:r>
      <w:proofErr w:type="spellEnd"/>
      <w:r w:rsidRPr="001E4102">
        <w:rPr>
          <w:i/>
        </w:rPr>
        <w:t xml:space="preserve"> v. Shadyside Hospital,</w:t>
      </w:r>
      <w:r w:rsidRPr="001E4102">
        <w:t xml:space="preserve"> 128 F.3d 184, 190 (3d Cir. 1997)(“A factfinder may be able reasonably to find that </w:t>
      </w:r>
      <w:proofErr w:type="spellStart"/>
      <w:r w:rsidRPr="001E4102">
        <w:t>Victorelli</w:t>
      </w:r>
      <w:proofErr w:type="spellEnd"/>
      <w:r w:rsidRPr="001E4102">
        <w:t xml:space="preserve"> suffers from something more severe than a ‘minor ulcer’ and as such is entitled to FMLA protection.”); </w:t>
      </w:r>
      <w:r w:rsidRPr="001E4102">
        <w:rPr>
          <w:i/>
        </w:rPr>
        <w:t>Marrero v. Camden County Board of Social Services</w:t>
      </w:r>
      <w:r w:rsidRPr="001E4102">
        <w:t>, 164 F. Supp.2d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7"/>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48CF902E"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 xml:space="preserve">see </w:t>
      </w:r>
      <w:proofErr w:type="spellStart"/>
      <w:r w:rsidRPr="001E4102">
        <w:rPr>
          <w:i/>
        </w:rPr>
        <w:t>Oby</w:t>
      </w:r>
      <w:proofErr w:type="spellEnd"/>
      <w:r w:rsidRPr="001E4102">
        <w:rPr>
          <w:i/>
        </w:rPr>
        <w:t xml:space="preserve"> v. Baton Rouge Marriott</w:t>
      </w:r>
      <w:r w:rsidRPr="001E4102">
        <w:t>, 329 F. Supp.2d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8"/>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 xml:space="preserve">Your verdict must be for [defendant] if [defendant] proves all </w:t>
      </w:r>
      <w:proofErr w:type="gramStart"/>
      <w:r w:rsidRPr="001E4102">
        <w:t>of  the</w:t>
      </w:r>
      <w:proofErr w:type="gramEnd"/>
      <w:r w:rsidRPr="001E4102">
        <w:t xml:space="preserv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w:t>
      </w:r>
      <w:proofErr w:type="gramStart"/>
      <w:r w:rsidRPr="001E4102">
        <w:t>such</w:t>
      </w:r>
      <w:proofErr w:type="gramEnd"/>
      <w:r w:rsidRPr="001E4102">
        <w:t xml:space="preserve">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 xml:space="preserve">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w:t>
      </w:r>
      <w:proofErr w:type="gramStart"/>
      <w:r w:rsidRPr="001E4102">
        <w:t>29 C.F.R. § 825.218(c).</w:t>
      </w:r>
      <w:proofErr w:type="gramEnd"/>
    </w:p>
    <w:p w14:paraId="77531FA2" w14:textId="77777777"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 xml:space="preserve">see </w:t>
      </w:r>
      <w:proofErr w:type="spellStart"/>
      <w:r w:rsidRPr="001E4102">
        <w:rPr>
          <w:i/>
        </w:rPr>
        <w:t>Oby</w:t>
      </w:r>
      <w:proofErr w:type="spellEnd"/>
      <w:r w:rsidRPr="001E4102">
        <w:rPr>
          <w:i/>
        </w:rPr>
        <w:t xml:space="preserve"> v. Baton Rouge Marriott</w:t>
      </w:r>
      <w:r w:rsidRPr="001E4102">
        <w:t>, 329 F. Supp.2d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w:t>
      </w:r>
      <w:r w:rsidRPr="001E4102">
        <w:lastRenderedPageBreak/>
        <w:t>this reliance, plaintiff was the third highest paid employee at the facility. When plaintiff 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9"/>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w:t>
      </w:r>
      <w:proofErr w:type="gramStart"/>
      <w:r w:rsidRPr="001E4102">
        <w:t>then</w:t>
      </w:r>
      <w:proofErr w:type="gramEnd"/>
      <w:r w:rsidRPr="001E4102">
        <w:t xml:space="preserve">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w:t>
      </w:r>
      <w:r w:rsidRPr="001E4102">
        <w:lastRenderedPageBreak/>
        <w:t>[describe the after-discovered misconduct], [defendant] would have made the decision at that point had it not been made previously.</w:t>
      </w:r>
    </w:p>
    <w:p w14:paraId="48C1A1EC" w14:textId="2280E71F" w:rsidR="006154EC" w:rsidRPr="001E4102" w:rsidRDefault="006154EC" w:rsidP="009C6F31">
      <w:pPr>
        <w:widowControl w:val="0"/>
        <w:spacing w:after="240"/>
        <w:jc w:val="both"/>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95E4F37" w:rsidR="006154EC" w:rsidRPr="001E4102" w:rsidRDefault="006154EC" w:rsidP="009C6F31">
      <w:pPr>
        <w:widowControl w:val="0"/>
        <w:spacing w:after="240"/>
        <w:jc w:val="both"/>
      </w:pPr>
      <w:r w:rsidRPr="001E4102">
        <w:tab/>
        <w:t xml:space="preserve">“[T]he accrual period for </w:t>
      </w:r>
      <w:proofErr w:type="spellStart"/>
      <w:r w:rsidRPr="001E4102">
        <w:t>backpay</w:t>
      </w:r>
      <w:proofErr w:type="spellEnd"/>
      <w:r w:rsidRPr="001E4102">
        <w:t xml:space="preserve"> [under the FMLA] is limited by the Act's 2-year statute of limitations (extended to three years only for willful violations), §§ 2617(c</w:t>
      </w:r>
      <w:proofErr w:type="gramStart"/>
      <w:r w:rsidRPr="001E4102">
        <w:t>)(</w:t>
      </w:r>
      <w:proofErr w:type="gramEnd"/>
      <w:r w:rsidRPr="001E4102">
        <w:t xml:space="preserve">1) and (2).”  </w:t>
      </w:r>
      <w:proofErr w:type="gramStart"/>
      <w:r w:rsidRPr="001E4102">
        <w:rPr>
          <w:i/>
        </w:rPr>
        <w:t xml:space="preserve">Nevada Dept. of Human Resources v. </w:t>
      </w:r>
      <w:proofErr w:type="spellStart"/>
      <w:r w:rsidRPr="001E4102">
        <w:rPr>
          <w:i/>
        </w:rPr>
        <w:t>Hibbs</w:t>
      </w:r>
      <w:proofErr w:type="spellEnd"/>
      <w:r w:rsidRPr="001E4102">
        <w:t>, 538 U.S. 721, 740 (2003).</w:t>
      </w:r>
      <w:proofErr w:type="gramEnd"/>
      <w:r w:rsidRPr="001E4102">
        <w:t xml:space="preserve">  As the </w:t>
      </w:r>
      <w:proofErr w:type="spellStart"/>
      <w:r w:rsidRPr="001E4102">
        <w:rPr>
          <w:i/>
        </w:rPr>
        <w:t>Hibbs</w:t>
      </w:r>
      <w:proofErr w:type="spellEnd"/>
      <w:r w:rsidRPr="001E4102">
        <w:rPr>
          <w:i/>
        </w:rPr>
        <w:t xml:space="preserve"> </w:t>
      </w:r>
      <w:r w:rsidRPr="001E4102">
        <w:t>Court noted, the statute of limitations for recovery under the FMLA is two years, but it is extended to three years if the employer’s violation was willful. 26 U.S.C. § 2617(c</w:t>
      </w:r>
      <w:proofErr w:type="gramStart"/>
      <w:r w:rsidRPr="001E4102">
        <w:t>)(</w:t>
      </w:r>
      <w:proofErr w:type="gramEnd"/>
      <w:r w:rsidRPr="001E4102">
        <w:t xml:space="preserve">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2617(a</w:t>
      </w:r>
      <w:proofErr w:type="gramStart"/>
      <w:r w:rsidRPr="001E4102">
        <w:t>)(</w:t>
      </w:r>
      <w:proofErr w:type="gramEnd"/>
      <w:r w:rsidRPr="001E4102">
        <w:t xml:space="preserve">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 xml:space="preserve">(A) </w:t>
      </w:r>
      <w:proofErr w:type="gramStart"/>
      <w:r w:rsidRPr="001E4102">
        <w:t>for</w:t>
      </w:r>
      <w:proofErr w:type="gramEnd"/>
      <w:r w:rsidRPr="001E4102">
        <w:t xml:space="preserve"> damages equal to</w:t>
      </w:r>
      <w:r w:rsidR="00CD1ABC" w:rsidRPr="001E4102">
        <w:t>—</w:t>
      </w:r>
    </w:p>
    <w:p w14:paraId="1E3267F7" w14:textId="532387FE" w:rsidR="00CD1ABC" w:rsidRPr="001E4102" w:rsidRDefault="006154EC" w:rsidP="00CD1ABC">
      <w:pPr>
        <w:widowControl w:val="0"/>
        <w:spacing w:after="240"/>
        <w:ind w:left="2160"/>
        <w:jc w:val="both"/>
      </w:pPr>
      <w:r w:rsidRPr="001E4102">
        <w:t xml:space="preserve">(i) </w:t>
      </w:r>
      <w:proofErr w:type="gramStart"/>
      <w:r w:rsidRPr="001E4102">
        <w:t>the</w:t>
      </w:r>
      <w:proofErr w:type="gramEnd"/>
      <w:r w:rsidRPr="001E4102">
        <w:t xml:space="preserv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w:t>
      </w:r>
      <w:r w:rsidRPr="001E4102">
        <w:lastRenderedPageBreak/>
        <w:t>equal to 12 weeks (or 26 weeks, in a case involving leave under section 2612(a</w:t>
      </w:r>
      <w:proofErr w:type="gramStart"/>
      <w:r w:rsidRPr="001E4102">
        <w:t>)(</w:t>
      </w:r>
      <w:proofErr w:type="gramEnd"/>
      <w:r w:rsidRPr="001E4102">
        <w:t>3) of this title) of wages or salary for the employee;</w:t>
      </w:r>
    </w:p>
    <w:p w14:paraId="2ADA5262" w14:textId="77777777" w:rsidR="00613CDE" w:rsidRPr="001E4102" w:rsidRDefault="006154EC" w:rsidP="00613CDE">
      <w:pPr>
        <w:widowControl w:val="0"/>
        <w:spacing w:after="240"/>
        <w:ind w:left="2160"/>
        <w:jc w:val="both"/>
      </w:pPr>
      <w:r w:rsidRPr="001E4102">
        <w:t xml:space="preserve">(ii) </w:t>
      </w:r>
      <w:proofErr w:type="gramStart"/>
      <w:r w:rsidRPr="001E4102">
        <w:t>the</w:t>
      </w:r>
      <w:proofErr w:type="gramEnd"/>
      <w:r w:rsidRPr="001E4102">
        <w:t xml:space="preserv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w:t>
      </w:r>
      <w:proofErr w:type="gramStart"/>
      <w:r w:rsidRPr="001E4102">
        <w:t>)(</w:t>
      </w:r>
      <w:proofErr w:type="gramEnd"/>
      <w:r w:rsidRPr="001E4102">
        <w:t>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1E4102">
        <w:rPr>
          <w:i/>
        </w:rPr>
        <w:t>Id.</w:t>
      </w:r>
      <w:r w:rsidRPr="001E4102">
        <w:t xml:space="preserve"> at 656-57.</w:t>
      </w:r>
      <w:proofErr w:type="gramEnd"/>
      <w:r w:rsidRPr="001E4102">
        <w:t xml:space="preserve">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proofErr w:type="gramStart"/>
      <w:r w:rsidRPr="001E4102">
        <w:rPr>
          <w:i/>
        </w:rPr>
        <w:t>Id.</w:t>
      </w:r>
      <w:r w:rsidRPr="001E4102">
        <w:t xml:space="preserve"> at 657.</w:t>
      </w:r>
      <w:proofErr w:type="gramEnd"/>
      <w:r w:rsidRPr="001E4102">
        <w:t xml:space="preserve">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w:t>
      </w:r>
      <w:r w:rsidRPr="001E4102">
        <w:lastRenderedPageBreak/>
        <w:t xml:space="preserve">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20"/>
          <w:pgSz w:w="12240" w:h="15840"/>
          <w:pgMar w:top="1920" w:right="1440" w:bottom="1920" w:left="1440" w:header="900" w:footer="1440" w:gutter="0"/>
          <w:lnNumType w:countBy="1" w:distance="576" w:restart="newSection"/>
          <w:cols w:space="720"/>
          <w:docGrid w:linePitch="326"/>
        </w:sectPr>
      </w:pPr>
    </w:p>
    <w:p w14:paraId="0445514C" w14:textId="0C3AC733" w:rsidR="006154EC" w:rsidRPr="001E4102" w:rsidRDefault="006154EC" w:rsidP="009C6F31">
      <w:pPr>
        <w:widowControl w:val="0"/>
        <w:spacing w:after="240"/>
        <w:jc w:val="both"/>
        <w:rPr>
          <w:b/>
          <w:sz w:val="28"/>
        </w:rPr>
      </w:pPr>
      <w:r w:rsidRPr="001E4102">
        <w:rPr>
          <w:b/>
          <w:sz w:val="28"/>
        </w:rPr>
        <w:lastRenderedPageBreak/>
        <w:t>10.4.2    FMLA Damages — Back Pay–</w:t>
      </w:r>
      <w:r w:rsidRPr="001E4102">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w:t>
      </w:r>
      <w:proofErr w:type="gramStart"/>
      <w:r w:rsidRPr="001E4102">
        <w:t>then</w:t>
      </w:r>
      <w:proofErr w:type="gramEnd"/>
      <w:r w:rsidRPr="001E4102">
        <w:t xml:space="preserve">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w:t>
      </w:r>
      <w:r w:rsidRPr="001E4102">
        <w:lastRenderedPageBreak/>
        <w:t>award [plaintiff] the amount of [his/her] lost wages and benefits during the period starting [insert date, 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w:t>
      </w:r>
      <w:proofErr w:type="gramStart"/>
      <w:r w:rsidRPr="001E4102">
        <w:t>then</w:t>
      </w:r>
      <w:proofErr w:type="gramEnd"/>
      <w:r w:rsidRPr="001E4102">
        <w:t xml:space="preserve">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432B8139" w:rsidR="006154EC" w:rsidRPr="001E4102" w:rsidRDefault="006154EC" w:rsidP="009C6F31">
      <w:pPr>
        <w:widowControl w:val="0"/>
        <w:spacing w:after="240"/>
        <w:jc w:val="both"/>
        <w:rPr>
          <w:b/>
        </w:rPr>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w:t>
      </w:r>
      <w:r w:rsidRPr="001E4102">
        <w:lastRenderedPageBreak/>
        <w:t xml:space="preserve">acquired information. </w:t>
      </w:r>
      <w:r w:rsidRPr="001E4102">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77777777" w:rsidR="006154EC" w:rsidRPr="001E4102" w:rsidRDefault="006154EC" w:rsidP="009C6F31">
      <w:pPr>
        <w:widowControl w:val="0"/>
        <w:spacing w:after="240"/>
        <w:jc w:val="both"/>
      </w:pPr>
      <w:r w:rsidRPr="001E4102">
        <w:t>The Family and Medical Leave Act provides recovery for two years of lost wages and benefits if the defendant’s violation was non-willful; it extends the recovery of damages to a third year if the defendant’s violation was willful.  26 U.S.C. § 2617(c</w:t>
      </w:r>
      <w:proofErr w:type="gramStart"/>
      <w:r w:rsidRPr="001E4102">
        <w:t>)(</w:t>
      </w:r>
      <w:proofErr w:type="gramEnd"/>
      <w:r w:rsidRPr="001E4102">
        <w:t xml:space="preserve">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t>
      </w:r>
      <w:proofErr w:type="spellStart"/>
      <w:r w:rsidRPr="001E4102">
        <w:t>wilfulness</w:t>
      </w:r>
      <w:proofErr w:type="spellEnd"/>
      <w:r w:rsidRPr="001E4102">
        <w:t xml:space="preserve">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 xml:space="preserve">(A) </w:t>
      </w:r>
      <w:proofErr w:type="gramStart"/>
      <w:r w:rsidRPr="001E4102">
        <w:t>for</w:t>
      </w:r>
      <w:proofErr w:type="gramEnd"/>
      <w:r w:rsidRPr="001E4102">
        <w:t xml:space="preserve"> damages equal to</w:t>
      </w:r>
      <w:r w:rsidR="004071A0" w:rsidRPr="001E4102">
        <w:t>—</w:t>
      </w:r>
    </w:p>
    <w:p w14:paraId="04B13563" w14:textId="41FCE22A" w:rsidR="004071A0" w:rsidRPr="001E4102" w:rsidRDefault="006154EC" w:rsidP="004071A0">
      <w:pPr>
        <w:widowControl w:val="0"/>
        <w:spacing w:after="240"/>
        <w:ind w:left="2160"/>
        <w:jc w:val="both"/>
      </w:pPr>
      <w:r w:rsidRPr="001E4102">
        <w:t xml:space="preserve">(i) </w:t>
      </w:r>
      <w:proofErr w:type="gramStart"/>
      <w:r w:rsidRPr="001E4102">
        <w:t>the</w:t>
      </w:r>
      <w:proofErr w:type="gramEnd"/>
      <w:r w:rsidRPr="001E4102">
        <w:t xml:space="preserv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w:t>
      </w:r>
      <w:proofErr w:type="gramStart"/>
      <w:r w:rsidRPr="001E4102">
        <w:t>)(</w:t>
      </w:r>
      <w:proofErr w:type="gramEnd"/>
      <w:r w:rsidRPr="001E4102">
        <w:t>3) of this title) of wages or salary for the employee;</w:t>
      </w:r>
    </w:p>
    <w:p w14:paraId="161BECDF" w14:textId="77777777" w:rsidR="004071A0" w:rsidRPr="001E4102" w:rsidRDefault="006154EC" w:rsidP="004071A0">
      <w:pPr>
        <w:widowControl w:val="0"/>
        <w:spacing w:after="240"/>
        <w:ind w:left="2160"/>
        <w:jc w:val="both"/>
      </w:pPr>
      <w:r w:rsidRPr="001E4102">
        <w:t xml:space="preserve">(ii) </w:t>
      </w:r>
      <w:proofErr w:type="gramStart"/>
      <w:r w:rsidRPr="001E4102">
        <w:t>the</w:t>
      </w:r>
      <w:proofErr w:type="gramEnd"/>
      <w:r w:rsidRPr="001E4102">
        <w:t xml:space="preserv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lastRenderedPageBreak/>
        <w:t>(iii) an additional amount as liquidated damages equal to the sum of the amount described in clause (i) and the interest described in clause (ii), except that if an employer . . . proves to the satisfaction of the court that the 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w:t>
      </w:r>
      <w:proofErr w:type="gramStart"/>
      <w:r w:rsidRPr="001E4102">
        <w:t>)(</w:t>
      </w:r>
      <w:proofErr w:type="gramEnd"/>
      <w:r w:rsidRPr="001E4102">
        <w:t>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1E4102">
        <w:rPr>
          <w:i/>
        </w:rPr>
        <w:t>Id.</w:t>
      </w:r>
      <w:r w:rsidRPr="001E4102">
        <w:t xml:space="preserve"> at 656-57.</w:t>
      </w:r>
      <w:proofErr w:type="gramEnd"/>
      <w:r w:rsidRPr="001E4102">
        <w:t xml:space="preserve">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proofErr w:type="gramStart"/>
      <w:r w:rsidRPr="001E4102">
        <w:rPr>
          <w:i/>
        </w:rPr>
        <w:t>Id.</w:t>
      </w:r>
      <w:r w:rsidRPr="001E4102">
        <w:t xml:space="preserve"> at 657.</w:t>
      </w:r>
      <w:proofErr w:type="gramEnd"/>
      <w:r w:rsidRPr="001E4102">
        <w:t xml:space="preserve">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29"/>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w:t>
      </w:r>
      <w:r w:rsidRPr="001E4102">
        <w:lastRenderedPageBreak/>
        <w:t xml:space="preserve">actual monetary losses sustained by the employee as a direct result of the violation, such as the cost of providing care, up to a sum equal to 12 weeks (or 26 weeks, in a case involving leave under section 2612(a)(3) of this title) of wages or salary for the employee [can be recovered by a plaintiff].” </w:t>
      </w:r>
      <w:proofErr w:type="gramStart"/>
      <w:r w:rsidRPr="001E4102">
        <w:t>29 U.S.C. §</w:t>
      </w:r>
      <w:r w:rsidR="00224DBA" w:rsidRPr="001E4102">
        <w:t xml:space="preserve"> </w:t>
      </w:r>
      <w:r w:rsidRPr="001E4102">
        <w:t>2617(a).</w:t>
      </w:r>
      <w:proofErr w:type="gramEnd"/>
      <w:r w:rsidRPr="001E4102">
        <w:t xml:space="preserve">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77777777"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xml:space="preserve">., 994 F. Supp. 288, 291 (M.D. Pa. 1998) (reasoning that “the statute itself by including ‘actual monetary compensation’ as a separate item of damage places a limited definition on ‘other compensation’”;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281 F. Supp.2d 250, 254 (D.D.C. 2003</w:t>
      </w:r>
      <w:proofErr w:type="gramStart"/>
      <w:r w:rsidRPr="001E4102">
        <w:t>) :</w:t>
      </w:r>
      <w:proofErr w:type="gramEnd"/>
      <w:r w:rsidRPr="001E4102">
        <w:t xml:space="preserve">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t>
      </w:r>
      <w:proofErr w:type="gramStart"/>
      <w:r w:rsidRPr="001E4102">
        <w:rPr>
          <w:i/>
        </w:rPr>
        <w:t>Walker v. United Parcel Service, Inc</w:t>
      </w:r>
      <w:r w:rsidRPr="001E4102">
        <w:t>., 240 F.3d 1268, 1277 (10th Cir. 2001).</w:t>
      </w:r>
      <w:proofErr w:type="gramEnd"/>
      <w:r w:rsidRPr="001E4102">
        <w:t xml:space="preserve">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 xml:space="preserve">Keene v. </w:t>
      </w:r>
      <w:proofErr w:type="spellStart"/>
      <w:r w:rsidRPr="001E4102">
        <w:rPr>
          <w:i/>
        </w:rPr>
        <w:t>Rinaldi</w:t>
      </w:r>
      <w:proofErr w:type="spellEnd"/>
      <w:r w:rsidRPr="001E4102">
        <w:t xml:space="preserve">, 127 F. Supp. 2d 770, 772-73 &amp; n.1 (M.D.N.C. 2000), </w:t>
      </w:r>
      <w:proofErr w:type="spellStart"/>
      <w:r w:rsidRPr="001E4102">
        <w:t>aff'd</w:t>
      </w:r>
      <w:proofErr w:type="spellEnd"/>
      <w:r w:rsidRPr="001E4102">
        <w:t>,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1E4102">
        <w:rPr>
          <w:i/>
        </w:rPr>
        <w:t>Id.</w:t>
      </w:r>
      <w:r w:rsidRPr="001E4102">
        <w:t xml:space="preserve"> at 656-57.</w:t>
      </w:r>
      <w:proofErr w:type="gramEnd"/>
      <w:r w:rsidRPr="001E4102">
        <w:t xml:space="preserve">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w:t>
      </w:r>
      <w:r w:rsidRPr="001E4102">
        <w:lastRenderedPageBreak/>
        <w:t xml:space="preserve">error is not plain, for two reasons.”  </w:t>
      </w:r>
      <w:proofErr w:type="gramStart"/>
      <w:r w:rsidRPr="001E4102">
        <w:rPr>
          <w:i/>
        </w:rPr>
        <w:t>Id.</w:t>
      </w:r>
      <w:r w:rsidRPr="001E4102">
        <w:t xml:space="preserve"> at 657.</w:t>
      </w:r>
      <w:proofErr w:type="gramEnd"/>
      <w:r w:rsidRPr="001E4102">
        <w:t xml:space="preserve">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4FDC7722" w:rsidR="006154EC" w:rsidRPr="001E4102" w:rsidRDefault="006154EC" w:rsidP="009C6F31">
      <w:pPr>
        <w:widowControl w:val="0"/>
        <w:spacing w:after="240"/>
        <w:jc w:val="both"/>
      </w:pPr>
      <w:r w:rsidRPr="001E4102">
        <w:tab/>
        <w:t xml:space="preserve">Punitive damages cannot be recovered under the FMLA. </w:t>
      </w:r>
      <w:proofErr w:type="spellStart"/>
      <w:r w:rsidRPr="001E4102">
        <w:rPr>
          <w:i/>
        </w:rPr>
        <w:t>Zawadowicz</w:t>
      </w:r>
      <w:proofErr w:type="spellEnd"/>
      <w:r w:rsidRPr="001E4102">
        <w:rPr>
          <w:i/>
        </w:rPr>
        <w:t xml:space="preserve"> v. CVS Corp</w:t>
      </w:r>
      <w:r w:rsidRPr="001E4102">
        <w:t>., 99 F. Supp.2d 518, 534 (D.N.J. 2000)</w:t>
      </w:r>
      <w:r w:rsidRPr="001E4102">
        <w:rPr>
          <w:i/>
        </w:rPr>
        <w:t xml:space="preserve"> </w:t>
      </w:r>
      <w:r w:rsidRPr="001E4102">
        <w:t>(noting that nothing in the FMLA damages provision,   29 U.S.C. § 2617, authorizes an award of punitive damages)</w:t>
      </w:r>
      <w:r w:rsidRPr="001E4102">
        <w:rPr>
          <w:i/>
        </w:rPr>
        <w:t xml:space="preserve">; </w:t>
      </w:r>
      <w:proofErr w:type="spellStart"/>
      <w:r w:rsidRPr="001E4102">
        <w:rPr>
          <w:i/>
        </w:rPr>
        <w:t>Oby</w:t>
      </w:r>
      <w:proofErr w:type="spellEnd"/>
      <w:r w:rsidRPr="001E4102">
        <w:rPr>
          <w:i/>
        </w:rPr>
        <w:t xml:space="preserve"> v. Baton Rouge Marriott</w:t>
      </w:r>
      <w:r w:rsidRPr="001E4102">
        <w:t>, 329 F. Supp.2d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77777777"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proofErr w:type="spellStart"/>
      <w:r w:rsidRPr="001E4102">
        <w:rPr>
          <w:i/>
        </w:rPr>
        <w:t>Zawadowicz</w:t>
      </w:r>
      <w:proofErr w:type="spellEnd"/>
      <w:r w:rsidRPr="001E4102">
        <w:rPr>
          <w:i/>
        </w:rPr>
        <w:t xml:space="preserve"> v. CVS Corp.</w:t>
      </w:r>
      <w:r w:rsidRPr="001E4102">
        <w:t xml:space="preserve">, 99 F. Supp.2d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3"/>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77777777"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Pr="001E4102">
        <w:rPr>
          <w:vertAlign w:val="superscript"/>
        </w:rPr>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 xml:space="preserve">Cianci v. </w:t>
      </w:r>
      <w:proofErr w:type="spellStart"/>
      <w:r w:rsidRPr="001E4102">
        <w:rPr>
          <w:i/>
        </w:rPr>
        <w:t>Pettibone</w:t>
      </w:r>
      <w:proofErr w:type="spellEnd"/>
      <w:r w:rsidRPr="001E4102">
        <w:rPr>
          <w:i/>
        </w:rPr>
        <w:t xml:space="preserv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0" w:name="1107-1278"/>
      <w:bookmarkStart w:id="1" w:name="a1107_1278"/>
      <w:bookmarkEnd w:id="0"/>
      <w:bookmarkEnd w:id="1"/>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Walker's attempted argument by analogy fails because of the critical difference in statutory language between [29 U.S.C.] Section 2617(a</w:t>
      </w:r>
      <w:proofErr w:type="gramStart"/>
      <w:r w:rsidRPr="001E4102">
        <w:t>)(</w:t>
      </w:r>
      <w:proofErr w:type="gramEnd"/>
      <w:r w:rsidRPr="001E4102">
        <w:t xml:space="preserve">1) and the amended Section 1981a. In contrast to the </w:t>
      </w:r>
      <w:proofErr w:type="gramStart"/>
      <w:r w:rsidRPr="001E4102">
        <w:t xml:space="preserve">latter, </w:t>
      </w:r>
      <w:r w:rsidR="00127A0C" w:rsidRPr="001E4102">
        <w:t>.</w:t>
      </w:r>
      <w:r w:rsidRPr="001E4102">
        <w:t xml:space="preserve"> . .</w:t>
      </w:r>
      <w:proofErr w:type="gramEnd"/>
      <w:r w:rsidRPr="001E4102">
        <w:t xml:space="preserve">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w:t>
      </w:r>
      <w:r w:rsidRPr="001E4102">
        <w:lastRenderedPageBreak/>
        <w:t>include 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9A0FC90" w:rsidR="006154EC" w:rsidRPr="00374CF1" w:rsidRDefault="006154EC" w:rsidP="009C6F31">
      <w:pPr>
        <w:widowControl w:val="0"/>
        <w:spacing w:after="240"/>
        <w:jc w:val="both"/>
        <w:rPr>
          <w:rFonts w:ascii="Century Schoolbook" w:hAnsi="Century Schoolbook"/>
        </w:rPr>
      </w:pPr>
      <w:r w:rsidRPr="001E4102">
        <w:rPr>
          <w:i/>
        </w:rPr>
        <w:t xml:space="preserve">See also </w:t>
      </w:r>
      <w:proofErr w:type="spellStart"/>
      <w:r w:rsidRPr="001E4102">
        <w:rPr>
          <w:i/>
        </w:rPr>
        <w:t>Lapham</w:t>
      </w:r>
      <w:proofErr w:type="spellEnd"/>
      <w:r w:rsidRPr="001E4102">
        <w:rPr>
          <w:i/>
        </w:rPr>
        <w:t xml:space="preserve"> v. Vanguard Cellular Systems, Inc.</w:t>
      </w:r>
      <w:r w:rsidRPr="001E4102">
        <w:t>, 102 F. Supp.2d 266, 269 (</w:t>
      </w:r>
      <w:proofErr w:type="spellStart"/>
      <w:r w:rsidRPr="001E4102">
        <w:t>M.D.Pa</w:t>
      </w:r>
      <w:proofErr w:type="spellEnd"/>
      <w:r w:rsidRPr="001E4102">
        <w:t xml:space="preserve">. 2000) (while plaintiff had a cause of action for interference, she suffered no wage or other monetary loss, therefore “she cannot obtain relief under the FMLA and her claim must be dismissed.”);  </w:t>
      </w:r>
      <w:proofErr w:type="spellStart"/>
      <w:r w:rsidRPr="001E4102">
        <w:rPr>
          <w:i/>
        </w:rPr>
        <w:t>Oby</w:t>
      </w:r>
      <w:proofErr w:type="spellEnd"/>
      <w:r w:rsidRPr="001E4102">
        <w:rPr>
          <w:i/>
        </w:rPr>
        <w:t xml:space="preserve"> v. Baton Rouge</w:t>
      </w:r>
      <w:bookmarkStart w:id="2" w:name="_GoBack"/>
      <w:bookmarkEnd w:id="2"/>
      <w:r w:rsidRPr="001E4102">
        <w:rPr>
          <w:i/>
        </w:rPr>
        <w:t xml:space="preserve"> Marriott</w:t>
      </w:r>
      <w:r w:rsidRPr="001E4102">
        <w:t>, 329 F. Supp.2d 772, 788 (</w:t>
      </w:r>
      <w:proofErr w:type="spellStart"/>
      <w:r w:rsidRPr="001E4102">
        <w:t>M.D.La</w:t>
      </w:r>
      <w:proofErr w:type="spellEnd"/>
      <w:r w:rsidRPr="001E4102">
        <w:t>. 2004) (“It is clear that nominal damages are not available under the FMLA because the statutory language of the FMLA specifically limits recovery to actual monetary losses.”).</w:t>
      </w:r>
    </w:p>
    <w:sectPr w:rsidR="006154EC" w:rsidRPr="00374CF1" w:rsidSect="00F20709">
      <w:headerReference w:type="default" r:id="rId24"/>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4F70" w14:textId="77777777" w:rsidR="00CB27AE" w:rsidRDefault="00CB27AE">
      <w:r>
        <w:separator/>
      </w:r>
    </w:p>
  </w:endnote>
  <w:endnote w:type="continuationSeparator" w:id="0">
    <w:p w14:paraId="12E24C18" w14:textId="77777777" w:rsidR="00CB27AE" w:rsidRDefault="00CB27AE">
      <w:r>
        <w:continuationSeparator/>
      </w:r>
    </w:p>
  </w:endnote>
  <w:endnote w:type="continuationNotice" w:id="1">
    <w:p w14:paraId="7567D3F4" w14:textId="77777777" w:rsidR="00CB27AE" w:rsidRDefault="00CB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390" w14:textId="77777777" w:rsidR="00560340" w:rsidRDefault="00560340" w:rsidP="00B96E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FDCC" w14:textId="77777777" w:rsidR="00560340" w:rsidRPr="00374CF1" w:rsidRDefault="00560340">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1E4102">
      <w:rPr>
        <w:rFonts w:ascii="Century Schoolbook" w:hAnsi="Century Schoolbook"/>
        <w:noProof/>
      </w:rPr>
      <w:t>58</w:t>
    </w:r>
    <w:r w:rsidRPr="00374CF1">
      <w:rPr>
        <w:rFonts w:ascii="Century Schoolbook" w:hAnsi="Century Schoolbook"/>
        <w:noProof/>
      </w:rPr>
      <w:fldChar w:fldCharType="end"/>
    </w:r>
  </w:p>
  <w:p w14:paraId="0D213A94" w14:textId="0489B240" w:rsidR="00560340" w:rsidRPr="0072581A" w:rsidRDefault="0072581A" w:rsidP="00374CF1">
    <w:pPr>
      <w:widowControl w:val="0"/>
      <w:spacing w:line="0" w:lineRule="atLeast"/>
      <w:jc w:val="right"/>
      <w:rPr>
        <w:rFonts w:ascii="Century Schoolbook" w:hAnsi="Century Schoolbook"/>
        <w:i/>
      </w:rPr>
    </w:pPr>
    <w:r w:rsidRPr="0072581A">
      <w:rPr>
        <w:rFonts w:ascii="Century Schoolbook" w:hAnsi="Century Schoolbook"/>
        <w:i/>
      </w:rPr>
      <w:t>Last updated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012E" w14:textId="77777777" w:rsidR="00CB27AE" w:rsidRDefault="00CB27AE">
      <w:r>
        <w:separator/>
      </w:r>
    </w:p>
  </w:footnote>
  <w:footnote w:type="continuationSeparator" w:id="0">
    <w:p w14:paraId="29FCD196" w14:textId="77777777" w:rsidR="00CB27AE" w:rsidRDefault="00CB27AE">
      <w:r>
        <w:continuationSeparator/>
      </w:r>
    </w:p>
  </w:footnote>
  <w:footnote w:type="continuationNotice" w:id="1">
    <w:p w14:paraId="3E0F7B46" w14:textId="77777777" w:rsidR="00CB27AE" w:rsidRDefault="00CB27AE"/>
  </w:footnote>
  <w:footnote w:id="2">
    <w:p w14:paraId="70C10124" w14:textId="0867D07F" w:rsidR="00560340" w:rsidRDefault="00560340"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proofErr w:type="spellStart"/>
      <w:r>
        <w:rPr>
          <w:i/>
        </w:rPr>
        <w:t>Macfarlan</w:t>
      </w:r>
      <w:proofErr w:type="spellEnd"/>
      <w:r>
        <w:rPr>
          <w:i/>
        </w:rPr>
        <w:t xml:space="preserve"> v. Ivy Hill SNF, LLC</w:t>
      </w:r>
      <w:r>
        <w:t xml:space="preserve">, 675 F.3d 266, 271 (3d Cir. 2012) (quoting </w:t>
      </w:r>
      <w:proofErr w:type="spellStart"/>
      <w:r>
        <w:rPr>
          <w:i/>
        </w:rPr>
        <w:t>Rinehimer</w:t>
      </w:r>
      <w:proofErr w:type="spellEnd"/>
      <w:r>
        <w:rPr>
          <w:i/>
        </w:rPr>
        <w:t xml:space="preserve"> v. </w:t>
      </w:r>
      <w:proofErr w:type="spellStart"/>
      <w:r>
        <w:rPr>
          <w:i/>
        </w:rPr>
        <w:t>Cemcolift</w:t>
      </w:r>
      <w:proofErr w:type="spellEnd"/>
      <w:r>
        <w:rPr>
          <w:i/>
        </w:rPr>
        <w:t>, Inc.</w:t>
      </w:r>
      <w:r>
        <w:t>, 292 F.3d 375, 384 (3d Cir. 2002)).  Thus, a plaintiff asserting a violation of Section 2614(a</w:t>
      </w:r>
      <w:proofErr w:type="gramStart"/>
      <w:r>
        <w:t>)(</w:t>
      </w:r>
      <w:proofErr w:type="gramEnd"/>
      <w:r>
        <w:t xml:space="preserve">1) must “establish not only that he was not returned to an equivalent position but also that he was able to perform the essential functions of that position.”  </w:t>
      </w:r>
      <w:proofErr w:type="spellStart"/>
      <w:r>
        <w:rPr>
          <w:i/>
        </w:rPr>
        <w:t>Rinehimer</w:t>
      </w:r>
      <w:proofErr w:type="spellEnd"/>
      <w:r>
        <w:t xml:space="preserve">, </w:t>
      </w:r>
      <w:proofErr w:type="gramStart"/>
      <w:r>
        <w:t>292 F.3d at 384</w:t>
      </w:r>
      <w:proofErr w:type="gramEnd"/>
      <w:r>
        <w:t xml:space="preserve">.  </w:t>
      </w:r>
      <w:r>
        <w:rPr>
          <w:i/>
          <w:iCs/>
        </w:rPr>
        <w:t xml:space="preserve">See also </w:t>
      </w:r>
      <w:proofErr w:type="spellStart"/>
      <w:r w:rsidRPr="002B773A">
        <w:rPr>
          <w:i/>
          <w:iCs/>
        </w:rPr>
        <w:t>Budhun</w:t>
      </w:r>
      <w:proofErr w:type="spellEnd"/>
      <w:r w:rsidRPr="002B773A">
        <w:rPr>
          <w:i/>
          <w:iCs/>
        </w:rPr>
        <w:t xml:space="preserve">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77777777" w:rsidR="00560340" w:rsidRPr="00CF726C" w:rsidRDefault="00560340"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fall 2014, </w:t>
      </w:r>
      <w:r w:rsidRPr="00CF726C">
        <w:rPr>
          <w:szCs w:val="24"/>
        </w:rPr>
        <w:t>29 C.F.R. § 825.220(c)</w:t>
      </w:r>
      <w:r>
        <w:rPr>
          <w:szCs w:val="24"/>
        </w:rPr>
        <w:t xml:space="preserve"> states: </w:t>
      </w:r>
      <w:r w:rsidRPr="00CF726C">
        <w:rPr>
          <w:szCs w:val="24"/>
        </w:rPr>
        <w:t>“The Act's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560340" w:rsidRDefault="00560340"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560340" w:rsidRDefault="00560340"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w:t>
      </w:r>
      <w:proofErr w:type="gramStart"/>
      <w:r>
        <w:t>)(</w:t>
      </w:r>
      <w:proofErr w:type="gramEnd"/>
      <w:r>
        <w:t>3).</w:t>
      </w:r>
    </w:p>
  </w:footnote>
  <w:footnote w:id="6">
    <w:p w14:paraId="4B48841A" w14:textId="77777777" w:rsidR="00560340" w:rsidRDefault="00560340"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560340" w:rsidRPr="00587C7F" w:rsidRDefault="00560340"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w:t>
      </w:r>
      <w:proofErr w:type="gramStart"/>
      <w:r w:rsidRPr="00587C7F">
        <w:rPr>
          <w:szCs w:val="24"/>
        </w:rPr>
        <w:t>)(</w:t>
      </w:r>
      <w:proofErr w:type="gramEnd"/>
      <w:r w:rsidRPr="00587C7F">
        <w:rPr>
          <w:szCs w:val="24"/>
        </w:rPr>
        <w:t xml:space="preserve">1) (notice where need “is foreseeable based on an expected birth or placement”); </w:t>
      </w:r>
      <w:r w:rsidRPr="00587C7F">
        <w:rPr>
          <w:i/>
          <w:szCs w:val="24"/>
        </w:rPr>
        <w:t>id.</w:t>
      </w:r>
      <w:r w:rsidRPr="00587C7F">
        <w:rPr>
          <w:szCs w:val="24"/>
        </w:rPr>
        <w:t xml:space="preserve"> § 2612(e</w:t>
      </w:r>
      <w:proofErr w:type="gramStart"/>
      <w:r w:rsidRPr="00587C7F">
        <w:rPr>
          <w:szCs w:val="24"/>
        </w:rPr>
        <w:t>)(</w:t>
      </w:r>
      <w:proofErr w:type="gramEnd"/>
      <w:r w:rsidRPr="00587C7F">
        <w:rPr>
          <w:szCs w:val="24"/>
        </w:rPr>
        <w:t xml:space="preserve">2) (notice where need “is foreseeable based on planned medical treatment”); </w:t>
      </w:r>
      <w:r w:rsidRPr="00587C7F">
        <w:rPr>
          <w:i/>
          <w:szCs w:val="24"/>
        </w:rPr>
        <w:t>id.</w:t>
      </w:r>
      <w:r w:rsidRPr="00587C7F">
        <w:rPr>
          <w:szCs w:val="24"/>
        </w:rPr>
        <w:t xml:space="preserve"> § 2612(e</w:t>
      </w:r>
      <w:proofErr w:type="gramStart"/>
      <w:r w:rsidRPr="00587C7F">
        <w:rPr>
          <w:szCs w:val="24"/>
        </w:rPr>
        <w:t>)(</w:t>
      </w:r>
      <w:proofErr w:type="gramEnd"/>
      <w:r w:rsidRPr="00587C7F">
        <w:rPr>
          <w:szCs w:val="24"/>
        </w:rPr>
        <w:t>3) (notice where need arises from exigency caused by specified person’s military service).</w:t>
      </w:r>
    </w:p>
  </w:footnote>
  <w:footnote w:id="8">
    <w:p w14:paraId="5BA6958B" w14:textId="77777777" w:rsidR="00560340" w:rsidRPr="00DE3881" w:rsidRDefault="00560340"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 xml:space="preserve">Ross v. </w:t>
      </w:r>
      <w:proofErr w:type="spellStart"/>
      <w:r w:rsidRPr="00DE3881">
        <w:rPr>
          <w:i/>
          <w:szCs w:val="24"/>
        </w:rPr>
        <w:t>Gilhuly</w:t>
      </w:r>
      <w:proofErr w:type="spellEnd"/>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560340" w:rsidRDefault="00560340"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5AFA46EF" w14:textId="77777777" w:rsidR="00560340" w:rsidRPr="001D6709" w:rsidRDefault="00560340"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w:t>
      </w:r>
      <w:proofErr w:type="gramStart"/>
      <w:r w:rsidRPr="001D6709">
        <w:rPr>
          <w:szCs w:val="24"/>
        </w:rPr>
        <w:t>“an employee ‘only needs to show that [1] he was entitled to benefits under the FMLA and [2] that he was denied them.’”</w:t>
      </w:r>
      <w:proofErr w:type="gramEnd"/>
      <w:r w:rsidRPr="001D6709">
        <w:rPr>
          <w:szCs w:val="24"/>
        </w:rPr>
        <w:t xml:space="preserve">  </w:t>
      </w:r>
      <w:proofErr w:type="spellStart"/>
      <w:r w:rsidRPr="001D6709">
        <w:rPr>
          <w:i/>
          <w:szCs w:val="24"/>
        </w:rPr>
        <w:t>Budhun</w:t>
      </w:r>
      <w:proofErr w:type="spellEnd"/>
      <w:r w:rsidRPr="001D6709">
        <w:rPr>
          <w:i/>
          <w:szCs w:val="24"/>
        </w:rPr>
        <w:t xml:space="preserve"> v. Reading Hosp. &amp; Med. Ctr.</w:t>
      </w:r>
      <w:r w:rsidRPr="001D6709">
        <w:rPr>
          <w:szCs w:val="24"/>
        </w:rPr>
        <w:t>, 765 F.3d 245</w:t>
      </w:r>
      <w:r>
        <w:rPr>
          <w:szCs w:val="24"/>
        </w:rPr>
        <w:t>, 252</w:t>
      </w:r>
      <w:r w:rsidRPr="001D6709">
        <w:rPr>
          <w:szCs w:val="24"/>
        </w:rPr>
        <w:t xml:space="preserve"> (3d Cir. 2014) (alterations in original) (quoting </w:t>
      </w:r>
      <w:proofErr w:type="spellStart"/>
      <w:r w:rsidRPr="001D6709">
        <w:rPr>
          <w:i/>
          <w:szCs w:val="24"/>
        </w:rPr>
        <w:t>Callison</w:t>
      </w:r>
      <w:proofErr w:type="spellEnd"/>
      <w:r w:rsidRPr="001D6709">
        <w:rPr>
          <w:i/>
          <w:szCs w:val="24"/>
        </w:rPr>
        <w:t xml:space="preserve">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proofErr w:type="spellStart"/>
      <w:r w:rsidRPr="001D6709">
        <w:rPr>
          <w:i/>
          <w:szCs w:val="24"/>
        </w:rPr>
        <w:t>Callison</w:t>
      </w:r>
      <w:proofErr w:type="spellEnd"/>
      <w:r w:rsidRPr="001D6709">
        <w:rPr>
          <w:szCs w:val="24"/>
        </w:rPr>
        <w:t xml:space="preserve"> formulation because in order to be entitled to benefits, an employee must be eligible for FMLA protections and </w:t>
      </w:r>
      <w:proofErr w:type="gramStart"/>
      <w:r w:rsidRPr="001D6709">
        <w:rPr>
          <w:szCs w:val="24"/>
        </w:rPr>
        <w:t>leave</w:t>
      </w:r>
      <w:proofErr w:type="gramEnd"/>
      <w:r w:rsidRPr="001D6709">
        <w:rPr>
          <w:szCs w:val="24"/>
        </w:rPr>
        <w:t xml:space="preserve">, work for a covered employer, and provide sufficient notice.”  </w:t>
      </w:r>
      <w:proofErr w:type="spellStart"/>
      <w:r w:rsidRPr="001D6709">
        <w:rPr>
          <w:i/>
          <w:szCs w:val="24"/>
        </w:rPr>
        <w:t>Budhun</w:t>
      </w:r>
      <w:proofErr w:type="spellEnd"/>
      <w:r w:rsidRPr="001D6709">
        <w:rPr>
          <w:szCs w:val="24"/>
        </w:rPr>
        <w:t xml:space="preserve">, </w:t>
      </w:r>
      <w:r>
        <w:rPr>
          <w:szCs w:val="24"/>
        </w:rPr>
        <w:t xml:space="preserve">765 F.3d </w:t>
      </w:r>
      <w:proofErr w:type="gramStart"/>
      <w:r>
        <w:rPr>
          <w:szCs w:val="24"/>
        </w:rPr>
        <w:t>at 252</w:t>
      </w:r>
      <w:r w:rsidRPr="001D6709">
        <w:rPr>
          <w:szCs w:val="24"/>
        </w:rPr>
        <w:t xml:space="preserve"> n.2</w:t>
      </w:r>
      <w:proofErr w:type="gramEnd"/>
      <w:r w:rsidRPr="001D6709">
        <w:rPr>
          <w:szCs w:val="24"/>
        </w:rPr>
        <w:t>.</w:t>
      </w:r>
    </w:p>
  </w:footnote>
  <w:footnote w:id="11">
    <w:p w14:paraId="051BB401" w14:textId="77777777" w:rsidR="00560340" w:rsidRPr="003109FA" w:rsidRDefault="00560340"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w:t>
      </w:r>
      <w:proofErr w:type="gramStart"/>
      <w:r w:rsidRPr="003109FA">
        <w:rPr>
          <w:szCs w:val="24"/>
        </w:rPr>
        <w:t>)(</w:t>
      </w:r>
      <w:proofErr w:type="gramEnd"/>
      <w:r w:rsidRPr="003109FA">
        <w:rPr>
          <w:szCs w:val="24"/>
        </w:rPr>
        <w:t>3).</w:t>
      </w:r>
    </w:p>
  </w:footnote>
  <w:footnote w:id="12">
    <w:p w14:paraId="0E130762" w14:textId="77777777" w:rsidR="00560340" w:rsidRDefault="00560340"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w:t>
      </w:r>
      <w:proofErr w:type="gramStart"/>
      <w:r>
        <w:t>)(</w:t>
      </w:r>
      <w:proofErr w:type="gramEnd"/>
      <w:r>
        <w:t>3).</w:t>
      </w:r>
    </w:p>
  </w:footnote>
  <w:footnote w:id="13">
    <w:p w14:paraId="0B0F00AA" w14:textId="77777777" w:rsidR="00560340" w:rsidRDefault="00560340"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4">
    <w:p w14:paraId="1D77ECEB" w14:textId="49B006DC" w:rsidR="00B43793" w:rsidRDefault="00B43793">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5">
    <w:p w14:paraId="6F8AD172" w14:textId="0B7BFAE7" w:rsidR="009E4352" w:rsidRDefault="009E4352">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p>
  </w:footnote>
  <w:footnote w:id="16">
    <w:p w14:paraId="710375F1" w14:textId="77777777" w:rsidR="00560340" w:rsidRPr="00F040CB" w:rsidRDefault="00560340" w:rsidP="00F27D8C">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p>
  </w:footnote>
  <w:footnote w:id="17">
    <w:p w14:paraId="13E13448" w14:textId="77777777" w:rsidR="00560340" w:rsidRDefault="00560340"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w:t>
      </w:r>
      <w:proofErr w:type="gramStart"/>
      <w:r>
        <w:t>)(</w:t>
      </w:r>
      <w:proofErr w:type="gramEnd"/>
      <w:r>
        <w:t>3).</w:t>
      </w:r>
    </w:p>
  </w:footnote>
  <w:footnote w:id="18">
    <w:p w14:paraId="419F5C89" w14:textId="77777777" w:rsidR="00560340" w:rsidRDefault="00560340" w:rsidP="00B96E4A">
      <w:pPr>
        <w:pStyle w:val="FootnoteText"/>
        <w:jc w:val="both"/>
      </w:pPr>
      <w:r w:rsidRPr="00B96E4A">
        <w:footnoteRef/>
      </w:r>
      <w:r>
        <w:t xml:space="preserve"> If the court wishes to give a more detailed instruction on the term “serious health condition,” one is provided in 10.2.1.</w:t>
      </w:r>
    </w:p>
  </w:footnote>
  <w:footnote w:id="19">
    <w:p w14:paraId="19ADDE52" w14:textId="77777777" w:rsidR="00560340" w:rsidRDefault="00560340"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0">
    <w:p w14:paraId="324BF83B" w14:textId="77777777" w:rsidR="00560340" w:rsidRPr="0056209F" w:rsidRDefault="00560340"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w:t>
      </w:r>
      <w:proofErr w:type="gramStart"/>
      <w:r w:rsidRPr="00B57782">
        <w:t>at</w:t>
      </w:r>
      <w:proofErr w:type="gramEnd"/>
      <w:r w:rsidRPr="00B57782">
        <w:t xml:space="preserve"> 307-09 (applying the causation prong of this test); </w:t>
      </w:r>
      <w:proofErr w:type="spellStart"/>
      <w:r w:rsidRPr="00B57782">
        <w:rPr>
          <w:i/>
        </w:rPr>
        <w:t>Budhun</w:t>
      </w:r>
      <w:proofErr w:type="spellEnd"/>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560340" w:rsidRDefault="00560340" w:rsidP="00B57782">
      <w:pPr>
        <w:pStyle w:val="FootnoteText"/>
      </w:pPr>
    </w:p>
  </w:footnote>
  <w:footnote w:id="21">
    <w:p w14:paraId="78A3B4EB" w14:textId="77777777" w:rsidR="00560340" w:rsidRPr="00815329" w:rsidRDefault="00560340" w:rsidP="00F408ED">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 xml:space="preserve">Ross v. </w:t>
      </w:r>
      <w:proofErr w:type="spellStart"/>
      <w:r w:rsidRPr="00815329">
        <w:rPr>
          <w:i/>
          <w:szCs w:val="24"/>
        </w:rPr>
        <w:t>Gilhuly</w:t>
      </w:r>
      <w:proofErr w:type="spellEnd"/>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proofErr w:type="gramStart"/>
      <w:r w:rsidRPr="00815329">
        <w:rPr>
          <w:i/>
          <w:szCs w:val="24"/>
        </w:rPr>
        <w:t>Id.</w:t>
      </w:r>
      <w:r w:rsidRPr="00815329">
        <w:rPr>
          <w:szCs w:val="24"/>
        </w:rPr>
        <w:t xml:space="preserve"> at 188-89.</w:t>
      </w:r>
      <w:proofErr w:type="gramEnd"/>
      <w:r w:rsidRPr="00815329">
        <w:rPr>
          <w:szCs w:val="24"/>
        </w:rPr>
        <w:t xml:space="preserve">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w:t>
      </w:r>
      <w:proofErr w:type="gramStart"/>
      <w:r w:rsidRPr="00815329">
        <w:rPr>
          <w:szCs w:val="24"/>
        </w:rPr>
        <w:t>at</w:t>
      </w:r>
      <w:proofErr w:type="gramEnd"/>
      <w:r w:rsidRPr="00815329">
        <w:rPr>
          <w:szCs w:val="24"/>
        </w:rPr>
        <w:t xml:space="preserve">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w:t>
      </w:r>
      <w:proofErr w:type="gramStart"/>
      <w:r w:rsidRPr="00815329">
        <w:rPr>
          <w:szCs w:val="24"/>
        </w:rPr>
        <w:t>at</w:t>
      </w:r>
      <w:proofErr w:type="gramEnd"/>
      <w:r w:rsidRPr="00815329">
        <w:rPr>
          <w:szCs w:val="24"/>
        </w:rPr>
        <w:t xml:space="preserve">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proofErr w:type="gramStart"/>
      <w:r w:rsidRPr="00815329">
        <w:rPr>
          <w:i/>
          <w:szCs w:val="24"/>
        </w:rPr>
        <w:t>Id.</w:t>
      </w:r>
      <w:r w:rsidRPr="00815329">
        <w:t xml:space="preserve"> </w:t>
      </w:r>
      <w:r w:rsidRPr="00815329">
        <w:rPr>
          <w:szCs w:val="24"/>
        </w:rPr>
        <w:t>at 194.</w:t>
      </w:r>
      <w:proofErr w:type="gramEnd"/>
      <w:r w:rsidRPr="00815329">
        <w:rPr>
          <w:szCs w:val="24"/>
        </w:rPr>
        <w:t xml:space="preserve">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w:t>
      </w:r>
      <w:proofErr w:type="gramStart"/>
      <w:r w:rsidRPr="00815329">
        <w:rPr>
          <w:szCs w:val="24"/>
        </w:rPr>
        <w:t>quoting</w:t>
      </w:r>
      <w:proofErr w:type="gramEnd"/>
      <w:r w:rsidRPr="00815329">
        <w:rPr>
          <w:szCs w:val="24"/>
        </w:rPr>
        <w:t xml:space="preserve"> </w:t>
      </w:r>
      <w:r w:rsidRPr="00815329">
        <w:rPr>
          <w:i/>
          <w:szCs w:val="24"/>
        </w:rPr>
        <w:t xml:space="preserve">Williams v. Phila. </w:t>
      </w:r>
      <w:proofErr w:type="spellStart"/>
      <w:proofErr w:type="gramStart"/>
      <w:r w:rsidRPr="00815329">
        <w:rPr>
          <w:i/>
          <w:szCs w:val="24"/>
        </w:rPr>
        <w:t>Hous</w:t>
      </w:r>
      <w:proofErr w:type="spellEnd"/>
      <w:r w:rsidRPr="00815329">
        <w:rPr>
          <w:i/>
          <w:szCs w:val="24"/>
        </w:rPr>
        <w:t>.</w:t>
      </w:r>
      <w:proofErr w:type="gramEnd"/>
      <w:r w:rsidRPr="00815329">
        <w:rPr>
          <w:i/>
          <w:szCs w:val="24"/>
        </w:rPr>
        <w:t xml:space="preserve"> </w:t>
      </w:r>
      <w:proofErr w:type="gramStart"/>
      <w:r w:rsidRPr="00815329">
        <w:rPr>
          <w:i/>
          <w:szCs w:val="24"/>
        </w:rPr>
        <w:t>Auth. Police Dep’t</w:t>
      </w:r>
      <w:r w:rsidRPr="00815329">
        <w:rPr>
          <w:szCs w:val="24"/>
        </w:rPr>
        <w:t>, 380 F.3d 751, 760 (3d Cir. 2004))).</w:t>
      </w:r>
      <w:proofErr w:type="gramEnd"/>
      <w:r w:rsidRPr="00815329">
        <w:rPr>
          <w:szCs w:val="24"/>
        </w:rPr>
        <w:t xml:space="preserve">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560340" w:rsidRPr="00815329" w:rsidRDefault="00560340" w:rsidP="00F408ED">
      <w:pPr>
        <w:pStyle w:val="FootnoteText"/>
        <w:rPr>
          <w:i/>
          <w:szCs w:val="24"/>
        </w:rPr>
      </w:pPr>
    </w:p>
    <w:p w14:paraId="02A7DA50" w14:textId="77777777" w:rsidR="00560340" w:rsidRPr="00DB06C3" w:rsidRDefault="00560340" w:rsidP="00F408ED">
      <w:pPr>
        <w:pStyle w:val="FootnoteText"/>
        <w:spacing w:after="240"/>
        <w:rPr>
          <w:szCs w:val="24"/>
          <w:u w:val="single"/>
        </w:rPr>
      </w:pPr>
      <w:r w:rsidRPr="00815329">
        <w:rPr>
          <w:szCs w:val="24"/>
        </w:rPr>
        <w:t xml:space="preserve">In </w:t>
      </w:r>
      <w:proofErr w:type="spellStart"/>
      <w:r w:rsidRPr="00815329">
        <w:rPr>
          <w:i/>
          <w:szCs w:val="24"/>
        </w:rPr>
        <w:t>Lupyan</w:t>
      </w:r>
      <w:proofErr w:type="spellEnd"/>
      <w:r w:rsidRPr="00815329">
        <w:rPr>
          <w:i/>
          <w:szCs w:val="24"/>
        </w:rPr>
        <w:t xml:space="preserve">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w:t>
      </w:r>
      <w:proofErr w:type="gramStart"/>
      <w:r w:rsidRPr="00815329">
        <w:rPr>
          <w:szCs w:val="24"/>
        </w:rPr>
        <w:t>at</w:t>
      </w:r>
      <w:proofErr w:type="gramEnd"/>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proofErr w:type="gramStart"/>
      <w:r w:rsidRPr="00815329">
        <w:rPr>
          <w:i/>
          <w:szCs w:val="24"/>
        </w:rPr>
        <w:t>Id.</w:t>
      </w:r>
      <w:r>
        <w:rPr>
          <w:szCs w:val="24"/>
        </w:rPr>
        <w:t xml:space="preserve"> at 317</w:t>
      </w:r>
      <w:r w:rsidRPr="00815329">
        <w:rPr>
          <w:szCs w:val="24"/>
        </w:rPr>
        <w:t>.</w:t>
      </w:r>
      <w:proofErr w:type="gramEnd"/>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w:t>
      </w:r>
      <w:proofErr w:type="spellStart"/>
      <w:r w:rsidRPr="00815329">
        <w:rPr>
          <w:szCs w:val="24"/>
        </w:rPr>
        <w:t>Lupyan’s</w:t>
      </w:r>
      <w:proofErr w:type="spellEnd"/>
      <w:r w:rsidRPr="00815329">
        <w:rPr>
          <w:szCs w:val="24"/>
        </w:rPr>
        <w:t xml:space="preserve"> employment legally ended upon expiration of her FMLA leave,” it held that “</w:t>
      </w:r>
      <w:proofErr w:type="spellStart"/>
      <w:r w:rsidRPr="00815329">
        <w:rPr>
          <w:szCs w:val="24"/>
        </w:rPr>
        <w:t>Lupyan’s</w:t>
      </w:r>
      <w:proofErr w:type="spellEnd"/>
      <w:r w:rsidRPr="00815329">
        <w:rPr>
          <w:szCs w:val="24"/>
        </w:rPr>
        <w:t xml:space="preserve">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w:t>
      </w:r>
      <w:proofErr w:type="spellStart"/>
      <w:r w:rsidRPr="00815329">
        <w:rPr>
          <w:szCs w:val="24"/>
        </w:rPr>
        <w:t>Lupyan’s</w:t>
      </w:r>
      <w:proofErr w:type="spellEnd"/>
      <w:r w:rsidRPr="00815329">
        <w:rPr>
          <w:szCs w:val="24"/>
        </w:rPr>
        <w:t xml:space="preserve">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w:t>
      </w:r>
      <w:proofErr w:type="gramStart"/>
      <w:r>
        <w:rPr>
          <w:szCs w:val="24"/>
        </w:rPr>
        <w:t>at</w:t>
      </w:r>
      <w:proofErr w:type="gramEnd"/>
      <w:r>
        <w:rPr>
          <w:szCs w:val="24"/>
        </w:rPr>
        <w:t xml:space="preserve"> 325</w:t>
      </w:r>
      <w:r w:rsidRPr="00815329">
        <w:rPr>
          <w:szCs w:val="24"/>
        </w:rPr>
        <w:t>.</w:t>
      </w:r>
    </w:p>
  </w:footnote>
  <w:footnote w:id="22">
    <w:p w14:paraId="3E36AE81" w14:textId="77777777" w:rsidR="00560340" w:rsidRDefault="00560340"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3">
    <w:p w14:paraId="620BD041" w14:textId="77777777" w:rsidR="00560340" w:rsidRPr="00DB06C3" w:rsidRDefault="00560340"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4">
    <w:p w14:paraId="52D165FA" w14:textId="794D6D97" w:rsidR="00560340" w:rsidRDefault="00560340" w:rsidP="00B96E4A">
      <w:pPr>
        <w:pStyle w:val="FootnoteText"/>
        <w:jc w:val="both"/>
      </w:pPr>
      <w:r w:rsidRPr="00B96E4A">
        <w:footnoteRef/>
      </w:r>
      <w:r>
        <w:t xml:space="preserve">  </w:t>
      </w:r>
      <w:proofErr w:type="spellStart"/>
      <w:r>
        <w:rPr>
          <w:i/>
        </w:rPr>
        <w:t>Kasten</w:t>
      </w:r>
      <w:proofErr w:type="spellEnd"/>
      <w:r>
        <w:rPr>
          <w:i/>
        </w:rPr>
        <w:t xml:space="preserve"> v. Saint-Gobain Performance Plastics Corp.</w:t>
      </w:r>
      <w:r>
        <w:t xml:space="preserve">, 131 S. Ct. 1325 (2011), construed the Fair Labor Standards Act’s anti-retaliation provision and held that “the statutory term ‘filed any complaint’ includes oral as well as written complaints within its scope.”  </w:t>
      </w:r>
      <w:proofErr w:type="gramStart"/>
      <w:r>
        <w:rPr>
          <w:i/>
        </w:rPr>
        <w:t>Id.</w:t>
      </w:r>
      <w:r>
        <w:t xml:space="preserve"> at 1329.</w:t>
      </w:r>
      <w:proofErr w:type="gramEnd"/>
      <w:r>
        <w:t xml:space="preserve">  The Court did not state whether this holding has implications for the interpretation of the phrase “filed any charge” in the FMLA’s anti-retaliation provision.</w:t>
      </w:r>
    </w:p>
  </w:footnote>
  <w:footnote w:id="25">
    <w:p w14:paraId="637F8F47" w14:textId="77777777" w:rsidR="00560340" w:rsidRPr="00200BDF" w:rsidRDefault="00560340"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26">
    <w:p w14:paraId="5C7106FE" w14:textId="77777777" w:rsidR="00560340" w:rsidRPr="002314DA" w:rsidRDefault="00560340" w:rsidP="002314DA">
      <w:pPr>
        <w:pStyle w:val="FootnoteText"/>
        <w:rPr>
          <w:szCs w:val="24"/>
        </w:rPr>
      </w:pPr>
      <w:r w:rsidRPr="002314DA">
        <w:rPr>
          <w:rStyle w:val="FootnoteReference"/>
        </w:rPr>
        <w:footnoteRef/>
      </w:r>
      <w:r w:rsidRPr="002314DA">
        <w:t xml:space="preserve">  </w:t>
      </w:r>
      <w:r w:rsidRPr="002314DA">
        <w:rPr>
          <w:szCs w:val="24"/>
        </w:rPr>
        <w:t>Like 42 U.S.C. § 2000e–3(a), 29 U.S.C. §§ 2615(a</w:t>
      </w:r>
      <w:proofErr w:type="gramStart"/>
      <w:r w:rsidRPr="002314DA">
        <w:rPr>
          <w:szCs w:val="24"/>
        </w:rPr>
        <w:t>)(</w:t>
      </w:r>
      <w:proofErr w:type="gramEnd"/>
      <w:r w:rsidRPr="002314DA">
        <w:rPr>
          <w:szCs w:val="24"/>
        </w:rPr>
        <w:t xml:space="preserve">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27">
    <w:p w14:paraId="4641FCDD" w14:textId="77777777" w:rsidR="00560340" w:rsidRDefault="00560340"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28">
    <w:p w14:paraId="10D454C1" w14:textId="77777777" w:rsidR="00560340" w:rsidRPr="003E6682" w:rsidRDefault="00560340"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9">
    <w:p w14:paraId="6C8E8A57" w14:textId="77777777" w:rsidR="00560340" w:rsidRDefault="00560340" w:rsidP="00B96E4A">
      <w:pPr>
        <w:pStyle w:val="FootnoteText"/>
        <w:jc w:val="both"/>
      </w:pPr>
      <w:r w:rsidRPr="0031478A">
        <w:rPr>
          <w:vertAlign w:val="superscript"/>
        </w:rPr>
        <w:footnoteRef/>
      </w:r>
      <w:r w:rsidRPr="0031478A">
        <w:rPr>
          <w:vertAlign w:val="superscript"/>
        </w:rPr>
        <w:t xml:space="preserve"> </w:t>
      </w:r>
      <w:r>
        <w:t xml:space="preserve"> N.B.: In cases involving </w:t>
      </w:r>
      <w:proofErr w:type="spellStart"/>
      <w:r>
        <w:t>servicemember</w:t>
      </w:r>
      <w:proofErr w:type="spellEnd"/>
      <w:r>
        <w:t xml:space="preserve"> family leave under 29 U.S.C. § 2612(a)(3),</w:t>
      </w:r>
    </w:p>
    <w:p w14:paraId="335E2690" w14:textId="77777777" w:rsidR="00560340" w:rsidRDefault="00560340" w:rsidP="00B96E4A">
      <w:pPr>
        <w:widowControl w:val="0"/>
        <w:jc w:val="both"/>
      </w:pPr>
      <w:proofErr w:type="gramStart"/>
      <w:r>
        <w:t>the</w:t>
      </w:r>
      <w:proofErr w:type="gramEnd"/>
      <w:r>
        <w:t xml:space="preserve"> relevant period is 26 weeks rather than 12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3F00" w14:textId="77777777" w:rsidR="00560340" w:rsidRDefault="00560340" w:rsidP="00B96E4A">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195E" w14:textId="56062B3B" w:rsidR="004774F3" w:rsidRPr="0072581A" w:rsidRDefault="004774F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4774F3" w:rsidRDefault="004774F3" w:rsidP="0072581A">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6B05" w14:textId="5059FBF7" w:rsidR="004774F3" w:rsidRPr="0072581A" w:rsidRDefault="004774F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4774F3" w:rsidRDefault="004774F3" w:rsidP="0072581A">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E9C4" w14:textId="1F76C5C4" w:rsidR="00F20709" w:rsidRPr="0072581A" w:rsidRDefault="00F2070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F20709" w:rsidRDefault="00F20709" w:rsidP="0072581A">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E739" w14:textId="3E9189B3" w:rsidR="00F20709" w:rsidRPr="0072581A" w:rsidRDefault="00F2070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F20709" w:rsidRDefault="00F20709" w:rsidP="0072581A">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DAE1" w14:textId="3A5CEFD3" w:rsidR="00F20709" w:rsidRPr="0072581A" w:rsidRDefault="00F2070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F20709" w:rsidRDefault="00F20709" w:rsidP="0072581A">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7064" w14:textId="1E0121B9" w:rsidR="00F20709" w:rsidRPr="0072581A" w:rsidRDefault="00F2070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F20709" w:rsidRDefault="00F20709" w:rsidP="0072581A">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4A57" w14:textId="77777777" w:rsidR="00560340" w:rsidRDefault="00560340" w:rsidP="0072581A">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8E58" w14:textId="77777777" w:rsidR="0052239D" w:rsidRPr="0072581A" w:rsidRDefault="0052239D"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52239D" w:rsidRDefault="0052239D" w:rsidP="0072581A">
    <w:pPr>
      <w:widowControl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4433" w14:textId="31DDF4AF" w:rsidR="00456D9D" w:rsidRPr="0072581A" w:rsidRDefault="00456D9D"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456D9D" w:rsidRDefault="00456D9D" w:rsidP="0072581A">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50FA" w14:textId="7FD6C411" w:rsidR="00456D9D" w:rsidRPr="0072581A" w:rsidRDefault="00456D9D"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456D9D" w:rsidRDefault="00456D9D" w:rsidP="0072581A">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AD1C" w14:textId="579817A8" w:rsidR="00456D9D" w:rsidRPr="0072581A" w:rsidRDefault="00456D9D"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456D9D" w:rsidRDefault="00456D9D" w:rsidP="0072581A">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9718" w14:textId="24D71209" w:rsidR="00456D9D" w:rsidRPr="0072581A" w:rsidRDefault="00456D9D" w:rsidP="0072581A">
    <w:pPr>
      <w:widowControl w:val="0"/>
      <w:jc w:val="right"/>
      <w:rPr>
        <w:rFonts w:ascii="Century Schoolbook" w:hAnsi="Century Schoolbook"/>
        <w:b/>
      </w:rPr>
    </w:pPr>
    <w:r w:rsidRPr="0072581A">
      <w:rPr>
        <w:rFonts w:ascii="Century Schoolbook" w:hAnsi="Century Schoolbook"/>
        <w:b/>
      </w:rPr>
      <w:t>10.</w:t>
    </w:r>
    <w:r w:rsidR="00A7402E">
      <w:rPr>
        <w:rFonts w:ascii="Century Schoolbook" w:hAnsi="Century Schoolbook"/>
        <w:b/>
      </w:rPr>
      <w:t>1</w:t>
    </w:r>
    <w:r w:rsidR="004774F3">
      <w:rPr>
        <w:rFonts w:ascii="Century Schoolbook" w:hAnsi="Century Schoolbook"/>
        <w:b/>
      </w:rPr>
      <w:t>.4</w:t>
    </w:r>
    <w:r w:rsidRPr="0072581A">
      <w:rPr>
        <w:rFonts w:ascii="Century Schoolbook" w:hAnsi="Century Schoolbook"/>
        <w:b/>
      </w:rPr>
      <w:t xml:space="preserve">   </w:t>
    </w:r>
    <w:r w:rsidR="004774F3">
      <w:rPr>
        <w:rFonts w:ascii="Century Schoolbook" w:hAnsi="Century Schoolbook"/>
        <w:b/>
      </w:rPr>
      <w:t>Retaliation for Opposing Actions in Violation of FMLA</w:t>
    </w:r>
  </w:p>
  <w:p w14:paraId="659250B4" w14:textId="77777777" w:rsidR="00456D9D" w:rsidRDefault="00456D9D" w:rsidP="0072581A">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A95A" w14:textId="77777777" w:rsidR="00A7402E" w:rsidRPr="0072581A" w:rsidRDefault="00A7402E"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A7402E" w:rsidRDefault="00A7402E" w:rsidP="0072581A">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E8AE" w14:textId="77777777" w:rsidR="00A7402E" w:rsidRPr="0072581A" w:rsidRDefault="00A7402E"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A7402E" w:rsidRDefault="00A7402E"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3C3"/>
    <w:rsid w:val="00021735"/>
    <w:rsid w:val="00024B99"/>
    <w:rsid w:val="00025B28"/>
    <w:rsid w:val="00027BA1"/>
    <w:rsid w:val="000313E3"/>
    <w:rsid w:val="00035F03"/>
    <w:rsid w:val="00042664"/>
    <w:rsid w:val="000517FB"/>
    <w:rsid w:val="00080947"/>
    <w:rsid w:val="000904AF"/>
    <w:rsid w:val="000964AE"/>
    <w:rsid w:val="00096EC5"/>
    <w:rsid w:val="001002EF"/>
    <w:rsid w:val="001069C9"/>
    <w:rsid w:val="0011288F"/>
    <w:rsid w:val="00112A75"/>
    <w:rsid w:val="001174B4"/>
    <w:rsid w:val="00121FBF"/>
    <w:rsid w:val="00124217"/>
    <w:rsid w:val="00127A0C"/>
    <w:rsid w:val="00145C68"/>
    <w:rsid w:val="001475DF"/>
    <w:rsid w:val="00152994"/>
    <w:rsid w:val="00155C00"/>
    <w:rsid w:val="00157F9F"/>
    <w:rsid w:val="00172D83"/>
    <w:rsid w:val="001763FE"/>
    <w:rsid w:val="0018272D"/>
    <w:rsid w:val="00190614"/>
    <w:rsid w:val="00196086"/>
    <w:rsid w:val="001D3D12"/>
    <w:rsid w:val="001D6709"/>
    <w:rsid w:val="001E4102"/>
    <w:rsid w:val="001F5A69"/>
    <w:rsid w:val="002004EC"/>
    <w:rsid w:val="00200BDF"/>
    <w:rsid w:val="002054B9"/>
    <w:rsid w:val="002238D2"/>
    <w:rsid w:val="00224DBA"/>
    <w:rsid w:val="002314DA"/>
    <w:rsid w:val="00231A7A"/>
    <w:rsid w:val="00232354"/>
    <w:rsid w:val="002374DB"/>
    <w:rsid w:val="0025251F"/>
    <w:rsid w:val="00252ECF"/>
    <w:rsid w:val="00252FC3"/>
    <w:rsid w:val="002539DF"/>
    <w:rsid w:val="00263490"/>
    <w:rsid w:val="0027128C"/>
    <w:rsid w:val="00272957"/>
    <w:rsid w:val="00277457"/>
    <w:rsid w:val="00281F02"/>
    <w:rsid w:val="002969FE"/>
    <w:rsid w:val="002A31D5"/>
    <w:rsid w:val="002B773A"/>
    <w:rsid w:val="002D7FD3"/>
    <w:rsid w:val="002E4CB3"/>
    <w:rsid w:val="002F4411"/>
    <w:rsid w:val="00301969"/>
    <w:rsid w:val="003109FA"/>
    <w:rsid w:val="00311C3E"/>
    <w:rsid w:val="0031478A"/>
    <w:rsid w:val="003174D3"/>
    <w:rsid w:val="00371FEC"/>
    <w:rsid w:val="00372EFB"/>
    <w:rsid w:val="00373A0F"/>
    <w:rsid w:val="00374CF1"/>
    <w:rsid w:val="003B5FFA"/>
    <w:rsid w:val="003D2930"/>
    <w:rsid w:val="003E6682"/>
    <w:rsid w:val="003F2443"/>
    <w:rsid w:val="003F7FF8"/>
    <w:rsid w:val="004018B6"/>
    <w:rsid w:val="00403A9C"/>
    <w:rsid w:val="004071A0"/>
    <w:rsid w:val="00430F9F"/>
    <w:rsid w:val="00455D16"/>
    <w:rsid w:val="00456D9D"/>
    <w:rsid w:val="004602A2"/>
    <w:rsid w:val="00464C9A"/>
    <w:rsid w:val="00475D22"/>
    <w:rsid w:val="004774F3"/>
    <w:rsid w:val="004842E9"/>
    <w:rsid w:val="004A1116"/>
    <w:rsid w:val="004C5CB2"/>
    <w:rsid w:val="004D41AF"/>
    <w:rsid w:val="004F1FE7"/>
    <w:rsid w:val="0050196F"/>
    <w:rsid w:val="00501ECB"/>
    <w:rsid w:val="005210ED"/>
    <w:rsid w:val="0052239D"/>
    <w:rsid w:val="00522AE2"/>
    <w:rsid w:val="00523FFE"/>
    <w:rsid w:val="0053455E"/>
    <w:rsid w:val="00546121"/>
    <w:rsid w:val="00554D59"/>
    <w:rsid w:val="00557504"/>
    <w:rsid w:val="00560340"/>
    <w:rsid w:val="00560A48"/>
    <w:rsid w:val="0056439E"/>
    <w:rsid w:val="00570E59"/>
    <w:rsid w:val="00575583"/>
    <w:rsid w:val="0057796D"/>
    <w:rsid w:val="00587C7F"/>
    <w:rsid w:val="005B0EAB"/>
    <w:rsid w:val="005B204D"/>
    <w:rsid w:val="005C1C73"/>
    <w:rsid w:val="00601BBE"/>
    <w:rsid w:val="00613CDE"/>
    <w:rsid w:val="006154EC"/>
    <w:rsid w:val="00617040"/>
    <w:rsid w:val="0063585B"/>
    <w:rsid w:val="006373E2"/>
    <w:rsid w:val="0065181F"/>
    <w:rsid w:val="006532CE"/>
    <w:rsid w:val="006541C8"/>
    <w:rsid w:val="00655EAA"/>
    <w:rsid w:val="00657B2B"/>
    <w:rsid w:val="006701D2"/>
    <w:rsid w:val="0068572E"/>
    <w:rsid w:val="00691654"/>
    <w:rsid w:val="006975A5"/>
    <w:rsid w:val="006A230F"/>
    <w:rsid w:val="006A6B32"/>
    <w:rsid w:val="006C3BE2"/>
    <w:rsid w:val="006C7F28"/>
    <w:rsid w:val="0072581A"/>
    <w:rsid w:val="00732B6A"/>
    <w:rsid w:val="0073318A"/>
    <w:rsid w:val="007343A6"/>
    <w:rsid w:val="0073519A"/>
    <w:rsid w:val="0074393B"/>
    <w:rsid w:val="00763D99"/>
    <w:rsid w:val="0077112C"/>
    <w:rsid w:val="007A1433"/>
    <w:rsid w:val="007C56C6"/>
    <w:rsid w:val="007D1CEF"/>
    <w:rsid w:val="007D2A09"/>
    <w:rsid w:val="007E4052"/>
    <w:rsid w:val="007F443A"/>
    <w:rsid w:val="007F659A"/>
    <w:rsid w:val="007F6C30"/>
    <w:rsid w:val="007F7FD2"/>
    <w:rsid w:val="008061F6"/>
    <w:rsid w:val="00811456"/>
    <w:rsid w:val="00814C89"/>
    <w:rsid w:val="00815329"/>
    <w:rsid w:val="00820F46"/>
    <w:rsid w:val="008226F0"/>
    <w:rsid w:val="00824AA2"/>
    <w:rsid w:val="00841CB5"/>
    <w:rsid w:val="0085022D"/>
    <w:rsid w:val="008528E5"/>
    <w:rsid w:val="008676C9"/>
    <w:rsid w:val="00877B90"/>
    <w:rsid w:val="008826C5"/>
    <w:rsid w:val="00886F5F"/>
    <w:rsid w:val="008A1B05"/>
    <w:rsid w:val="008A2553"/>
    <w:rsid w:val="008B494B"/>
    <w:rsid w:val="008C1A5D"/>
    <w:rsid w:val="008D2D7D"/>
    <w:rsid w:val="008D3F01"/>
    <w:rsid w:val="008E66DA"/>
    <w:rsid w:val="00915A6F"/>
    <w:rsid w:val="00931AFD"/>
    <w:rsid w:val="00937360"/>
    <w:rsid w:val="00945640"/>
    <w:rsid w:val="00953AD7"/>
    <w:rsid w:val="00961F7C"/>
    <w:rsid w:val="009706BB"/>
    <w:rsid w:val="009834BF"/>
    <w:rsid w:val="00987C84"/>
    <w:rsid w:val="009A300E"/>
    <w:rsid w:val="009B1E6D"/>
    <w:rsid w:val="009B7D24"/>
    <w:rsid w:val="009C5F53"/>
    <w:rsid w:val="009C6F31"/>
    <w:rsid w:val="009E4352"/>
    <w:rsid w:val="009E495E"/>
    <w:rsid w:val="00A029C4"/>
    <w:rsid w:val="00A14752"/>
    <w:rsid w:val="00A210BE"/>
    <w:rsid w:val="00A32361"/>
    <w:rsid w:val="00A33A41"/>
    <w:rsid w:val="00A34B2D"/>
    <w:rsid w:val="00A364B8"/>
    <w:rsid w:val="00A40235"/>
    <w:rsid w:val="00A55ED6"/>
    <w:rsid w:val="00A7402E"/>
    <w:rsid w:val="00A828F5"/>
    <w:rsid w:val="00A8601C"/>
    <w:rsid w:val="00AA0D90"/>
    <w:rsid w:val="00AA2BAD"/>
    <w:rsid w:val="00AA751C"/>
    <w:rsid w:val="00AB03C3"/>
    <w:rsid w:val="00AB709B"/>
    <w:rsid w:val="00AD32E1"/>
    <w:rsid w:val="00AD7A87"/>
    <w:rsid w:val="00AE0135"/>
    <w:rsid w:val="00B01AE0"/>
    <w:rsid w:val="00B01F99"/>
    <w:rsid w:val="00B0638C"/>
    <w:rsid w:val="00B12616"/>
    <w:rsid w:val="00B15813"/>
    <w:rsid w:val="00B232CB"/>
    <w:rsid w:val="00B362EB"/>
    <w:rsid w:val="00B43377"/>
    <w:rsid w:val="00B43793"/>
    <w:rsid w:val="00B4511C"/>
    <w:rsid w:val="00B54049"/>
    <w:rsid w:val="00B57782"/>
    <w:rsid w:val="00B76BE4"/>
    <w:rsid w:val="00B80F83"/>
    <w:rsid w:val="00B96E4A"/>
    <w:rsid w:val="00BB31E8"/>
    <w:rsid w:val="00BC1A8E"/>
    <w:rsid w:val="00BC4EF0"/>
    <w:rsid w:val="00BD2467"/>
    <w:rsid w:val="00BE7484"/>
    <w:rsid w:val="00BF4724"/>
    <w:rsid w:val="00C1528E"/>
    <w:rsid w:val="00C36A1D"/>
    <w:rsid w:val="00C51829"/>
    <w:rsid w:val="00C5365C"/>
    <w:rsid w:val="00C57889"/>
    <w:rsid w:val="00C61BE6"/>
    <w:rsid w:val="00C9001F"/>
    <w:rsid w:val="00CA3155"/>
    <w:rsid w:val="00CB27AE"/>
    <w:rsid w:val="00CD1ABC"/>
    <w:rsid w:val="00CD55AD"/>
    <w:rsid w:val="00CE01D4"/>
    <w:rsid w:val="00CF726C"/>
    <w:rsid w:val="00D03DF7"/>
    <w:rsid w:val="00D0678D"/>
    <w:rsid w:val="00D118E8"/>
    <w:rsid w:val="00D131DF"/>
    <w:rsid w:val="00D17EC2"/>
    <w:rsid w:val="00D3733D"/>
    <w:rsid w:val="00D43DA0"/>
    <w:rsid w:val="00D4429A"/>
    <w:rsid w:val="00D4741A"/>
    <w:rsid w:val="00D67362"/>
    <w:rsid w:val="00D75953"/>
    <w:rsid w:val="00D7787F"/>
    <w:rsid w:val="00D876C6"/>
    <w:rsid w:val="00DA07E9"/>
    <w:rsid w:val="00DE3881"/>
    <w:rsid w:val="00DE5F54"/>
    <w:rsid w:val="00DF1C14"/>
    <w:rsid w:val="00DF5020"/>
    <w:rsid w:val="00E00BC7"/>
    <w:rsid w:val="00E26200"/>
    <w:rsid w:val="00E26B2E"/>
    <w:rsid w:val="00E27774"/>
    <w:rsid w:val="00E3188C"/>
    <w:rsid w:val="00E31D28"/>
    <w:rsid w:val="00E4276F"/>
    <w:rsid w:val="00E5121F"/>
    <w:rsid w:val="00E53A12"/>
    <w:rsid w:val="00E57128"/>
    <w:rsid w:val="00E610A4"/>
    <w:rsid w:val="00E62BEC"/>
    <w:rsid w:val="00E8599D"/>
    <w:rsid w:val="00E949F2"/>
    <w:rsid w:val="00E96E9E"/>
    <w:rsid w:val="00E976ED"/>
    <w:rsid w:val="00EA0D74"/>
    <w:rsid w:val="00EB51E8"/>
    <w:rsid w:val="00EC6CF7"/>
    <w:rsid w:val="00EE618D"/>
    <w:rsid w:val="00F040CB"/>
    <w:rsid w:val="00F04D1D"/>
    <w:rsid w:val="00F05A89"/>
    <w:rsid w:val="00F10FF7"/>
    <w:rsid w:val="00F20709"/>
    <w:rsid w:val="00F215C6"/>
    <w:rsid w:val="00F2194B"/>
    <w:rsid w:val="00F27D8C"/>
    <w:rsid w:val="00F408ED"/>
    <w:rsid w:val="00F45381"/>
    <w:rsid w:val="00F62581"/>
    <w:rsid w:val="00F63B4A"/>
    <w:rsid w:val="00F706D2"/>
    <w:rsid w:val="00F73F8D"/>
    <w:rsid w:val="00F91CE1"/>
    <w:rsid w:val="00F970EA"/>
    <w:rsid w:val="00FA3D3D"/>
    <w:rsid w:val="00FA6EB9"/>
    <w:rsid w:val="00FB745C"/>
    <w:rsid w:val="00FC3741"/>
    <w:rsid w:val="00FE6A3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E6DC-130E-423A-B5C3-AF20044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20541</Words>
  <Characters>109054</Characters>
  <Application>Microsoft Office Word</Application>
  <DocSecurity>0</DocSecurity>
  <Lines>908</Lines>
  <Paragraphs>258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cstruve</dc:creator>
  <cp:lastModifiedBy>Catherine T Struve</cp:lastModifiedBy>
  <cp:revision>10</cp:revision>
  <cp:lastPrinted>2014-10-26T05:52:00Z</cp:lastPrinted>
  <dcterms:created xsi:type="dcterms:W3CDTF">2014-11-04T20:38:00Z</dcterms:created>
  <dcterms:modified xsi:type="dcterms:W3CDTF">2014-11-06T17:01:00Z</dcterms:modified>
</cp:coreProperties>
</file>